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footer2.xml" ContentType="application/vnd.openxmlformats-officedocument.wordprocessingml.foot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footer19.xml" ContentType="application/vnd.openxmlformats-officedocument.wordprocessingml.foot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footer21.xml" ContentType="application/vnd.openxmlformats-officedocument.wordprocessingml.footer+xml"/>
  <Override PartName="/word/header37.xml" ContentType="application/vnd.openxmlformats-officedocument.wordprocessingml.header+xml"/>
  <Override PartName="/word/footer22.xml" ContentType="application/vnd.openxmlformats-officedocument.wordprocessingml.foot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footer24.xml" ContentType="application/vnd.openxmlformats-officedocument.wordprocessingml.footer+xml"/>
  <Override PartName="/word/header40.xml" ContentType="application/vnd.openxmlformats-officedocument.wordprocessingml.header+xml"/>
  <Override PartName="/word/footer25.xml" ContentType="application/vnd.openxmlformats-officedocument.wordprocessingml.foot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footer27.xml" ContentType="application/vnd.openxmlformats-officedocument.wordprocessingml.footer+xml"/>
  <Override PartName="/word/header43.xml" ContentType="application/vnd.openxmlformats-officedocument.wordprocessingml.header+xml"/>
  <Override PartName="/word/footer28.xml" ContentType="application/vnd.openxmlformats-officedocument.wordprocessingml.foot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footer30.xml" ContentType="application/vnd.openxmlformats-officedocument.wordprocessingml.footer+xml"/>
  <Default Extension="jpeg" ContentType="image/jpeg"/>
  <Override PartName="/word/header46.xml" ContentType="application/vnd.openxmlformats-officedocument.wordprocessingml.header+xml"/>
  <Override PartName="/word/footer31.xml" ContentType="application/vnd.openxmlformats-officedocument.wordprocessingml.footer+xml"/>
  <Override PartName="/word/header47.xml" ContentType="application/vnd.openxmlformats-officedocument.wordprocessingml.header+xml"/>
  <Override PartName="/word/footer32.xml" ContentType="application/vnd.openxmlformats-officedocument.wordprocessingml.footer+xml"/>
  <Override PartName="/word/header48.xml" ContentType="application/vnd.openxmlformats-officedocument.wordprocessingml.header+xml"/>
  <Override PartName="/word/footer33.xml" ContentType="application/vnd.openxmlformats-officedocument.wordprocessingml.footer+xml"/>
  <Override PartName="/word/header49.xml" ContentType="application/vnd.openxmlformats-officedocument.wordprocessingml.header+xml"/>
  <Override PartName="/word/footer34.xml" ContentType="application/vnd.openxmlformats-officedocument.wordprocessingml.footer+xml"/>
  <Override PartName="/word/header50.xml" ContentType="application/vnd.openxmlformats-officedocument.wordprocessingml.header+xml"/>
  <Override PartName="/word/footer35.xml" ContentType="application/vnd.openxmlformats-officedocument.wordprocessingml.footer+xml"/>
  <Override PartName="/word/header51.xml" ContentType="application/vnd.openxmlformats-officedocument.wordprocessingml.header+xml"/>
  <Override PartName="/word/footer36.xml" ContentType="application/vnd.openxmlformats-officedocument.wordprocessingml.footer+xml"/>
  <Override PartName="/word/header52.xml" ContentType="application/vnd.openxmlformats-officedocument.wordprocessingml.header+xml"/>
  <Override PartName="/word/footer37.xml" ContentType="application/vnd.openxmlformats-officedocument.wordprocessingml.footer+xml"/>
  <Override PartName="/word/header53.xml" ContentType="application/vnd.openxmlformats-officedocument.wordprocessingml.header+xml"/>
  <Override PartName="/word/footer38.xml" ContentType="application/vnd.openxmlformats-officedocument.wordprocessingml.footer+xml"/>
  <Override PartName="/word/header54.xml" ContentType="application/vnd.openxmlformats-officedocument.wordprocessingml.header+xml"/>
  <Override PartName="/word/footer39.xml" ContentType="application/vnd.openxmlformats-officedocument.wordprocessingml.footer+xml"/>
  <Override PartName="/word/header55.xml" ContentType="application/vnd.openxmlformats-officedocument.wordprocessingml.header+xml"/>
  <Override PartName="/word/footer40.xml" ContentType="application/vnd.openxmlformats-officedocument.wordprocessingml.footer+xml"/>
  <Override PartName="/word/header56.xml" ContentType="application/vnd.openxmlformats-officedocument.wordprocessingml.header+xml"/>
  <Override PartName="/word/footer41.xml" ContentType="application/vnd.openxmlformats-officedocument.wordprocessingml.footer+xml"/>
  <Override PartName="/word/header57.xml" ContentType="application/vnd.openxmlformats-officedocument.wordprocessingml.header+xml"/>
  <Override PartName="/word/footer42.xml" ContentType="application/vnd.openxmlformats-officedocument.wordprocessingml.footer+xml"/>
  <Override PartName="/word/header58.xml" ContentType="application/vnd.openxmlformats-officedocument.wordprocessingml.header+xml"/>
  <Override PartName="/word/footer43.xml" ContentType="application/vnd.openxmlformats-officedocument.wordprocessingml.footer+xml"/>
  <Override PartName="/word/header59.xml" ContentType="application/vnd.openxmlformats-officedocument.wordprocessingml.header+xml"/>
  <Override PartName="/word/footer44.xml" ContentType="application/vnd.openxmlformats-officedocument.wordprocessingml.footer+xml"/>
  <Override PartName="/word/header60.xml" ContentType="application/vnd.openxmlformats-officedocument.wordprocessingml.header+xml"/>
  <Override PartName="/word/footer45.xml" ContentType="application/vnd.openxmlformats-officedocument.wordprocessingml.footer+xml"/>
  <Override PartName="/word/header61.xml" ContentType="application/vnd.openxmlformats-officedocument.wordprocessingml.header+xml"/>
  <Override PartName="/word/footer46.xml" ContentType="application/vnd.openxmlformats-officedocument.wordprocessingml.footer+xml"/>
  <Override PartName="/word/header62.xml" ContentType="application/vnd.openxmlformats-officedocument.wordprocessingml.header+xml"/>
  <Override PartName="/word/footer47.xml" ContentType="application/vnd.openxmlformats-officedocument.wordprocessingml.footer+xml"/>
  <Override PartName="/word/header63.xml" ContentType="application/vnd.openxmlformats-officedocument.wordprocessingml.header+xml"/>
  <Override PartName="/word/footer48.xml" ContentType="application/vnd.openxmlformats-officedocument.wordprocessingml.footer+xml"/>
  <Override PartName="/word/header64.xml" ContentType="application/vnd.openxmlformats-officedocument.wordprocessingml.header+xml"/>
  <Override PartName="/word/footer49.xml" ContentType="application/vnd.openxmlformats-officedocument.wordprocessingml.footer+xml"/>
  <Override PartName="/word/header65.xml" ContentType="application/vnd.openxmlformats-officedocument.wordprocessingml.header+xml"/>
  <Override PartName="/word/footer50.xml" ContentType="application/vnd.openxmlformats-officedocument.wordprocessingml.footer+xml"/>
  <Override PartName="/word/header66.xml" ContentType="application/vnd.openxmlformats-officedocument.wordprocessingml.header+xml"/>
  <Override PartName="/word/footer51.xml" ContentType="application/vnd.openxmlformats-officedocument.wordprocessingml.footer+xml"/>
  <Override PartName="/word/header67.xml" ContentType="application/vnd.openxmlformats-officedocument.wordprocessingml.header+xml"/>
  <Override PartName="/word/footer52.xml" ContentType="application/vnd.openxmlformats-officedocument.wordprocessingml.footer+xml"/>
  <Override PartName="/word/header68.xml" ContentType="application/vnd.openxmlformats-officedocument.wordprocessingml.header+xml"/>
  <Override PartName="/word/footer53.xml" ContentType="application/vnd.openxmlformats-officedocument.wordprocessingml.footer+xml"/>
  <Override PartName="/word/header69.xml" ContentType="application/vnd.openxmlformats-officedocument.wordprocessingml.header+xml"/>
  <Override PartName="/word/footer54.xml" ContentType="application/vnd.openxmlformats-officedocument.wordprocessingml.footer+xml"/>
  <Override PartName="/word/header70.xml" ContentType="application/vnd.openxmlformats-officedocument.wordprocessingml.header+xml"/>
  <Override PartName="/word/footer55.xml" ContentType="application/vnd.openxmlformats-officedocument.wordprocessingml.footer+xml"/>
  <Override PartName="/word/header71.xml" ContentType="application/vnd.openxmlformats-officedocument.wordprocessingml.header+xml"/>
  <Override PartName="/word/footer56.xml" ContentType="application/vnd.openxmlformats-officedocument.wordprocessingml.footer+xml"/>
  <Override PartName="/word/header72.xml" ContentType="application/vnd.openxmlformats-officedocument.wordprocessingml.header+xml"/>
  <Override PartName="/word/footer57.xml" ContentType="application/vnd.openxmlformats-officedocument.wordprocessingml.footer+xml"/>
  <Override PartName="/word/header73.xml" ContentType="application/vnd.openxmlformats-officedocument.wordprocessingml.header+xml"/>
  <Override PartName="/word/footer58.xml" ContentType="application/vnd.openxmlformats-officedocument.wordprocessingml.footer+xml"/>
  <Override PartName="/word/header74.xml" ContentType="application/vnd.openxmlformats-officedocument.wordprocessingml.header+xml"/>
  <Override PartName="/word/footer59.xml" ContentType="application/vnd.openxmlformats-officedocument.wordprocessingml.footer+xml"/>
  <Override PartName="/word/header75.xml" ContentType="application/vnd.openxmlformats-officedocument.wordprocessingml.header+xml"/>
  <Override PartName="/word/footer60.xml" ContentType="application/vnd.openxmlformats-officedocument.wordprocessingml.footer+xml"/>
  <Override PartName="/word/header76.xml" ContentType="application/vnd.openxmlformats-officedocument.wordprocessingml.header+xml"/>
  <Override PartName="/word/footer61.xml" ContentType="application/vnd.openxmlformats-officedocument.wordprocessingml.footer+xml"/>
  <Override PartName="/word/header77.xml" ContentType="application/vnd.openxmlformats-officedocument.wordprocessingml.header+xml"/>
  <Override PartName="/word/footer62.xml" ContentType="application/vnd.openxmlformats-officedocument.wordprocessingml.footer+xml"/>
  <Override PartName="/word/header78.xml" ContentType="application/vnd.openxmlformats-officedocument.wordprocessingml.header+xml"/>
  <Override PartName="/word/footer63.xml" ContentType="application/vnd.openxmlformats-officedocument.wordprocessingml.footer+xml"/>
  <Override PartName="/word/header79.xml" ContentType="application/vnd.openxmlformats-officedocument.wordprocessingml.header+xml"/>
  <Override PartName="/word/footer64.xml" ContentType="application/vnd.openxmlformats-officedocument.wordprocessingml.footer+xml"/>
  <Override PartName="/word/header80.xml" ContentType="application/vnd.openxmlformats-officedocument.wordprocessingml.header+xml"/>
  <Override PartName="/word/footer65.xml" ContentType="application/vnd.openxmlformats-officedocument.wordprocessingml.footer+xml"/>
  <Override PartName="/word/header81.xml" ContentType="application/vnd.openxmlformats-officedocument.wordprocessingml.header+xml"/>
  <Override PartName="/word/footer6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404"/>
        <w:rPr>
          <w:sz w:val="20"/>
        </w:rPr>
      </w:pPr>
      <w:r>
        <w:rPr>
          <w:sz w:val="20"/>
        </w:rPr>
        <w:drawing>
          <wp:inline distT="0" distB="0" distL="0" distR="0">
            <wp:extent cx="3017520" cy="91440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017520" cy="914400"/>
                    </a:xfrm>
                    <a:prstGeom prst="rect">
                      <a:avLst/>
                    </a:prstGeom>
                  </pic:spPr>
                </pic:pic>
              </a:graphicData>
            </a:graphic>
          </wp:inline>
        </w:drawing>
      </w:r>
      <w:r>
        <w:rPr>
          <w:sz w:val="20"/>
        </w:rPr>
      </w:r>
    </w:p>
    <w:p>
      <w:pPr>
        <w:pStyle w:val="BodyText"/>
        <w:rPr>
          <w:sz w:val="20"/>
        </w:rPr>
      </w:pPr>
    </w:p>
    <w:p>
      <w:pPr>
        <w:pStyle w:val="BodyText"/>
        <w:spacing w:before="5"/>
        <w:rPr>
          <w:sz w:val="19"/>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32"/>
        <w:gridCol w:w="2758"/>
      </w:tblGrid>
      <w:tr>
        <w:trPr>
          <w:trHeight w:val="9820" w:hRule="atLeast"/>
        </w:trPr>
        <w:tc>
          <w:tcPr>
            <w:tcW w:w="8732" w:type="dxa"/>
            <w:tcBorders>
              <w:right w:val="single" w:sz="8" w:space="0" w:color="0075BD"/>
            </w:tcBorders>
          </w:tcPr>
          <w:p>
            <w:pPr>
              <w:pStyle w:val="TableParagraph"/>
              <w:spacing w:before="10"/>
              <w:rPr>
                <w:rFonts w:ascii="Times New Roman"/>
                <w:sz w:val="21"/>
              </w:rPr>
            </w:pPr>
          </w:p>
          <w:p>
            <w:pPr>
              <w:pStyle w:val="TableParagraph"/>
              <w:tabs>
                <w:tab w:pos="1280" w:val="left" w:leader="none"/>
              </w:tabs>
              <w:ind w:left="200"/>
              <w:rPr>
                <w:rFonts w:ascii="Arial"/>
                <w:sz w:val="22"/>
              </w:rPr>
            </w:pPr>
            <w:bookmarkStart w:name="7.25.25 - Main Agenda" w:id="1"/>
            <w:bookmarkEnd w:id="1"/>
            <w:r>
              <w:rPr/>
            </w:r>
            <w:r>
              <w:rPr>
                <w:rFonts w:ascii="Arial"/>
                <w:spacing w:val="-5"/>
                <w:sz w:val="22"/>
              </w:rPr>
              <w:t>DATE:</w:t>
              <w:tab/>
              <w:t>July 18,</w:t>
            </w:r>
            <w:r>
              <w:rPr>
                <w:rFonts w:ascii="Arial"/>
                <w:spacing w:val="-4"/>
                <w:sz w:val="22"/>
              </w:rPr>
              <w:t> </w:t>
            </w:r>
            <w:r>
              <w:rPr>
                <w:rFonts w:ascii="Arial"/>
                <w:spacing w:val="-5"/>
                <w:sz w:val="22"/>
              </w:rPr>
              <w:t>2025</w:t>
            </w:r>
          </w:p>
          <w:p>
            <w:pPr>
              <w:pStyle w:val="TableParagraph"/>
              <w:tabs>
                <w:tab w:pos="1279" w:val="left" w:leader="none"/>
              </w:tabs>
              <w:spacing w:before="2"/>
              <w:ind w:left="200" w:right="5670"/>
              <w:rPr>
                <w:rFonts w:ascii="Arial"/>
                <w:sz w:val="22"/>
              </w:rPr>
            </w:pPr>
            <w:r>
              <w:rPr>
                <w:rFonts w:ascii="Arial"/>
                <w:spacing w:val="-4"/>
                <w:sz w:val="22"/>
              </w:rPr>
              <w:t>TO:</w:t>
              <w:tab/>
            </w:r>
            <w:r>
              <w:rPr>
                <w:rFonts w:ascii="Arial"/>
                <w:spacing w:val="-5"/>
                <w:sz w:val="22"/>
              </w:rPr>
              <w:t>Authority </w:t>
            </w:r>
            <w:r>
              <w:rPr>
                <w:rFonts w:ascii="Arial"/>
                <w:spacing w:val="-7"/>
                <w:sz w:val="22"/>
              </w:rPr>
              <w:t>Members </w:t>
            </w:r>
            <w:r>
              <w:rPr>
                <w:rFonts w:ascii="Arial"/>
                <w:spacing w:val="-5"/>
                <w:sz w:val="22"/>
              </w:rPr>
              <w:t>FROM:</w:t>
              <w:tab/>
            </w:r>
            <w:r>
              <w:rPr>
                <w:rFonts w:ascii="Arial"/>
                <w:spacing w:val="-6"/>
                <w:sz w:val="22"/>
              </w:rPr>
              <w:t>Nicholas </w:t>
            </w:r>
            <w:r>
              <w:rPr>
                <w:rFonts w:ascii="Arial"/>
                <w:spacing w:val="-3"/>
                <w:sz w:val="22"/>
              </w:rPr>
              <w:t>F. </w:t>
            </w:r>
            <w:r>
              <w:rPr>
                <w:rFonts w:ascii="Arial"/>
                <w:spacing w:val="-6"/>
                <w:sz w:val="22"/>
              </w:rPr>
              <w:t>Laino </w:t>
            </w:r>
            <w:r>
              <w:rPr>
                <w:rFonts w:ascii="Arial"/>
                <w:spacing w:val="-4"/>
                <w:sz w:val="22"/>
              </w:rPr>
              <w:t>RE:</w:t>
              <w:tab/>
            </w:r>
            <w:r>
              <w:rPr>
                <w:rFonts w:ascii="Arial"/>
                <w:spacing w:val="-5"/>
                <w:sz w:val="22"/>
              </w:rPr>
              <w:t>July 25,</w:t>
            </w:r>
            <w:r>
              <w:rPr>
                <w:rFonts w:ascii="Arial"/>
                <w:spacing w:val="-11"/>
                <w:sz w:val="22"/>
              </w:rPr>
              <w:t> </w:t>
            </w:r>
            <w:r>
              <w:rPr>
                <w:rFonts w:ascii="Arial"/>
                <w:spacing w:val="-5"/>
                <w:sz w:val="22"/>
              </w:rPr>
              <w:t>2025</w:t>
            </w:r>
          </w:p>
          <w:p>
            <w:pPr>
              <w:pStyle w:val="TableParagraph"/>
              <w:spacing w:before="9"/>
              <w:rPr>
                <w:rFonts w:ascii="Times New Roman"/>
                <w:sz w:val="21"/>
              </w:rPr>
            </w:pPr>
          </w:p>
          <w:p>
            <w:pPr>
              <w:pStyle w:val="TableParagraph"/>
              <w:ind w:left="1263"/>
              <w:rPr>
                <w:rFonts w:ascii="Arial" w:hAnsi="Arial"/>
                <w:sz w:val="22"/>
              </w:rPr>
            </w:pPr>
            <w:r>
              <w:rPr>
                <w:rFonts w:ascii="Arial" w:hAnsi="Arial"/>
                <w:sz w:val="22"/>
              </w:rPr>
              <w:t>Pension Committee – 9:00 AM</w:t>
            </w:r>
          </w:p>
          <w:p>
            <w:pPr>
              <w:pStyle w:val="TableParagraph"/>
              <w:spacing w:before="2"/>
              <w:ind w:left="1263" w:right="3867" w:hanging="1"/>
              <w:rPr>
                <w:rFonts w:ascii="Arial" w:hAnsi="Arial"/>
                <w:sz w:val="22"/>
              </w:rPr>
            </w:pPr>
            <w:r>
              <w:rPr>
                <w:rFonts w:ascii="Arial" w:hAnsi="Arial"/>
                <w:spacing w:val="-6"/>
                <w:sz w:val="22"/>
              </w:rPr>
              <w:t>Audit </w:t>
            </w:r>
            <w:r>
              <w:rPr>
                <w:rFonts w:ascii="Arial" w:hAnsi="Arial"/>
                <w:sz w:val="22"/>
              </w:rPr>
              <w:t>&amp; </w:t>
            </w:r>
            <w:r>
              <w:rPr>
                <w:rFonts w:ascii="Arial" w:hAnsi="Arial"/>
                <w:spacing w:val="-6"/>
                <w:sz w:val="22"/>
              </w:rPr>
              <w:t>Finance </w:t>
            </w:r>
            <w:r>
              <w:rPr>
                <w:rFonts w:ascii="Arial" w:hAnsi="Arial"/>
                <w:spacing w:val="-5"/>
                <w:sz w:val="22"/>
              </w:rPr>
              <w:t>Committee </w:t>
            </w:r>
            <w:r>
              <w:rPr>
                <w:rFonts w:ascii="Arial" w:hAnsi="Arial"/>
                <w:sz w:val="22"/>
              </w:rPr>
              <w:t>– </w:t>
            </w:r>
            <w:r>
              <w:rPr>
                <w:rFonts w:ascii="Arial" w:hAnsi="Arial"/>
                <w:spacing w:val="-5"/>
                <w:sz w:val="22"/>
              </w:rPr>
              <w:t>9:30 AM Board Meeting </w:t>
            </w:r>
            <w:r>
              <w:rPr>
                <w:rFonts w:ascii="Arial" w:hAnsi="Arial"/>
                <w:sz w:val="22"/>
              </w:rPr>
              <w:t>– </w:t>
            </w:r>
            <w:r>
              <w:rPr>
                <w:rFonts w:ascii="Arial" w:hAnsi="Arial"/>
                <w:spacing w:val="-5"/>
                <w:sz w:val="22"/>
              </w:rPr>
              <w:t>10:00 </w:t>
            </w:r>
            <w:r>
              <w:rPr>
                <w:rFonts w:ascii="Arial" w:hAnsi="Arial"/>
                <w:spacing w:val="-6"/>
                <w:sz w:val="22"/>
              </w:rPr>
              <w:t>AM</w:t>
            </w:r>
          </w:p>
          <w:p>
            <w:pPr>
              <w:pStyle w:val="TableParagraph"/>
              <w:rPr>
                <w:rFonts w:ascii="Times New Roman"/>
                <w:sz w:val="32"/>
              </w:rPr>
            </w:pPr>
          </w:p>
          <w:p>
            <w:pPr>
              <w:pStyle w:val="TableParagraph"/>
              <w:ind w:left="852" w:right="689"/>
              <w:jc w:val="center"/>
              <w:rPr>
                <w:rFonts w:ascii="Arial"/>
                <w:b/>
                <w:sz w:val="22"/>
              </w:rPr>
            </w:pPr>
            <w:r>
              <w:rPr>
                <w:rFonts w:ascii="Arial"/>
                <w:b/>
                <w:sz w:val="22"/>
                <w:u w:val="thick"/>
              </w:rPr>
              <w:t>AGENDA</w:t>
            </w:r>
          </w:p>
          <w:p>
            <w:pPr>
              <w:pStyle w:val="TableParagraph"/>
              <w:rPr>
                <w:rFonts w:ascii="Times New Roman"/>
                <w:sz w:val="32"/>
              </w:rPr>
            </w:pPr>
          </w:p>
          <w:p>
            <w:pPr>
              <w:pStyle w:val="TableParagraph"/>
              <w:numPr>
                <w:ilvl w:val="0"/>
                <w:numId w:val="1"/>
              </w:numPr>
              <w:tabs>
                <w:tab w:pos="652" w:val="left" w:leader="none"/>
              </w:tabs>
              <w:spacing w:line="252" w:lineRule="exact" w:before="0" w:after="0"/>
              <w:ind w:left="651" w:right="0" w:hanging="361"/>
              <w:jc w:val="left"/>
              <w:rPr>
                <w:rFonts w:ascii="Arial" w:hAnsi="Arial"/>
                <w:sz w:val="22"/>
              </w:rPr>
            </w:pPr>
            <w:r>
              <w:rPr>
                <w:rFonts w:ascii="Arial" w:hAnsi="Arial"/>
                <w:spacing w:val="-5"/>
                <w:sz w:val="22"/>
              </w:rPr>
              <w:t>Chairman’s</w:t>
            </w:r>
            <w:r>
              <w:rPr>
                <w:rFonts w:ascii="Arial" w:hAnsi="Arial"/>
                <w:spacing w:val="-11"/>
                <w:sz w:val="22"/>
              </w:rPr>
              <w:t> </w:t>
            </w:r>
            <w:r>
              <w:rPr>
                <w:rFonts w:ascii="Arial" w:hAnsi="Arial"/>
                <w:spacing w:val="-5"/>
                <w:sz w:val="22"/>
              </w:rPr>
              <w:t>Report</w:t>
            </w:r>
          </w:p>
          <w:p>
            <w:pPr>
              <w:pStyle w:val="TableParagraph"/>
              <w:numPr>
                <w:ilvl w:val="1"/>
                <w:numId w:val="1"/>
              </w:numPr>
              <w:tabs>
                <w:tab w:pos="1625" w:val="left" w:leader="none"/>
                <w:tab w:pos="1626" w:val="left" w:leader="none"/>
              </w:tabs>
              <w:spacing w:line="237" w:lineRule="auto" w:before="2" w:after="0"/>
              <w:ind w:left="1625" w:right="1083" w:hanging="360"/>
              <w:jc w:val="left"/>
              <w:rPr>
                <w:rFonts w:ascii="Times New Roman" w:hAnsi="Times New Roman"/>
                <w:sz w:val="22"/>
              </w:rPr>
            </w:pPr>
            <w:r>
              <w:rPr>
                <w:rFonts w:ascii="Arial" w:hAnsi="Arial"/>
                <w:spacing w:val="-6"/>
                <w:sz w:val="22"/>
              </w:rPr>
              <w:t>Reading </w:t>
            </w:r>
            <w:r>
              <w:rPr>
                <w:rFonts w:ascii="Arial" w:hAnsi="Arial"/>
                <w:spacing w:val="-3"/>
                <w:sz w:val="22"/>
              </w:rPr>
              <w:t>of </w:t>
            </w:r>
            <w:r>
              <w:rPr>
                <w:rFonts w:ascii="Arial" w:hAnsi="Arial"/>
                <w:spacing w:val="-5"/>
                <w:sz w:val="22"/>
              </w:rPr>
              <w:t>Minutes, June </w:t>
            </w:r>
            <w:r>
              <w:rPr>
                <w:rFonts w:ascii="Arial" w:hAnsi="Arial"/>
                <w:spacing w:val="-4"/>
                <w:sz w:val="22"/>
              </w:rPr>
              <w:t>20, </w:t>
            </w:r>
            <w:r>
              <w:rPr>
                <w:rFonts w:ascii="Arial" w:hAnsi="Arial"/>
                <w:spacing w:val="-5"/>
                <w:sz w:val="22"/>
              </w:rPr>
              <w:t>2025 </w:t>
            </w:r>
            <w:r>
              <w:rPr>
                <w:rFonts w:ascii="Arial" w:hAnsi="Arial"/>
                <w:sz w:val="22"/>
              </w:rPr>
              <w:t>– </w:t>
            </w:r>
            <w:r>
              <w:rPr>
                <w:rFonts w:ascii="Arial" w:hAnsi="Arial"/>
                <w:spacing w:val="-6"/>
                <w:sz w:val="22"/>
              </w:rPr>
              <w:t>Regular Meeting, </w:t>
            </w:r>
            <w:r>
              <w:rPr>
                <w:rFonts w:ascii="Arial" w:hAnsi="Arial"/>
                <w:spacing w:val="-5"/>
                <w:sz w:val="22"/>
              </w:rPr>
              <w:t>CNYRTA </w:t>
            </w:r>
            <w:r>
              <w:rPr>
                <w:rFonts w:ascii="Arial" w:hAnsi="Arial"/>
                <w:sz w:val="22"/>
              </w:rPr>
              <w:t>&amp;</w:t>
            </w:r>
            <w:r>
              <w:rPr>
                <w:rFonts w:ascii="Arial" w:hAnsi="Arial"/>
                <w:spacing w:val="-10"/>
                <w:sz w:val="22"/>
              </w:rPr>
              <w:t> </w:t>
            </w:r>
            <w:r>
              <w:rPr>
                <w:rFonts w:ascii="Arial" w:hAnsi="Arial"/>
                <w:spacing w:val="-6"/>
                <w:sz w:val="22"/>
              </w:rPr>
              <w:t>Subsidiaries</w:t>
            </w:r>
          </w:p>
          <w:p>
            <w:pPr>
              <w:pStyle w:val="TableParagraph"/>
              <w:numPr>
                <w:ilvl w:val="1"/>
                <w:numId w:val="1"/>
              </w:numPr>
              <w:tabs>
                <w:tab w:pos="1626" w:val="left" w:leader="none"/>
              </w:tabs>
              <w:spacing w:line="240" w:lineRule="auto" w:before="2" w:after="0"/>
              <w:ind w:left="1625" w:right="0" w:hanging="361"/>
              <w:jc w:val="left"/>
              <w:rPr>
                <w:rFonts w:ascii="Times New Roman"/>
                <w:sz w:val="22"/>
              </w:rPr>
            </w:pPr>
            <w:r>
              <w:rPr>
                <w:rFonts w:ascii="Arial"/>
                <w:spacing w:val="-5"/>
                <w:sz w:val="22"/>
              </w:rPr>
              <w:t>Future </w:t>
            </w:r>
            <w:r>
              <w:rPr>
                <w:rFonts w:ascii="Arial"/>
                <w:spacing w:val="-6"/>
                <w:sz w:val="22"/>
              </w:rPr>
              <w:t>Committee</w:t>
            </w:r>
            <w:r>
              <w:rPr>
                <w:rFonts w:ascii="Arial"/>
                <w:spacing w:val="-16"/>
                <w:sz w:val="22"/>
              </w:rPr>
              <w:t> </w:t>
            </w:r>
            <w:r>
              <w:rPr>
                <w:rFonts w:ascii="Arial"/>
                <w:spacing w:val="-6"/>
                <w:sz w:val="22"/>
              </w:rPr>
              <w:t>Meetings</w:t>
            </w:r>
          </w:p>
          <w:p>
            <w:pPr>
              <w:pStyle w:val="TableParagraph"/>
              <w:spacing w:before="11"/>
              <w:rPr>
                <w:rFonts w:ascii="Times New Roman"/>
                <w:sz w:val="21"/>
              </w:rPr>
            </w:pPr>
          </w:p>
          <w:p>
            <w:pPr>
              <w:pStyle w:val="TableParagraph"/>
              <w:numPr>
                <w:ilvl w:val="0"/>
                <w:numId w:val="1"/>
              </w:numPr>
              <w:tabs>
                <w:tab w:pos="652" w:val="left" w:leader="none"/>
              </w:tabs>
              <w:spacing w:line="252" w:lineRule="exact" w:before="0" w:after="0"/>
              <w:ind w:left="651" w:right="0" w:hanging="361"/>
              <w:jc w:val="left"/>
              <w:rPr>
                <w:rFonts w:ascii="Arial" w:hAnsi="Arial"/>
                <w:sz w:val="22"/>
              </w:rPr>
            </w:pPr>
            <w:r>
              <w:rPr>
                <w:rFonts w:ascii="Arial" w:hAnsi="Arial"/>
                <w:spacing w:val="-5"/>
                <w:sz w:val="22"/>
              </w:rPr>
              <w:t>Chief Executive Officer’s Report </w:t>
            </w:r>
            <w:r>
              <w:rPr>
                <w:rFonts w:ascii="Arial" w:hAnsi="Arial"/>
                <w:sz w:val="22"/>
              </w:rPr>
              <w:t>– </w:t>
            </w:r>
            <w:r>
              <w:rPr>
                <w:rFonts w:ascii="Arial" w:hAnsi="Arial"/>
                <w:spacing w:val="-6"/>
                <w:sz w:val="22"/>
              </w:rPr>
              <w:t>Christopher</w:t>
            </w:r>
            <w:r>
              <w:rPr>
                <w:rFonts w:ascii="Arial" w:hAnsi="Arial"/>
                <w:spacing w:val="-41"/>
                <w:sz w:val="22"/>
              </w:rPr>
              <w:t> </w:t>
            </w:r>
            <w:r>
              <w:rPr>
                <w:rFonts w:ascii="Arial" w:hAnsi="Arial"/>
                <w:spacing w:val="-6"/>
                <w:sz w:val="22"/>
              </w:rPr>
              <w:t>Tuff</w:t>
            </w:r>
          </w:p>
          <w:p>
            <w:pPr>
              <w:pStyle w:val="TableParagraph"/>
              <w:numPr>
                <w:ilvl w:val="1"/>
                <w:numId w:val="1"/>
              </w:numPr>
              <w:tabs>
                <w:tab w:pos="1625" w:val="left" w:leader="none"/>
                <w:tab w:pos="1626" w:val="left" w:leader="none"/>
              </w:tabs>
              <w:spacing w:line="253" w:lineRule="exact" w:before="0" w:after="0"/>
              <w:ind w:left="1625" w:right="0" w:hanging="361"/>
              <w:jc w:val="left"/>
              <w:rPr>
                <w:rFonts w:ascii="Times New Roman"/>
                <w:sz w:val="22"/>
              </w:rPr>
            </w:pPr>
            <w:r>
              <w:rPr>
                <w:rFonts w:ascii="Arial"/>
                <w:spacing w:val="-6"/>
                <w:sz w:val="22"/>
              </w:rPr>
              <w:t>Legislative</w:t>
            </w:r>
            <w:r>
              <w:rPr>
                <w:rFonts w:ascii="Arial"/>
                <w:spacing w:val="-12"/>
                <w:sz w:val="22"/>
              </w:rPr>
              <w:t> </w:t>
            </w:r>
            <w:r>
              <w:rPr>
                <w:rFonts w:ascii="Arial"/>
                <w:spacing w:val="-5"/>
                <w:sz w:val="22"/>
              </w:rPr>
              <w:t>Matters</w:t>
            </w:r>
          </w:p>
          <w:p>
            <w:pPr>
              <w:pStyle w:val="TableParagraph"/>
              <w:numPr>
                <w:ilvl w:val="1"/>
                <w:numId w:val="1"/>
              </w:numPr>
              <w:tabs>
                <w:tab w:pos="1626" w:val="left" w:leader="none"/>
              </w:tabs>
              <w:spacing w:line="253" w:lineRule="exact" w:before="1" w:after="0"/>
              <w:ind w:left="1625" w:right="0" w:hanging="361"/>
              <w:jc w:val="left"/>
              <w:rPr>
                <w:rFonts w:ascii="Times New Roman"/>
                <w:sz w:val="22"/>
              </w:rPr>
            </w:pPr>
            <w:r>
              <w:rPr>
                <w:rFonts w:ascii="Arial"/>
                <w:spacing w:val="-5"/>
                <w:sz w:val="22"/>
              </w:rPr>
              <w:t>Service</w:t>
            </w:r>
            <w:r>
              <w:rPr>
                <w:rFonts w:ascii="Arial"/>
                <w:spacing w:val="-12"/>
                <w:sz w:val="22"/>
              </w:rPr>
              <w:t> </w:t>
            </w:r>
            <w:r>
              <w:rPr>
                <w:rFonts w:ascii="Arial"/>
                <w:spacing w:val="-6"/>
                <w:sz w:val="22"/>
              </w:rPr>
              <w:t>Matters</w:t>
            </w:r>
          </w:p>
          <w:p>
            <w:pPr>
              <w:pStyle w:val="TableParagraph"/>
              <w:numPr>
                <w:ilvl w:val="1"/>
                <w:numId w:val="1"/>
              </w:numPr>
              <w:tabs>
                <w:tab w:pos="1625" w:val="left" w:leader="none"/>
                <w:tab w:pos="1626" w:val="left" w:leader="none"/>
              </w:tabs>
              <w:spacing w:line="253" w:lineRule="exact" w:before="0" w:after="0"/>
              <w:ind w:left="1625" w:right="0" w:hanging="361"/>
              <w:jc w:val="left"/>
              <w:rPr>
                <w:rFonts w:ascii="Times New Roman"/>
                <w:sz w:val="22"/>
              </w:rPr>
            </w:pPr>
            <w:r>
              <w:rPr>
                <w:rFonts w:ascii="Arial"/>
                <w:spacing w:val="-5"/>
                <w:sz w:val="22"/>
              </w:rPr>
              <w:t>Senior </w:t>
            </w:r>
            <w:r>
              <w:rPr>
                <w:rFonts w:ascii="Arial"/>
                <w:spacing w:val="-6"/>
                <w:sz w:val="22"/>
              </w:rPr>
              <w:t>Staff</w:t>
            </w:r>
            <w:r>
              <w:rPr>
                <w:rFonts w:ascii="Arial"/>
                <w:spacing w:val="-13"/>
                <w:sz w:val="22"/>
              </w:rPr>
              <w:t> </w:t>
            </w:r>
            <w:r>
              <w:rPr>
                <w:rFonts w:ascii="Arial"/>
                <w:spacing w:val="-5"/>
                <w:sz w:val="22"/>
              </w:rPr>
              <w:t>Reports</w:t>
            </w:r>
          </w:p>
          <w:p>
            <w:pPr>
              <w:pStyle w:val="TableParagraph"/>
              <w:spacing w:before="10"/>
              <w:rPr>
                <w:rFonts w:ascii="Times New Roman"/>
                <w:sz w:val="21"/>
              </w:rPr>
            </w:pPr>
          </w:p>
          <w:p>
            <w:pPr>
              <w:pStyle w:val="TableParagraph"/>
              <w:numPr>
                <w:ilvl w:val="0"/>
                <w:numId w:val="1"/>
              </w:numPr>
              <w:tabs>
                <w:tab w:pos="651" w:val="left" w:leader="none"/>
              </w:tabs>
              <w:spacing w:line="252" w:lineRule="exact" w:before="0" w:after="0"/>
              <w:ind w:left="650" w:right="0" w:hanging="361"/>
              <w:jc w:val="left"/>
              <w:rPr>
                <w:rFonts w:ascii="Arial"/>
                <w:sz w:val="22"/>
              </w:rPr>
            </w:pPr>
            <w:r>
              <w:rPr>
                <w:rFonts w:ascii="Arial"/>
                <w:spacing w:val="-5"/>
                <w:sz w:val="22"/>
              </w:rPr>
              <w:t>Audit </w:t>
            </w:r>
            <w:r>
              <w:rPr>
                <w:rFonts w:ascii="Arial"/>
                <w:spacing w:val="-4"/>
                <w:sz w:val="22"/>
              </w:rPr>
              <w:t>and </w:t>
            </w:r>
            <w:r>
              <w:rPr>
                <w:rFonts w:ascii="Arial"/>
                <w:spacing w:val="-5"/>
                <w:sz w:val="22"/>
              </w:rPr>
              <w:t>Finance Committee</w:t>
            </w:r>
            <w:r>
              <w:rPr>
                <w:rFonts w:ascii="Arial"/>
                <w:spacing w:val="-30"/>
                <w:sz w:val="22"/>
              </w:rPr>
              <w:t> </w:t>
            </w:r>
            <w:r>
              <w:rPr>
                <w:rFonts w:ascii="Arial"/>
                <w:spacing w:val="-5"/>
                <w:sz w:val="22"/>
              </w:rPr>
              <w:t>Report</w:t>
            </w:r>
          </w:p>
          <w:p>
            <w:pPr>
              <w:pStyle w:val="TableParagraph"/>
              <w:spacing w:line="252" w:lineRule="exact"/>
              <w:ind w:left="690" w:right="689"/>
              <w:jc w:val="center"/>
              <w:rPr>
                <w:rFonts w:ascii="Arial" w:hAnsi="Arial"/>
                <w:sz w:val="22"/>
              </w:rPr>
            </w:pPr>
            <w:r>
              <w:rPr>
                <w:rFonts w:ascii="Arial" w:hAnsi="Arial"/>
                <w:sz w:val="22"/>
              </w:rPr>
              <w:t>Finance Report – Vice President of Finance – Melissa Brim</w:t>
            </w:r>
          </w:p>
          <w:p>
            <w:pPr>
              <w:pStyle w:val="TableParagraph"/>
              <w:numPr>
                <w:ilvl w:val="1"/>
                <w:numId w:val="1"/>
              </w:numPr>
              <w:tabs>
                <w:tab w:pos="1625" w:val="left" w:leader="none"/>
                <w:tab w:pos="1626" w:val="left" w:leader="none"/>
              </w:tabs>
              <w:spacing w:line="240" w:lineRule="auto" w:before="185" w:after="0"/>
              <w:ind w:left="1625" w:right="0" w:hanging="361"/>
              <w:jc w:val="left"/>
              <w:rPr>
                <w:rFonts w:ascii="Times New Roman" w:hAnsi="Times New Roman"/>
                <w:sz w:val="22"/>
              </w:rPr>
            </w:pPr>
            <w:r>
              <w:rPr>
                <w:rFonts w:ascii="Arial" w:hAnsi="Arial"/>
                <w:spacing w:val="-6"/>
                <w:sz w:val="22"/>
              </w:rPr>
              <w:t>Resolution </w:t>
            </w:r>
            <w:r>
              <w:rPr>
                <w:rFonts w:ascii="Arial" w:hAnsi="Arial"/>
                <w:sz w:val="22"/>
              </w:rPr>
              <w:t>– </w:t>
            </w:r>
            <w:r>
              <w:rPr>
                <w:rFonts w:ascii="Arial" w:hAnsi="Arial"/>
                <w:spacing w:val="-6"/>
                <w:sz w:val="22"/>
              </w:rPr>
              <w:t>Exhaust Extraction System Installation </w:t>
            </w:r>
            <w:r>
              <w:rPr>
                <w:rFonts w:ascii="Arial" w:hAnsi="Arial"/>
                <w:sz w:val="22"/>
              </w:rPr>
              <w:t>– </w:t>
            </w:r>
            <w:r>
              <w:rPr>
                <w:rFonts w:ascii="Arial" w:hAnsi="Arial"/>
                <w:spacing w:val="-5"/>
                <w:sz w:val="22"/>
              </w:rPr>
              <w:t>Chris</w:t>
            </w:r>
            <w:r>
              <w:rPr>
                <w:rFonts w:ascii="Arial" w:hAnsi="Arial"/>
                <w:spacing w:val="-39"/>
                <w:sz w:val="22"/>
              </w:rPr>
              <w:t> </w:t>
            </w:r>
            <w:r>
              <w:rPr>
                <w:rFonts w:ascii="Arial" w:hAnsi="Arial"/>
                <w:spacing w:val="-5"/>
                <w:sz w:val="22"/>
              </w:rPr>
              <w:t>King</w:t>
            </w:r>
          </w:p>
          <w:p>
            <w:pPr>
              <w:pStyle w:val="TableParagraph"/>
              <w:numPr>
                <w:ilvl w:val="1"/>
                <w:numId w:val="1"/>
              </w:numPr>
              <w:tabs>
                <w:tab w:pos="1626" w:val="left" w:leader="none"/>
              </w:tabs>
              <w:spacing w:line="240" w:lineRule="auto" w:before="183" w:after="0"/>
              <w:ind w:left="1625" w:right="0" w:hanging="361"/>
              <w:jc w:val="left"/>
              <w:rPr>
                <w:rFonts w:ascii="Times New Roman" w:hAnsi="Times New Roman"/>
                <w:color w:val="232323"/>
                <w:sz w:val="22"/>
              </w:rPr>
            </w:pPr>
            <w:r>
              <w:rPr>
                <w:rFonts w:ascii="Arial" w:hAnsi="Arial"/>
                <w:spacing w:val="-6"/>
                <w:sz w:val="22"/>
              </w:rPr>
              <w:t>Resolution </w:t>
            </w:r>
            <w:r>
              <w:rPr>
                <w:rFonts w:ascii="Arial" w:hAnsi="Arial"/>
                <w:sz w:val="22"/>
              </w:rPr>
              <w:t>– </w:t>
            </w:r>
            <w:r>
              <w:rPr>
                <w:rFonts w:ascii="Arial" w:hAnsi="Arial"/>
                <w:color w:val="232323"/>
                <w:sz w:val="22"/>
              </w:rPr>
              <w:t>Minivan Service A 2026-2031 – Jason</w:t>
            </w:r>
            <w:r>
              <w:rPr>
                <w:rFonts w:ascii="Arial" w:hAnsi="Arial"/>
                <w:color w:val="232323"/>
                <w:spacing w:val="-42"/>
                <w:sz w:val="22"/>
              </w:rPr>
              <w:t> </w:t>
            </w:r>
            <w:r>
              <w:rPr>
                <w:rFonts w:ascii="Arial" w:hAnsi="Arial"/>
                <w:color w:val="232323"/>
                <w:sz w:val="22"/>
              </w:rPr>
              <w:t>Smith</w:t>
            </w:r>
          </w:p>
          <w:p>
            <w:pPr>
              <w:pStyle w:val="TableParagraph"/>
              <w:rPr>
                <w:rFonts w:ascii="Times New Roman"/>
                <w:sz w:val="24"/>
              </w:rPr>
            </w:pPr>
          </w:p>
          <w:p>
            <w:pPr>
              <w:pStyle w:val="TableParagraph"/>
              <w:numPr>
                <w:ilvl w:val="0"/>
                <w:numId w:val="1"/>
              </w:numPr>
              <w:tabs>
                <w:tab w:pos="652" w:val="left" w:leader="none"/>
              </w:tabs>
              <w:spacing w:line="480" w:lineRule="auto" w:before="161" w:after="0"/>
              <w:ind w:left="291" w:right="5539" w:firstLine="0"/>
              <w:jc w:val="left"/>
              <w:rPr>
                <w:rFonts w:ascii="Arial"/>
                <w:sz w:val="22"/>
              </w:rPr>
            </w:pPr>
            <w:r>
              <w:rPr>
                <w:rFonts w:ascii="Arial"/>
                <w:spacing w:val="-5"/>
                <w:sz w:val="22"/>
              </w:rPr>
              <w:t>Pension Committee Report </w:t>
            </w:r>
            <w:r>
              <w:rPr>
                <w:rFonts w:ascii="Arial"/>
                <w:spacing w:val="-3"/>
                <w:sz w:val="22"/>
              </w:rPr>
              <w:t>5- </w:t>
            </w:r>
            <w:r>
              <w:rPr>
                <w:rFonts w:ascii="Arial"/>
                <w:spacing w:val="-4"/>
                <w:sz w:val="22"/>
              </w:rPr>
              <w:t>Old</w:t>
            </w:r>
            <w:r>
              <w:rPr>
                <w:rFonts w:ascii="Arial"/>
                <w:spacing w:val="-14"/>
                <w:sz w:val="22"/>
              </w:rPr>
              <w:t> </w:t>
            </w:r>
            <w:r>
              <w:rPr>
                <w:rFonts w:ascii="Arial"/>
                <w:spacing w:val="-6"/>
                <w:sz w:val="22"/>
              </w:rPr>
              <w:t>Business</w:t>
            </w:r>
          </w:p>
          <w:p>
            <w:pPr>
              <w:pStyle w:val="TableParagraph"/>
              <w:spacing w:line="251" w:lineRule="exact"/>
              <w:ind w:left="291"/>
              <w:rPr>
                <w:rFonts w:ascii="Arial"/>
                <w:sz w:val="22"/>
              </w:rPr>
            </w:pPr>
            <w:r>
              <w:rPr>
                <w:rFonts w:ascii="Arial"/>
                <w:sz w:val="22"/>
              </w:rPr>
              <w:t>6- New Business</w:t>
            </w:r>
          </w:p>
          <w:p>
            <w:pPr>
              <w:pStyle w:val="TableParagraph"/>
              <w:rPr>
                <w:rFonts w:ascii="Times New Roman"/>
                <w:sz w:val="24"/>
              </w:rPr>
            </w:pPr>
          </w:p>
          <w:p>
            <w:pPr>
              <w:pStyle w:val="TableParagraph"/>
              <w:rPr>
                <w:rFonts w:ascii="Times New Roman"/>
                <w:sz w:val="24"/>
              </w:rPr>
            </w:pPr>
          </w:p>
          <w:p>
            <w:pPr>
              <w:pStyle w:val="TableParagraph"/>
              <w:spacing w:line="211" w:lineRule="exact" w:before="162"/>
              <w:ind w:left="855" w:right="689"/>
              <w:jc w:val="center"/>
              <w:rPr>
                <w:rFonts w:ascii="Arial"/>
                <w:sz w:val="20"/>
              </w:rPr>
            </w:pPr>
            <w:r>
              <w:rPr>
                <w:rFonts w:ascii="Arial"/>
                <w:sz w:val="20"/>
              </w:rPr>
              <w:t>This agenda may be amended by the addition or deletion of items for discussion.</w:t>
            </w:r>
          </w:p>
        </w:tc>
        <w:tc>
          <w:tcPr>
            <w:tcW w:w="2758" w:type="dxa"/>
            <w:tcBorders>
              <w:left w:val="single" w:sz="8" w:space="0" w:color="0075BD"/>
            </w:tcBorders>
          </w:tcPr>
          <w:p>
            <w:pPr>
              <w:pStyle w:val="TableParagraph"/>
              <w:ind w:left="98"/>
              <w:rPr>
                <w:rFonts w:ascii="Arial Narrow"/>
                <w:b/>
                <w:sz w:val="24"/>
              </w:rPr>
            </w:pPr>
            <w:r>
              <w:rPr>
                <w:rFonts w:ascii="Arial Narrow"/>
                <w:b/>
                <w:color w:val="0075BD"/>
                <w:sz w:val="24"/>
              </w:rPr>
              <w:t>BOARD OF MEMBERS</w:t>
            </w:r>
          </w:p>
          <w:p>
            <w:pPr>
              <w:pStyle w:val="TableParagraph"/>
              <w:spacing w:before="228"/>
              <w:ind w:left="98"/>
              <w:rPr>
                <w:rFonts w:ascii="Arial Narrow"/>
                <w:b/>
                <w:sz w:val="20"/>
              </w:rPr>
            </w:pPr>
            <w:r>
              <w:rPr>
                <w:rFonts w:ascii="Arial Narrow"/>
                <w:b/>
                <w:sz w:val="20"/>
              </w:rPr>
              <w:t>Nicholas F. Laino</w:t>
            </w:r>
          </w:p>
          <w:p>
            <w:pPr>
              <w:pStyle w:val="TableParagraph"/>
              <w:spacing w:before="1"/>
              <w:ind w:left="98"/>
              <w:rPr>
                <w:rFonts w:ascii="Arial Narrow" w:hAnsi="Arial Narrow"/>
                <w:i/>
                <w:sz w:val="20"/>
              </w:rPr>
            </w:pPr>
            <w:r>
              <w:rPr>
                <w:rFonts w:ascii="Arial Narrow" w:hAnsi="Arial Narrow"/>
                <w:i/>
                <w:sz w:val="20"/>
              </w:rPr>
              <w:t>Chairman – Oneida County</w:t>
            </w:r>
          </w:p>
          <w:p>
            <w:pPr>
              <w:pStyle w:val="TableParagraph"/>
              <w:spacing w:before="11"/>
              <w:rPr>
                <w:rFonts w:ascii="Times New Roman"/>
                <w:sz w:val="19"/>
              </w:rPr>
            </w:pPr>
          </w:p>
          <w:p>
            <w:pPr>
              <w:pStyle w:val="TableParagraph"/>
              <w:spacing w:line="229" w:lineRule="exact"/>
              <w:ind w:left="98"/>
              <w:rPr>
                <w:rFonts w:ascii="Arial Narrow"/>
                <w:b/>
                <w:sz w:val="20"/>
              </w:rPr>
            </w:pPr>
            <w:r>
              <w:rPr>
                <w:rFonts w:ascii="Arial Narrow"/>
                <w:b/>
                <w:sz w:val="20"/>
              </w:rPr>
              <w:t>Anthony Q. Davis Sr.</w:t>
            </w:r>
          </w:p>
          <w:p>
            <w:pPr>
              <w:pStyle w:val="TableParagraph"/>
              <w:spacing w:line="229" w:lineRule="exact"/>
              <w:ind w:left="98"/>
              <w:rPr>
                <w:rFonts w:ascii="Arial Narrow" w:hAnsi="Arial Narrow"/>
                <w:i/>
                <w:sz w:val="20"/>
              </w:rPr>
            </w:pPr>
            <w:r>
              <w:rPr>
                <w:rFonts w:ascii="Arial Narrow" w:hAnsi="Arial Narrow"/>
                <w:i/>
                <w:sz w:val="20"/>
              </w:rPr>
              <w:t>Vice Chairman – City of Syracuse</w:t>
            </w:r>
          </w:p>
          <w:p>
            <w:pPr>
              <w:pStyle w:val="TableParagraph"/>
              <w:spacing w:before="1"/>
              <w:rPr>
                <w:rFonts w:ascii="Times New Roman"/>
                <w:sz w:val="20"/>
              </w:rPr>
            </w:pPr>
          </w:p>
          <w:p>
            <w:pPr>
              <w:pStyle w:val="TableParagraph"/>
              <w:spacing w:line="229" w:lineRule="exact"/>
              <w:ind w:left="98"/>
              <w:rPr>
                <w:rFonts w:ascii="Arial Narrow"/>
                <w:b/>
                <w:sz w:val="20"/>
              </w:rPr>
            </w:pPr>
            <w:r>
              <w:rPr>
                <w:rFonts w:ascii="Arial Narrow"/>
                <w:b/>
                <w:sz w:val="20"/>
              </w:rPr>
              <w:t>Darlene DeRosa Lattimore</w:t>
            </w:r>
          </w:p>
          <w:p>
            <w:pPr>
              <w:pStyle w:val="TableParagraph"/>
              <w:spacing w:line="229" w:lineRule="exact"/>
              <w:ind w:left="98"/>
              <w:rPr>
                <w:rFonts w:ascii="Arial Narrow" w:hAnsi="Arial Narrow"/>
                <w:i/>
                <w:sz w:val="20"/>
              </w:rPr>
            </w:pPr>
            <w:r>
              <w:rPr>
                <w:rFonts w:ascii="Arial Narrow" w:hAnsi="Arial Narrow"/>
                <w:i/>
                <w:sz w:val="20"/>
              </w:rPr>
              <w:t>Secretary – Cayuga County</w:t>
            </w:r>
          </w:p>
          <w:p>
            <w:pPr>
              <w:pStyle w:val="TableParagraph"/>
              <w:spacing w:before="2"/>
              <w:rPr>
                <w:rFonts w:ascii="Times New Roman"/>
                <w:sz w:val="20"/>
              </w:rPr>
            </w:pPr>
          </w:p>
          <w:p>
            <w:pPr>
              <w:pStyle w:val="TableParagraph"/>
              <w:spacing w:line="229" w:lineRule="exact"/>
              <w:ind w:left="98"/>
              <w:rPr>
                <w:rFonts w:ascii="Arial Narrow"/>
                <w:b/>
                <w:sz w:val="20"/>
              </w:rPr>
            </w:pPr>
            <w:r>
              <w:rPr>
                <w:rFonts w:ascii="Arial Narrow"/>
                <w:b/>
                <w:sz w:val="20"/>
              </w:rPr>
              <w:t>Tina M. Fitzgerald</w:t>
            </w:r>
          </w:p>
          <w:p>
            <w:pPr>
              <w:pStyle w:val="TableParagraph"/>
              <w:spacing w:line="229" w:lineRule="exact"/>
              <w:ind w:left="98"/>
              <w:rPr>
                <w:rFonts w:ascii="Arial Narrow" w:hAnsi="Arial Narrow"/>
                <w:i/>
                <w:sz w:val="20"/>
              </w:rPr>
            </w:pPr>
            <w:r>
              <w:rPr>
                <w:rFonts w:ascii="Arial Narrow" w:hAnsi="Arial Narrow"/>
                <w:i/>
                <w:sz w:val="20"/>
              </w:rPr>
              <w:t>Treasurer – Governor’s Office</w:t>
            </w:r>
          </w:p>
          <w:p>
            <w:pPr>
              <w:pStyle w:val="TableParagraph"/>
              <w:spacing w:before="10"/>
              <w:rPr>
                <w:rFonts w:ascii="Times New Roman"/>
                <w:sz w:val="19"/>
              </w:rPr>
            </w:pPr>
          </w:p>
          <w:p>
            <w:pPr>
              <w:pStyle w:val="TableParagraph"/>
              <w:ind w:left="98"/>
              <w:rPr>
                <w:rFonts w:ascii="Arial Narrow"/>
                <w:b/>
                <w:sz w:val="20"/>
              </w:rPr>
            </w:pPr>
            <w:r>
              <w:rPr>
                <w:rFonts w:ascii="Arial Narrow"/>
                <w:b/>
                <w:sz w:val="20"/>
              </w:rPr>
              <w:t>Neil Burke</w:t>
            </w:r>
          </w:p>
          <w:p>
            <w:pPr>
              <w:pStyle w:val="TableParagraph"/>
              <w:spacing w:before="1"/>
              <w:ind w:left="98"/>
              <w:rPr>
                <w:rFonts w:ascii="Arial Narrow" w:hAnsi="Arial Narrow"/>
                <w:i/>
                <w:sz w:val="20"/>
              </w:rPr>
            </w:pPr>
            <w:r>
              <w:rPr>
                <w:rFonts w:ascii="Arial Narrow" w:hAnsi="Arial Narrow"/>
                <w:i/>
                <w:sz w:val="20"/>
              </w:rPr>
              <w:t>Member – City of Syracuse</w:t>
            </w:r>
          </w:p>
          <w:p>
            <w:pPr>
              <w:pStyle w:val="TableParagraph"/>
              <w:spacing w:before="11"/>
              <w:rPr>
                <w:rFonts w:ascii="Times New Roman"/>
                <w:sz w:val="19"/>
              </w:rPr>
            </w:pPr>
          </w:p>
          <w:p>
            <w:pPr>
              <w:pStyle w:val="TableParagraph"/>
              <w:ind w:left="98"/>
              <w:rPr>
                <w:rFonts w:ascii="Arial Narrow"/>
                <w:b/>
                <w:sz w:val="20"/>
              </w:rPr>
            </w:pPr>
            <w:r>
              <w:rPr>
                <w:rFonts w:ascii="Arial Narrow"/>
                <w:b/>
                <w:sz w:val="20"/>
              </w:rPr>
              <w:t>Robert F. Cuculich</w:t>
            </w:r>
          </w:p>
          <w:p>
            <w:pPr>
              <w:pStyle w:val="TableParagraph"/>
              <w:spacing w:before="1"/>
              <w:ind w:left="98"/>
              <w:rPr>
                <w:rFonts w:ascii="Arial Narrow" w:hAnsi="Arial Narrow"/>
                <w:i/>
                <w:sz w:val="20"/>
              </w:rPr>
            </w:pPr>
            <w:r>
              <w:rPr>
                <w:rFonts w:ascii="Arial Narrow" w:hAnsi="Arial Narrow"/>
                <w:i/>
                <w:sz w:val="20"/>
              </w:rPr>
              <w:t>Member – Onondaga County</w:t>
            </w:r>
          </w:p>
          <w:p>
            <w:pPr>
              <w:pStyle w:val="TableParagraph"/>
              <w:spacing w:before="10"/>
              <w:rPr>
                <w:rFonts w:ascii="Times New Roman"/>
                <w:sz w:val="19"/>
              </w:rPr>
            </w:pPr>
          </w:p>
          <w:p>
            <w:pPr>
              <w:pStyle w:val="TableParagraph"/>
              <w:ind w:left="98"/>
              <w:rPr>
                <w:rFonts w:ascii="Arial Narrow"/>
                <w:b/>
                <w:sz w:val="20"/>
              </w:rPr>
            </w:pPr>
            <w:r>
              <w:rPr>
                <w:rFonts w:ascii="Arial Narrow"/>
                <w:b/>
                <w:sz w:val="20"/>
              </w:rPr>
              <w:t>Julius L. Lawrence Jr.</w:t>
            </w:r>
          </w:p>
          <w:p>
            <w:pPr>
              <w:pStyle w:val="TableParagraph"/>
              <w:spacing w:before="1"/>
              <w:ind w:left="98"/>
              <w:rPr>
                <w:rFonts w:ascii="Arial Narrow" w:hAnsi="Arial Narrow"/>
                <w:i/>
                <w:sz w:val="20"/>
              </w:rPr>
            </w:pPr>
            <w:r>
              <w:rPr>
                <w:rFonts w:ascii="Arial Narrow" w:hAnsi="Arial Narrow"/>
                <w:i/>
                <w:sz w:val="20"/>
              </w:rPr>
              <w:t>Member – City of Syracuse</w:t>
            </w:r>
          </w:p>
          <w:p>
            <w:pPr>
              <w:pStyle w:val="TableParagraph"/>
              <w:spacing w:before="11"/>
              <w:rPr>
                <w:rFonts w:ascii="Times New Roman"/>
                <w:sz w:val="19"/>
              </w:rPr>
            </w:pPr>
          </w:p>
          <w:p>
            <w:pPr>
              <w:pStyle w:val="TableParagraph"/>
              <w:ind w:left="98"/>
              <w:rPr>
                <w:rFonts w:ascii="Arial Narrow"/>
                <w:b/>
                <w:sz w:val="20"/>
              </w:rPr>
            </w:pPr>
            <w:r>
              <w:rPr>
                <w:rFonts w:ascii="Arial Narrow"/>
                <w:b/>
                <w:sz w:val="20"/>
              </w:rPr>
              <w:t>Heather Snow</w:t>
            </w:r>
          </w:p>
          <w:p>
            <w:pPr>
              <w:pStyle w:val="TableParagraph"/>
              <w:spacing w:before="1"/>
              <w:ind w:left="98"/>
              <w:rPr>
                <w:rFonts w:ascii="Arial Narrow" w:hAnsi="Arial Narrow"/>
                <w:i/>
                <w:sz w:val="20"/>
              </w:rPr>
            </w:pPr>
            <w:r>
              <w:rPr>
                <w:rFonts w:ascii="Arial Narrow" w:hAnsi="Arial Narrow"/>
                <w:i/>
                <w:sz w:val="20"/>
              </w:rPr>
              <w:t>Member – Oswego County</w:t>
            </w:r>
          </w:p>
          <w:p>
            <w:pPr>
              <w:pStyle w:val="TableParagraph"/>
              <w:spacing w:before="10"/>
              <w:rPr>
                <w:rFonts w:ascii="Times New Roman"/>
                <w:sz w:val="19"/>
              </w:rPr>
            </w:pPr>
          </w:p>
          <w:p>
            <w:pPr>
              <w:pStyle w:val="TableParagraph"/>
              <w:spacing w:line="229" w:lineRule="exact" w:before="1"/>
              <w:ind w:left="98"/>
              <w:rPr>
                <w:rFonts w:ascii="Arial Narrow"/>
                <w:b/>
                <w:sz w:val="20"/>
              </w:rPr>
            </w:pPr>
            <w:r>
              <w:rPr>
                <w:rFonts w:ascii="Arial Narrow"/>
                <w:b/>
                <w:sz w:val="20"/>
              </w:rPr>
              <w:t>Louella Williams</w:t>
            </w:r>
          </w:p>
          <w:p>
            <w:pPr>
              <w:pStyle w:val="TableParagraph"/>
              <w:spacing w:line="229" w:lineRule="exact"/>
              <w:ind w:left="98"/>
              <w:rPr>
                <w:rFonts w:ascii="Arial Narrow" w:hAnsi="Arial Narrow"/>
                <w:i/>
                <w:sz w:val="20"/>
              </w:rPr>
            </w:pPr>
            <w:r>
              <w:rPr>
                <w:rFonts w:ascii="Arial Narrow" w:hAnsi="Arial Narrow"/>
                <w:i/>
                <w:sz w:val="20"/>
              </w:rPr>
              <w:t>Member – Onondaga County</w:t>
            </w:r>
          </w:p>
          <w:p>
            <w:pPr>
              <w:pStyle w:val="TableParagraph"/>
              <w:spacing w:before="1"/>
              <w:rPr>
                <w:rFonts w:ascii="Times New Roman"/>
                <w:sz w:val="20"/>
              </w:rPr>
            </w:pPr>
          </w:p>
          <w:p>
            <w:pPr>
              <w:pStyle w:val="TableParagraph"/>
              <w:spacing w:line="229" w:lineRule="exact"/>
              <w:ind w:left="98"/>
              <w:rPr>
                <w:rFonts w:ascii="Arial Narrow"/>
                <w:b/>
                <w:sz w:val="20"/>
              </w:rPr>
            </w:pPr>
            <w:r>
              <w:rPr>
                <w:rFonts w:ascii="Arial Narrow"/>
                <w:b/>
                <w:sz w:val="20"/>
              </w:rPr>
              <w:t>Francis S. Saya III</w:t>
            </w:r>
          </w:p>
          <w:p>
            <w:pPr>
              <w:pStyle w:val="TableParagraph"/>
              <w:spacing w:line="229" w:lineRule="exact"/>
              <w:ind w:left="98"/>
              <w:rPr>
                <w:rFonts w:ascii="Arial Narrow"/>
                <w:i/>
                <w:sz w:val="20"/>
              </w:rPr>
            </w:pPr>
            <w:r>
              <w:rPr>
                <w:rFonts w:ascii="Arial Narrow"/>
                <w:i/>
                <w:sz w:val="20"/>
              </w:rPr>
              <w:t>ATU 580</w:t>
            </w:r>
          </w:p>
          <w:p>
            <w:pPr>
              <w:pStyle w:val="TableParagraph"/>
              <w:spacing w:before="1"/>
              <w:rPr>
                <w:rFonts w:ascii="Times New Roman"/>
                <w:sz w:val="20"/>
              </w:rPr>
            </w:pPr>
          </w:p>
          <w:p>
            <w:pPr>
              <w:pStyle w:val="TableParagraph"/>
              <w:spacing w:line="229" w:lineRule="exact" w:before="1"/>
              <w:ind w:left="98"/>
              <w:rPr>
                <w:rFonts w:ascii="Arial Narrow"/>
                <w:b/>
                <w:sz w:val="20"/>
              </w:rPr>
            </w:pPr>
            <w:r>
              <w:rPr>
                <w:rFonts w:ascii="Arial Narrow"/>
                <w:b/>
                <w:sz w:val="20"/>
              </w:rPr>
              <w:t>Christopher Tuff</w:t>
            </w:r>
          </w:p>
          <w:p>
            <w:pPr>
              <w:pStyle w:val="TableParagraph"/>
              <w:spacing w:line="229" w:lineRule="exact"/>
              <w:ind w:left="98"/>
              <w:rPr>
                <w:rFonts w:ascii="Arial Narrow"/>
                <w:i/>
                <w:sz w:val="20"/>
              </w:rPr>
            </w:pPr>
            <w:r>
              <w:rPr>
                <w:rFonts w:ascii="Arial Narrow"/>
                <w:i/>
                <w:sz w:val="20"/>
              </w:rPr>
              <w:t>Chief Executive Officer</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99"/>
        <w:ind w:left="671" w:right="811" w:firstLine="0"/>
        <w:jc w:val="center"/>
        <w:rPr>
          <w:rFonts w:ascii="Arial Narrow" w:hAnsi="Arial Narrow"/>
          <w:sz w:val="19"/>
        </w:rPr>
      </w:pPr>
      <w:r>
        <w:rPr>
          <w:rFonts w:ascii="Arial Narrow" w:hAnsi="Arial Narrow"/>
          <w:sz w:val="19"/>
        </w:rPr>
        <w:t>CNY CENTRO, INC. </w:t>
      </w:r>
      <w:r>
        <w:rPr>
          <w:rFonts w:ascii="Wingdings" w:hAnsi="Wingdings"/>
          <w:sz w:val="19"/>
        </w:rPr>
        <w:t></w:t>
      </w:r>
      <w:r>
        <w:rPr>
          <w:rFonts w:ascii="Times New Roman" w:hAnsi="Times New Roman"/>
          <w:sz w:val="19"/>
        </w:rPr>
        <w:t> </w:t>
      </w:r>
      <w:r>
        <w:rPr>
          <w:rFonts w:ascii="Arial Narrow" w:hAnsi="Arial Narrow"/>
          <w:sz w:val="19"/>
        </w:rPr>
        <w:t>CENTRO OF CAYUGA, INC. </w:t>
      </w:r>
      <w:r>
        <w:rPr>
          <w:rFonts w:ascii="Wingdings" w:hAnsi="Wingdings"/>
          <w:sz w:val="19"/>
        </w:rPr>
        <w:t></w:t>
      </w:r>
      <w:r>
        <w:rPr>
          <w:rFonts w:ascii="Times New Roman" w:hAnsi="Times New Roman"/>
          <w:sz w:val="19"/>
        </w:rPr>
        <w:t> </w:t>
      </w:r>
      <w:r>
        <w:rPr>
          <w:rFonts w:ascii="Arial Narrow" w:hAnsi="Arial Narrow"/>
          <w:sz w:val="19"/>
        </w:rPr>
        <w:t>CENTRO OF CORTLAND, INC. </w:t>
      </w:r>
      <w:r>
        <w:rPr>
          <w:rFonts w:ascii="Wingdings" w:hAnsi="Wingdings"/>
          <w:sz w:val="19"/>
        </w:rPr>
        <w:t></w:t>
      </w:r>
      <w:r>
        <w:rPr>
          <w:rFonts w:ascii="Times New Roman" w:hAnsi="Times New Roman"/>
          <w:sz w:val="19"/>
        </w:rPr>
        <w:t> </w:t>
      </w:r>
      <w:r>
        <w:rPr>
          <w:rFonts w:ascii="Arial Narrow" w:hAnsi="Arial Narrow"/>
          <w:sz w:val="19"/>
        </w:rPr>
        <w:t>CENTRO OF ONEIDA, INC.</w:t>
      </w:r>
    </w:p>
    <w:p>
      <w:pPr>
        <w:spacing w:before="1"/>
        <w:ind w:left="672" w:right="811" w:firstLine="0"/>
        <w:jc w:val="center"/>
        <w:rPr>
          <w:rFonts w:ascii="Arial Narrow" w:hAnsi="Arial Narrow"/>
          <w:sz w:val="19"/>
        </w:rPr>
      </w:pPr>
      <w:r>
        <w:rPr>
          <w:rFonts w:ascii="Arial Narrow" w:hAnsi="Arial Narrow"/>
          <w:sz w:val="19"/>
        </w:rPr>
        <w:t>CENTRO OF OSWEGO, INC. </w:t>
      </w:r>
      <w:r>
        <w:rPr>
          <w:rFonts w:ascii="Wingdings" w:hAnsi="Wingdings"/>
          <w:sz w:val="19"/>
        </w:rPr>
        <w:t></w:t>
      </w:r>
      <w:r>
        <w:rPr>
          <w:rFonts w:ascii="Times New Roman" w:hAnsi="Times New Roman"/>
          <w:sz w:val="19"/>
        </w:rPr>
        <w:t> </w:t>
      </w:r>
      <w:r>
        <w:rPr>
          <w:rFonts w:ascii="Arial Narrow" w:hAnsi="Arial Narrow"/>
          <w:sz w:val="19"/>
        </w:rPr>
        <w:t>CENTRO PARKING, INC. </w:t>
      </w:r>
      <w:r>
        <w:rPr>
          <w:rFonts w:ascii="Wingdings" w:hAnsi="Wingdings"/>
          <w:sz w:val="19"/>
        </w:rPr>
        <w:t></w:t>
      </w:r>
      <w:r>
        <w:rPr>
          <w:rFonts w:ascii="Times New Roman" w:hAnsi="Times New Roman"/>
          <w:sz w:val="19"/>
        </w:rPr>
        <w:t> </w:t>
      </w:r>
      <w:r>
        <w:rPr>
          <w:rFonts w:ascii="Arial Narrow" w:hAnsi="Arial Narrow"/>
          <w:sz w:val="19"/>
        </w:rPr>
        <w:t>CENTRO CALL-A-BUS, INC. </w:t>
      </w:r>
      <w:r>
        <w:rPr>
          <w:rFonts w:ascii="Wingdings" w:hAnsi="Wingdings"/>
          <w:sz w:val="19"/>
        </w:rPr>
        <w:t></w:t>
      </w:r>
      <w:r>
        <w:rPr>
          <w:rFonts w:ascii="Times New Roman" w:hAnsi="Times New Roman"/>
          <w:sz w:val="19"/>
        </w:rPr>
        <w:t> </w:t>
      </w:r>
      <w:r>
        <w:rPr>
          <w:rFonts w:ascii="Arial Narrow" w:hAnsi="Arial Narrow"/>
          <w:sz w:val="19"/>
        </w:rPr>
        <w:t>INTERMODAL TRANSPORTATION CENTER, INC.</w:t>
      </w:r>
    </w:p>
    <w:p>
      <w:pPr>
        <w:spacing w:before="41"/>
        <w:ind w:left="669" w:right="811" w:firstLine="0"/>
        <w:jc w:val="center"/>
        <w:rPr>
          <w:rFonts w:ascii="Arial Narrow"/>
          <w:sz w:val="18"/>
        </w:rPr>
      </w:pPr>
      <w:r>
        <w:rPr>
          <w:rFonts w:ascii="Arial Narrow"/>
          <w:sz w:val="18"/>
        </w:rPr>
        <w:t>Public Benefit Subsidiary Corporations of the Central New York Regional Transportation Authority</w:t>
      </w:r>
    </w:p>
    <w:p>
      <w:pPr>
        <w:spacing w:before="40"/>
        <w:ind w:left="672" w:right="811" w:firstLine="0"/>
        <w:jc w:val="center"/>
        <w:rPr>
          <w:rFonts w:ascii="Arial Narrow" w:hAnsi="Arial Narrow"/>
          <w:sz w:val="16"/>
        </w:rPr>
      </w:pPr>
      <w:r>
        <w:rPr>
          <w:rFonts w:ascii="Arial Narrow" w:hAnsi="Arial Narrow"/>
          <w:sz w:val="16"/>
        </w:rPr>
        <w:t>200 Cortland Ave </w:t>
      </w:r>
      <w:r>
        <w:rPr>
          <w:rFonts w:ascii="Wingdings" w:hAnsi="Wingdings"/>
          <w:sz w:val="12"/>
        </w:rPr>
        <w:t></w:t>
      </w:r>
      <w:r>
        <w:rPr>
          <w:rFonts w:ascii="Times New Roman" w:hAnsi="Times New Roman"/>
          <w:sz w:val="12"/>
        </w:rPr>
        <w:t> </w:t>
      </w:r>
      <w:r>
        <w:rPr>
          <w:rFonts w:ascii="Arial Narrow" w:hAnsi="Arial Narrow"/>
          <w:sz w:val="16"/>
        </w:rPr>
        <w:t>P. O. Box 820 </w:t>
      </w:r>
      <w:r>
        <w:rPr>
          <w:rFonts w:ascii="Wingdings" w:hAnsi="Wingdings"/>
          <w:sz w:val="12"/>
        </w:rPr>
        <w:t></w:t>
      </w:r>
      <w:r>
        <w:rPr>
          <w:rFonts w:ascii="Times New Roman" w:hAnsi="Times New Roman"/>
          <w:sz w:val="12"/>
        </w:rPr>
        <w:t> </w:t>
      </w:r>
      <w:r>
        <w:rPr>
          <w:rFonts w:ascii="Arial Narrow" w:hAnsi="Arial Narrow"/>
          <w:sz w:val="16"/>
        </w:rPr>
        <w:t>Syracuse, NY 13205-0820 </w:t>
      </w:r>
      <w:r>
        <w:rPr>
          <w:rFonts w:ascii="Wingdings" w:hAnsi="Wingdings"/>
          <w:sz w:val="12"/>
        </w:rPr>
        <w:t></w:t>
      </w:r>
      <w:r>
        <w:rPr>
          <w:rFonts w:ascii="Times New Roman" w:hAnsi="Times New Roman"/>
          <w:sz w:val="12"/>
        </w:rPr>
        <w:t> </w:t>
      </w:r>
      <w:r>
        <w:rPr>
          <w:rFonts w:ascii="Arial Narrow" w:hAnsi="Arial Narrow"/>
          <w:sz w:val="16"/>
        </w:rPr>
        <w:t>(315) 442-3300 </w:t>
      </w:r>
      <w:r>
        <w:rPr>
          <w:rFonts w:ascii="Wingdings" w:hAnsi="Wingdings"/>
          <w:sz w:val="12"/>
        </w:rPr>
        <w:t></w:t>
      </w:r>
      <w:r>
        <w:rPr>
          <w:rFonts w:ascii="Times New Roman" w:hAnsi="Times New Roman"/>
          <w:sz w:val="12"/>
        </w:rPr>
        <w:t> </w:t>
      </w:r>
      <w:hyperlink r:id="rId6">
        <w:r>
          <w:rPr>
            <w:rFonts w:ascii="Arial Narrow" w:hAnsi="Arial Narrow"/>
            <w:sz w:val="16"/>
          </w:rPr>
          <w:t>www.centro.org</w:t>
        </w:r>
      </w:hyperlink>
    </w:p>
    <w:p>
      <w:pPr>
        <w:spacing w:after="0"/>
        <w:jc w:val="center"/>
        <w:rPr>
          <w:rFonts w:ascii="Arial Narrow" w:hAnsi="Arial Narrow"/>
          <w:sz w:val="16"/>
        </w:rPr>
        <w:sectPr>
          <w:type w:val="continuous"/>
          <w:pgSz w:w="12240" w:h="15840"/>
          <w:pgMar w:top="180" w:bottom="280" w:left="340" w:right="200"/>
        </w:sectPr>
      </w:pPr>
    </w:p>
    <w:p>
      <w:pPr>
        <w:pStyle w:val="Heading7"/>
        <w:spacing w:before="41"/>
        <w:ind w:left="672" w:right="808"/>
      </w:pPr>
      <w:bookmarkStart w:name="GOV 6.20.25 draft minutes" w:id="2"/>
      <w:bookmarkEnd w:id="2"/>
      <w:r>
        <w:rPr>
          <w:b w:val="0"/>
        </w:rPr>
      </w:r>
      <w:r>
        <w:rPr/>
        <w:t>GOVERNANCE COMMITTEE</w:t>
      </w:r>
    </w:p>
    <w:p>
      <w:pPr>
        <w:spacing w:before="40"/>
        <w:ind w:left="670" w:right="811" w:firstLine="0"/>
        <w:jc w:val="center"/>
        <w:rPr>
          <w:rFonts w:ascii="Times New Roman"/>
          <w:b/>
          <w:sz w:val="24"/>
        </w:rPr>
      </w:pPr>
      <w:r>
        <w:rPr>
          <w:rFonts w:ascii="Times New Roman"/>
          <w:b/>
          <w:sz w:val="24"/>
        </w:rPr>
        <w:t>200 CORTLAND AVENUE, SYRACUSE, NEW YORK</w:t>
      </w:r>
    </w:p>
    <w:p>
      <w:pPr>
        <w:pStyle w:val="BodyText"/>
        <w:spacing w:before="44"/>
        <w:ind w:left="669" w:right="811"/>
        <w:jc w:val="center"/>
      </w:pPr>
      <w:r>
        <w:rPr/>
        <w:pict>
          <v:shape style="position:absolute;margin-left:48.959999pt;margin-top:19.163137pt;width:514.1pt;height:.1pt;mso-position-horizontal-relative:page;mso-position-vertical-relative:paragraph;z-index:-251658240;mso-wrap-distance-left:0;mso-wrap-distance-right:0" coordorigin="979,383" coordsize="10282,0" path="m979,383l11261,383e" filled="false" stroked="true" strokeweight=".48pt" strokecolor="#000000">
            <v:path arrowok="t"/>
            <v:stroke dashstyle="solid"/>
            <w10:wrap type="topAndBottom"/>
          </v:shape>
        </w:pict>
      </w:r>
      <w:r>
        <w:rPr/>
        <w:t>MINUTES OF THE JUNE 20, 2025, GOVERNANCE COMMITTEE MEETING</w:t>
      </w:r>
    </w:p>
    <w:p>
      <w:pPr>
        <w:pStyle w:val="BodyText"/>
        <w:spacing w:before="7"/>
        <w:rPr>
          <w:sz w:val="29"/>
        </w:rPr>
      </w:pPr>
    </w:p>
    <w:p>
      <w:pPr>
        <w:pStyle w:val="BodyText"/>
        <w:tabs>
          <w:tab w:pos="4267" w:val="left" w:leader="none"/>
        </w:tabs>
        <w:spacing w:before="90"/>
        <w:ind w:left="668"/>
      </w:pPr>
      <w:r>
        <w:rPr/>
        <w:t>MEMBERS</w:t>
      </w:r>
      <w:r>
        <w:rPr>
          <w:spacing w:val="-3"/>
        </w:rPr>
        <w:t> </w:t>
      </w:r>
      <w:r>
        <w:rPr/>
        <w:t>PRESENT:</w:t>
        <w:tab/>
        <w:t>NICHOLAS LAINO,</w:t>
      </w:r>
      <w:r>
        <w:rPr>
          <w:spacing w:val="-1"/>
        </w:rPr>
        <w:t> </w:t>
      </w:r>
      <w:r>
        <w:rPr/>
        <w:t>Chair</w:t>
      </w:r>
    </w:p>
    <w:p>
      <w:pPr>
        <w:pStyle w:val="BodyText"/>
        <w:spacing w:line="259" w:lineRule="auto" w:before="22"/>
        <w:ind w:left="4268" w:right="3819"/>
      </w:pPr>
      <w:r>
        <w:rPr/>
        <w:t>ANTHONY DAVIS, Vice Chair DARLENE LATTIMORE, Secretary TINA FITZGERALD, Treasurer NEIL BURKE</w:t>
      </w:r>
    </w:p>
    <w:p>
      <w:pPr>
        <w:pStyle w:val="BodyText"/>
        <w:spacing w:line="259" w:lineRule="auto"/>
        <w:ind w:left="4268" w:right="4524"/>
      </w:pPr>
      <w:r>
        <w:rPr/>
        <w:t>ROBERT CUCULICH JULIUS LAWRENCE LOUELLA WILLIAMS</w:t>
      </w:r>
    </w:p>
    <w:p>
      <w:pPr>
        <w:pStyle w:val="BodyText"/>
        <w:spacing w:before="9"/>
        <w:rPr>
          <w:sz w:val="25"/>
        </w:rPr>
      </w:pPr>
    </w:p>
    <w:p>
      <w:pPr>
        <w:pStyle w:val="BodyText"/>
        <w:tabs>
          <w:tab w:pos="4267" w:val="left" w:leader="none"/>
        </w:tabs>
        <w:ind w:left="668"/>
      </w:pPr>
      <w:r>
        <w:rPr/>
        <w:t>MEMBERS</w:t>
      </w:r>
      <w:r>
        <w:rPr>
          <w:spacing w:val="-2"/>
        </w:rPr>
        <w:t> </w:t>
      </w:r>
      <w:r>
        <w:rPr/>
        <w:t>ABSENT:</w:t>
        <w:tab/>
        <w:t>FRANK SAYA, Non-Voting Member</w:t>
      </w:r>
    </w:p>
    <w:p>
      <w:pPr>
        <w:pStyle w:val="BodyText"/>
        <w:spacing w:before="8"/>
        <w:rPr>
          <w:sz w:val="27"/>
        </w:rPr>
      </w:pPr>
    </w:p>
    <w:p>
      <w:pPr>
        <w:pStyle w:val="BodyText"/>
        <w:tabs>
          <w:tab w:pos="4267" w:val="left" w:leader="none"/>
        </w:tabs>
        <w:spacing w:before="1"/>
        <w:ind w:left="668"/>
      </w:pPr>
      <w:r>
        <w:rPr/>
        <w:t>STAFF</w:t>
      </w:r>
      <w:r>
        <w:rPr>
          <w:spacing w:val="-5"/>
        </w:rPr>
        <w:t> </w:t>
      </w:r>
      <w:r>
        <w:rPr/>
        <w:t>PRESENT:</w:t>
        <w:tab/>
        <w:t>CHRISTOPHER TUFF, Chief Executive</w:t>
      </w:r>
      <w:r>
        <w:rPr>
          <w:spacing w:val="-1"/>
        </w:rPr>
        <w:t> </w:t>
      </w:r>
      <w:r>
        <w:rPr/>
        <w:t>Officer</w:t>
      </w:r>
    </w:p>
    <w:p>
      <w:pPr>
        <w:pStyle w:val="BodyText"/>
        <w:spacing w:line="259" w:lineRule="auto" w:before="21"/>
        <w:ind w:left="4268" w:right="1159"/>
      </w:pPr>
      <w:r>
        <w:rPr/>
        <w:t>STEVEN KOEGEL, VP of Business Develop. and Corp. Comm. JACKIE MUSENGO, VP of Human Resources</w:t>
      </w:r>
    </w:p>
    <w:p>
      <w:pPr>
        <w:pStyle w:val="BodyText"/>
        <w:spacing w:line="259" w:lineRule="auto" w:before="2"/>
        <w:ind w:left="4268" w:right="2925"/>
      </w:pPr>
      <w:r>
        <w:rPr/>
        <w:t>GEOFFREY HOFF, VP of Fleet and Facilities RAHMIN AZRIA, VP of Operations MELISSA BRIM, VP of Finance</w:t>
      </w:r>
    </w:p>
    <w:p>
      <w:pPr>
        <w:pStyle w:val="BodyText"/>
        <w:spacing w:line="259" w:lineRule="auto"/>
        <w:ind w:left="4268" w:right="1043"/>
      </w:pPr>
      <w:r>
        <w:rPr/>
        <w:t>CAITLIN MACCOLLUM, Senior Director of Procurement BREN DAISS, Sr Director of Service Planning &amp; Special Projects TARA SPRAKER, Director of Capital Programs CHRISTOPHER KING, Procurement Manager</w:t>
      </w:r>
    </w:p>
    <w:p>
      <w:pPr>
        <w:pStyle w:val="BodyText"/>
        <w:spacing w:line="259" w:lineRule="auto"/>
        <w:ind w:left="4268" w:right="2728"/>
      </w:pPr>
      <w:r>
        <w:rPr/>
        <w:t>JASON SMITH, Sr Procurement Analyst SUZANN HENSLEY, Internal Control</w:t>
      </w:r>
      <w:r>
        <w:rPr>
          <w:spacing w:val="-16"/>
        </w:rPr>
        <w:t> </w:t>
      </w:r>
      <w:r>
        <w:rPr/>
        <w:t>Manager JOSEPH DEGRAY, Administrative</w:t>
      </w:r>
      <w:r>
        <w:rPr>
          <w:spacing w:val="-6"/>
        </w:rPr>
        <w:t> </w:t>
      </w:r>
      <w:r>
        <w:rPr/>
        <w:t>Advisor</w:t>
      </w:r>
    </w:p>
    <w:p>
      <w:pPr>
        <w:pStyle w:val="BodyText"/>
        <w:spacing w:line="259" w:lineRule="auto"/>
        <w:ind w:left="4268" w:right="3040"/>
        <w:jc w:val="both"/>
      </w:pPr>
      <w:r>
        <w:rPr/>
        <w:t>EJ MOSES, Director of Facilities and Grants DEREK SHERMAN, Director of</w:t>
      </w:r>
      <w:r>
        <w:rPr>
          <w:spacing w:val="-16"/>
        </w:rPr>
        <w:t> </w:t>
      </w:r>
      <w:r>
        <w:rPr/>
        <w:t>Accounting JEANNINE JOHNSON, Executive</w:t>
      </w:r>
      <w:r>
        <w:rPr>
          <w:spacing w:val="-11"/>
        </w:rPr>
        <w:t> </w:t>
      </w:r>
      <w:r>
        <w:rPr/>
        <w:t>Assistant</w:t>
      </w:r>
    </w:p>
    <w:p>
      <w:pPr>
        <w:pStyle w:val="BodyText"/>
        <w:spacing w:before="6"/>
        <w:rPr>
          <w:sz w:val="25"/>
        </w:rPr>
      </w:pPr>
    </w:p>
    <w:p>
      <w:pPr>
        <w:pStyle w:val="BodyText"/>
        <w:tabs>
          <w:tab w:pos="4267" w:val="left" w:leader="none"/>
        </w:tabs>
        <w:ind w:left="668"/>
      </w:pPr>
      <w:r>
        <w:rPr/>
        <w:t>PUBLIC</w:t>
      </w:r>
      <w:r>
        <w:rPr>
          <w:spacing w:val="-3"/>
        </w:rPr>
        <w:t> </w:t>
      </w:r>
      <w:r>
        <w:rPr/>
        <w:t>PRESENT:</w:t>
        <w:tab/>
        <w:t>MARIO</w:t>
      </w:r>
      <w:r>
        <w:rPr>
          <w:spacing w:val="-1"/>
        </w:rPr>
        <w:t> </w:t>
      </w:r>
      <w:r>
        <w:rPr/>
        <w:t>COLONE</w:t>
      </w:r>
    </w:p>
    <w:p>
      <w:pPr>
        <w:pStyle w:val="BodyText"/>
        <w:spacing w:before="9"/>
        <w:rPr>
          <w:sz w:val="27"/>
        </w:rPr>
      </w:pPr>
    </w:p>
    <w:p>
      <w:pPr>
        <w:pStyle w:val="BodyText"/>
        <w:tabs>
          <w:tab w:pos="2827" w:val="left" w:leader="none"/>
        </w:tabs>
        <w:spacing w:line="259" w:lineRule="auto"/>
        <w:ind w:left="668" w:right="1193"/>
      </w:pPr>
      <w:r>
        <w:rPr>
          <w:u w:val="single"/>
        </w:rPr>
        <w:t>CALL</w:t>
      </w:r>
      <w:r>
        <w:rPr>
          <w:spacing w:val="-3"/>
          <w:u w:val="single"/>
        </w:rPr>
        <w:t> </w:t>
      </w:r>
      <w:r>
        <w:rPr>
          <w:u w:val="single"/>
        </w:rPr>
        <w:t>TO</w:t>
      </w:r>
      <w:r>
        <w:rPr>
          <w:spacing w:val="-2"/>
          <w:u w:val="single"/>
        </w:rPr>
        <w:t> </w:t>
      </w:r>
      <w:r>
        <w:rPr>
          <w:u w:val="single"/>
        </w:rPr>
        <w:t>ORDER</w:t>
      </w:r>
      <w:r>
        <w:rPr/>
        <w:tab/>
        <w:t>At 9:10 A.M. Chairman Laino called the meeting to order, noting that a</w:t>
      </w:r>
      <w:r>
        <w:rPr>
          <w:spacing w:val="-15"/>
        </w:rPr>
        <w:t> </w:t>
      </w:r>
      <w:r>
        <w:rPr/>
        <w:t>quorum was</w:t>
      </w:r>
      <w:r>
        <w:rPr>
          <w:spacing w:val="-1"/>
        </w:rPr>
        <w:t> </w:t>
      </w:r>
      <w:r>
        <w:rPr/>
        <w:t>present.</w:t>
      </w:r>
    </w:p>
    <w:p>
      <w:pPr>
        <w:pStyle w:val="BodyText"/>
        <w:spacing w:before="9"/>
        <w:rPr>
          <w:sz w:val="25"/>
        </w:rPr>
      </w:pPr>
    </w:p>
    <w:p>
      <w:pPr>
        <w:pStyle w:val="BodyText"/>
        <w:ind w:left="668"/>
      </w:pPr>
      <w:r>
        <w:rPr>
          <w:u w:val="single"/>
        </w:rPr>
        <w:t>INTERNAL CONTROL REPORT</w:t>
      </w:r>
    </w:p>
    <w:p>
      <w:pPr>
        <w:pStyle w:val="BodyText"/>
        <w:spacing w:line="261" w:lineRule="auto" w:before="22"/>
        <w:ind w:left="668" w:right="1043"/>
      </w:pPr>
      <w:r>
        <w:rPr/>
        <w:t>Secretary Lattimore called upon Mr. Tuff to provide an update on the various Internal Control Program Activities.</w:t>
      </w:r>
    </w:p>
    <w:p>
      <w:pPr>
        <w:spacing w:after="0" w:line="261" w:lineRule="auto"/>
        <w:sectPr>
          <w:headerReference w:type="default" r:id="rId7"/>
          <w:pgSz w:w="12240" w:h="15840"/>
          <w:pgMar w:header="1449" w:footer="0" w:top="1700" w:bottom="280" w:left="340" w:right="200"/>
        </w:sectPr>
      </w:pPr>
    </w:p>
    <w:p>
      <w:pPr>
        <w:pStyle w:val="BodyText"/>
        <w:spacing w:before="79"/>
        <w:ind w:left="668"/>
        <w:jc w:val="both"/>
      </w:pPr>
      <w:r>
        <w:rPr/>
        <w:t>Mr. Tuff presented the following information:</w:t>
      </w:r>
    </w:p>
    <w:p>
      <w:pPr>
        <w:pStyle w:val="BodyText"/>
        <w:spacing w:before="206"/>
        <w:ind w:left="668"/>
      </w:pPr>
      <w:r>
        <w:rPr>
          <w:u w:val="single"/>
        </w:rPr>
        <w:t>MANAGEMENT REPORT ON INTERNAL CONTROL</w:t>
      </w:r>
    </w:p>
    <w:p>
      <w:pPr>
        <w:pStyle w:val="BodyText"/>
        <w:spacing w:line="259" w:lineRule="auto" w:before="120"/>
        <w:ind w:left="668" w:right="803"/>
        <w:jc w:val="both"/>
      </w:pPr>
      <w:r>
        <w:rPr/>
        <w:t>Public Authorities Law §2931(1)-(2) requires the CNYRTA to annually certify that it followed a method of review over its system of internal control in line with accepted internal control standards. CNYRTA Internal Control Program activities support this certification. For FYE 2025, no material deficiencies were noted. Several opportunities for increased operational efficiencies and reduction of risk were discovered during the year, and action plans are in progress.</w:t>
      </w:r>
    </w:p>
    <w:p>
      <w:pPr>
        <w:pStyle w:val="BodyText"/>
        <w:spacing w:before="197"/>
        <w:ind w:left="668"/>
      </w:pPr>
      <w:r>
        <w:rPr>
          <w:u w:val="single"/>
        </w:rPr>
        <w:t>ANNUAL PERFORMANCE MEASURES REPORT</w:t>
      </w:r>
    </w:p>
    <w:p>
      <w:pPr>
        <w:pStyle w:val="BodyText"/>
        <w:spacing w:line="259" w:lineRule="auto" w:before="120"/>
        <w:ind w:left="667" w:right="803"/>
        <w:jc w:val="both"/>
      </w:pPr>
      <w:r>
        <w:rPr/>
        <w:t>The attached Performance Measures report includes the FYE 2025 measurements of ridership, service efficiency and operating performance. This report is required under PAL §2824-a. This report is posted to the CNYRTA public facing website and submitted to the Public Authorities Reporting &amp; Information System (PARIS) annually.</w:t>
      </w:r>
    </w:p>
    <w:p>
      <w:pPr>
        <w:pStyle w:val="BodyText"/>
        <w:spacing w:line="274" w:lineRule="exact"/>
        <w:ind w:left="1027"/>
      </w:pPr>
      <w:r>
        <w:rPr/>
        <w:t>Variances:</w:t>
      </w:r>
    </w:p>
    <w:p>
      <w:pPr>
        <w:pStyle w:val="ListParagraph"/>
        <w:numPr>
          <w:ilvl w:val="0"/>
          <w:numId w:val="2"/>
        </w:numPr>
        <w:tabs>
          <w:tab w:pos="1748" w:val="left" w:leader="none"/>
        </w:tabs>
        <w:spacing w:line="273" w:lineRule="auto" w:before="24" w:after="0"/>
        <w:ind w:left="1747" w:right="803" w:hanging="360"/>
        <w:jc w:val="both"/>
        <w:rPr>
          <w:rFonts w:ascii="Times New Roman" w:hAnsi="Times New Roman"/>
          <w:sz w:val="24"/>
        </w:rPr>
      </w:pPr>
      <w:r>
        <w:rPr>
          <w:rFonts w:ascii="Times New Roman" w:hAnsi="Times New Roman"/>
          <w:sz w:val="24"/>
        </w:rPr>
        <w:t>Oneida County ridership in Oneida County is up 12% over last year. Additionally, their passengers per revenue hour have increased by 14% (from 9.44 to 10.84). Both of these increases can be attributed to the redesign of the system in</w:t>
      </w:r>
      <w:r>
        <w:rPr>
          <w:rFonts w:ascii="Times New Roman" w:hAnsi="Times New Roman"/>
          <w:spacing w:val="-6"/>
          <w:sz w:val="24"/>
        </w:rPr>
        <w:t> </w:t>
      </w:r>
      <w:r>
        <w:rPr>
          <w:rFonts w:ascii="Times New Roman" w:hAnsi="Times New Roman"/>
          <w:sz w:val="24"/>
        </w:rPr>
        <w:t>Rome.</w:t>
      </w:r>
    </w:p>
    <w:p>
      <w:pPr>
        <w:pStyle w:val="ListParagraph"/>
        <w:numPr>
          <w:ilvl w:val="0"/>
          <w:numId w:val="2"/>
        </w:numPr>
        <w:tabs>
          <w:tab w:pos="1748" w:val="left" w:leader="none"/>
        </w:tabs>
        <w:spacing w:line="273" w:lineRule="auto" w:before="5" w:after="0"/>
        <w:ind w:left="1747" w:right="806" w:hanging="360"/>
        <w:jc w:val="both"/>
        <w:rPr>
          <w:rFonts w:ascii="Times New Roman" w:hAnsi="Times New Roman"/>
          <w:sz w:val="24"/>
        </w:rPr>
      </w:pPr>
      <w:r>
        <w:rPr>
          <w:rFonts w:ascii="Times New Roman" w:hAnsi="Times New Roman"/>
          <w:sz w:val="24"/>
        </w:rPr>
        <w:t>Cortland County was added to the report. Their numbers reflect one day of service (March 31, 2025)</w:t>
      </w:r>
    </w:p>
    <w:p>
      <w:pPr>
        <w:pStyle w:val="BodyText"/>
        <w:spacing w:line="259" w:lineRule="auto" w:before="200"/>
        <w:ind w:left="668" w:right="806"/>
        <w:jc w:val="both"/>
      </w:pPr>
      <w:r>
        <w:rPr/>
        <w:t>All other FYE 2025 performance measurements and variations from prior year appear reasonable and in line with expectations.</w:t>
      </w:r>
    </w:p>
    <w:p>
      <w:pPr>
        <w:pStyle w:val="BodyText"/>
        <w:spacing w:before="199"/>
        <w:ind w:left="668"/>
      </w:pPr>
      <w:r>
        <w:rPr>
          <w:u w:val="single"/>
        </w:rPr>
        <w:t>STRATEGIC PLANNING UPDATE</w:t>
      </w:r>
    </w:p>
    <w:p>
      <w:pPr>
        <w:pStyle w:val="BodyText"/>
        <w:spacing w:line="259" w:lineRule="auto" w:before="120"/>
        <w:ind w:left="667" w:right="805"/>
        <w:jc w:val="both"/>
      </w:pPr>
      <w:r>
        <w:rPr/>
        <w:t>The Strategic Planning Team has completed the Mission, Vision &amp; Values project, which the Board of Members approved in August 2024. Following the adoption of the Mission, Vision and Values, the Strategic Planning Team began the task of putting those Core Components into action and updating the Strategic Plan. This process involves several activities, including assessing organizational strategies, prioritizing goals and initiatives, and defining milestones, targets, and performance measures.</w:t>
      </w:r>
    </w:p>
    <w:p>
      <w:pPr>
        <w:pStyle w:val="BodyText"/>
        <w:spacing w:before="196"/>
        <w:ind w:left="668"/>
      </w:pPr>
      <w:r>
        <w:rPr>
          <w:u w:val="single"/>
        </w:rPr>
        <w:t>ADJOURNED</w:t>
      </w:r>
    </w:p>
    <w:p>
      <w:pPr>
        <w:pStyle w:val="BodyText"/>
        <w:spacing w:line="259" w:lineRule="auto" w:before="22"/>
        <w:ind w:left="668" w:right="806"/>
        <w:jc w:val="both"/>
      </w:pPr>
      <w:r>
        <w:rPr/>
        <w:t>There being no further business to come before the Committee, the Governance Committee Meeting was adjourned.</w:t>
      </w:r>
    </w:p>
    <w:p>
      <w:pPr>
        <w:pStyle w:val="BodyText"/>
        <w:rPr>
          <w:sz w:val="20"/>
        </w:rPr>
      </w:pPr>
    </w:p>
    <w:p>
      <w:pPr>
        <w:pStyle w:val="BodyText"/>
        <w:rPr>
          <w:sz w:val="20"/>
        </w:rPr>
      </w:pPr>
    </w:p>
    <w:p>
      <w:pPr>
        <w:pStyle w:val="BodyText"/>
        <w:rPr>
          <w:sz w:val="20"/>
        </w:rPr>
      </w:pPr>
    </w:p>
    <w:p>
      <w:pPr>
        <w:pStyle w:val="BodyText"/>
        <w:spacing w:before="5"/>
        <w:rPr>
          <w:sz w:val="11"/>
        </w:rPr>
      </w:pPr>
      <w:r>
        <w:rPr/>
        <w:pict>
          <v:shape style="position:absolute;margin-left:338.399994pt;margin-top:8.792996pt;width:162pt;height:.1pt;mso-position-horizontal-relative:page;mso-position-vertical-relative:paragraph;z-index:-251657216;mso-wrap-distance-left:0;mso-wrap-distance-right:0" coordorigin="6768,176" coordsize="3240,0" path="m6768,176l10008,176e" filled="false" stroked="true" strokeweight=".48pt" strokecolor="#000000">
            <v:path arrowok="t"/>
            <v:stroke dashstyle="solid"/>
            <w10:wrap type="topAndBottom"/>
          </v:shape>
        </w:pict>
      </w:r>
    </w:p>
    <w:p>
      <w:pPr>
        <w:pStyle w:val="BodyText"/>
        <w:spacing w:line="268" w:lineRule="exact"/>
        <w:ind w:left="2911" w:right="811"/>
        <w:jc w:val="center"/>
      </w:pPr>
      <w:r>
        <w:rPr/>
        <w:t>Chairman</w:t>
      </w:r>
    </w:p>
    <w:p>
      <w:pPr>
        <w:pStyle w:val="BodyText"/>
        <w:spacing w:before="21"/>
        <w:ind w:left="667"/>
      </w:pPr>
      <w:r>
        <w:rPr/>
        <w:t>ATTEST:</w:t>
      </w:r>
    </w:p>
    <w:p>
      <w:pPr>
        <w:pStyle w:val="BodyText"/>
        <w:rPr>
          <w:sz w:val="20"/>
        </w:rPr>
      </w:pPr>
    </w:p>
    <w:p>
      <w:pPr>
        <w:pStyle w:val="BodyText"/>
        <w:rPr>
          <w:sz w:val="20"/>
        </w:rPr>
      </w:pPr>
    </w:p>
    <w:p>
      <w:pPr>
        <w:pStyle w:val="BodyText"/>
        <w:rPr>
          <w:sz w:val="20"/>
        </w:rPr>
      </w:pPr>
    </w:p>
    <w:p>
      <w:pPr>
        <w:pStyle w:val="BodyText"/>
        <w:spacing w:before="7"/>
        <w:rPr>
          <w:sz w:val="13"/>
        </w:rPr>
      </w:pPr>
      <w:r>
        <w:rPr/>
        <w:pict>
          <v:shape style="position:absolute;margin-left:50.400002pt;margin-top:10.05039pt;width:150pt;height:.1pt;mso-position-horizontal-relative:page;mso-position-vertical-relative:paragraph;z-index:-251656192;mso-wrap-distance-left:0;mso-wrap-distance-right:0" coordorigin="1008,201" coordsize="3000,0" path="m1008,201l4008,201e" filled="false" stroked="true" strokeweight=".48pt" strokecolor="#000000">
            <v:path arrowok="t"/>
            <v:stroke dashstyle="solid"/>
            <w10:wrap type="topAndBottom"/>
          </v:shape>
        </w:pict>
      </w:r>
    </w:p>
    <w:p>
      <w:pPr>
        <w:pStyle w:val="BodyText"/>
        <w:spacing w:line="268" w:lineRule="exact"/>
        <w:ind w:left="667"/>
      </w:pPr>
      <w:r>
        <w:rPr/>
        <w:t>Secretary</w:t>
      </w:r>
    </w:p>
    <w:p>
      <w:pPr>
        <w:spacing w:after="0" w:line="268" w:lineRule="exact"/>
        <w:sectPr>
          <w:headerReference w:type="default" r:id="rId8"/>
          <w:pgSz w:w="12240" w:h="15840"/>
          <w:pgMar w:header="0" w:footer="0" w:top="1360" w:bottom="280" w:left="340" w:right="200"/>
        </w:sectPr>
      </w:pPr>
    </w:p>
    <w:p>
      <w:pPr>
        <w:pStyle w:val="Heading7"/>
        <w:spacing w:before="41"/>
        <w:ind w:left="672" w:right="808"/>
      </w:pPr>
      <w:bookmarkStart w:name="AF 6.20.25 draft minutes" w:id="3"/>
      <w:bookmarkEnd w:id="3"/>
      <w:r>
        <w:rPr>
          <w:b w:val="0"/>
        </w:rPr>
      </w:r>
      <w:r>
        <w:rPr/>
        <w:t>AUDIT AND FINANCE COMMITTEE</w:t>
      </w:r>
    </w:p>
    <w:p>
      <w:pPr>
        <w:spacing w:before="40"/>
        <w:ind w:left="670" w:right="811" w:firstLine="0"/>
        <w:jc w:val="center"/>
        <w:rPr>
          <w:rFonts w:ascii="Times New Roman"/>
          <w:b/>
          <w:sz w:val="24"/>
        </w:rPr>
      </w:pPr>
      <w:r>
        <w:rPr>
          <w:rFonts w:ascii="Times New Roman"/>
          <w:b/>
          <w:sz w:val="24"/>
        </w:rPr>
        <w:t>200 CORTLAND AVENUE, SYRACUSE, NEW YORK</w:t>
      </w:r>
    </w:p>
    <w:p>
      <w:pPr>
        <w:pStyle w:val="BodyText"/>
        <w:spacing w:before="44"/>
        <w:ind w:left="669" w:right="811"/>
        <w:jc w:val="center"/>
      </w:pPr>
      <w:r>
        <w:rPr/>
        <w:pict>
          <v:shape style="position:absolute;margin-left:48.959999pt;margin-top:19.163137pt;width:514.1pt;height:.1pt;mso-position-horizontal-relative:page;mso-position-vertical-relative:paragraph;z-index:-251655168;mso-wrap-distance-left:0;mso-wrap-distance-right:0" coordorigin="979,383" coordsize="10282,0" path="m979,383l11261,383e" filled="false" stroked="true" strokeweight=".48pt" strokecolor="#000000">
            <v:path arrowok="t"/>
            <v:stroke dashstyle="solid"/>
            <w10:wrap type="topAndBottom"/>
          </v:shape>
        </w:pict>
      </w:r>
      <w:r>
        <w:rPr/>
        <w:t>MINUTES OF THE JUNE 20, 2025, AUDIT AND FINANCE COMMITTEE MEETING</w:t>
      </w:r>
    </w:p>
    <w:p>
      <w:pPr>
        <w:pStyle w:val="BodyText"/>
        <w:spacing w:before="1"/>
        <w:rPr>
          <w:sz w:val="21"/>
        </w:rPr>
      </w:pPr>
    </w:p>
    <w:p>
      <w:pPr>
        <w:pStyle w:val="BodyText"/>
        <w:tabs>
          <w:tab w:pos="4267" w:val="left" w:leader="none"/>
        </w:tabs>
        <w:spacing w:before="90"/>
        <w:ind w:left="668"/>
      </w:pPr>
      <w:r>
        <w:rPr/>
        <w:t>MEMBERS</w:t>
      </w:r>
      <w:r>
        <w:rPr>
          <w:spacing w:val="-3"/>
        </w:rPr>
        <w:t> </w:t>
      </w:r>
      <w:r>
        <w:rPr/>
        <w:t>PRESENT:</w:t>
        <w:tab/>
        <w:t>NICHOLAS LAINO,</w:t>
      </w:r>
      <w:r>
        <w:rPr>
          <w:spacing w:val="-1"/>
        </w:rPr>
        <w:t> </w:t>
      </w:r>
      <w:r>
        <w:rPr/>
        <w:t>Chair</w:t>
      </w:r>
    </w:p>
    <w:p>
      <w:pPr>
        <w:pStyle w:val="BodyText"/>
        <w:spacing w:line="259" w:lineRule="auto" w:before="21"/>
        <w:ind w:left="4268" w:right="3819"/>
      </w:pPr>
      <w:r>
        <w:rPr/>
        <w:t>ANTHONY DAVIS, Vice Chair DARLENE LATTIMORE, Secretary TINA FITZGERALD, Treasurer NEIL BURKE</w:t>
      </w:r>
    </w:p>
    <w:p>
      <w:pPr>
        <w:pStyle w:val="BodyText"/>
        <w:spacing w:line="259" w:lineRule="auto"/>
        <w:ind w:left="4268" w:right="4524"/>
      </w:pPr>
      <w:r>
        <w:rPr/>
        <w:t>ROBERT CUCULICH JULIUS LAWRENCE LOUELLA WILLIAMS</w:t>
      </w:r>
    </w:p>
    <w:p>
      <w:pPr>
        <w:pStyle w:val="BodyText"/>
        <w:tabs>
          <w:tab w:pos="4267" w:val="left" w:leader="none"/>
        </w:tabs>
        <w:spacing w:before="196"/>
        <w:ind w:left="668"/>
      </w:pPr>
      <w:r>
        <w:rPr/>
        <w:t>MEMBERS</w:t>
      </w:r>
      <w:r>
        <w:rPr>
          <w:spacing w:val="-2"/>
        </w:rPr>
        <w:t> </w:t>
      </w:r>
      <w:r>
        <w:rPr/>
        <w:t>ABSENT:</w:t>
        <w:tab/>
        <w:t>FRANK SAYA, Non-Voting Member</w:t>
      </w:r>
    </w:p>
    <w:p>
      <w:pPr>
        <w:pStyle w:val="BodyText"/>
        <w:spacing w:before="2"/>
        <w:rPr>
          <w:sz w:val="32"/>
        </w:rPr>
      </w:pPr>
    </w:p>
    <w:p>
      <w:pPr>
        <w:pStyle w:val="BodyText"/>
        <w:tabs>
          <w:tab w:pos="4267" w:val="left" w:leader="none"/>
        </w:tabs>
        <w:spacing w:line="259" w:lineRule="auto"/>
        <w:ind w:left="4268" w:right="2272" w:hanging="3600"/>
      </w:pPr>
      <w:r>
        <w:rPr/>
        <w:t>STAFF</w:t>
      </w:r>
      <w:r>
        <w:rPr>
          <w:spacing w:val="-5"/>
        </w:rPr>
        <w:t> </w:t>
      </w:r>
      <w:r>
        <w:rPr/>
        <w:t>PRESENT:</w:t>
        <w:tab/>
        <w:t>CHRISTOPHER TUFF, Chief Executive Officer JACQUELYN MUSENGO, VP of Human</w:t>
      </w:r>
      <w:r>
        <w:rPr>
          <w:spacing w:val="-18"/>
        </w:rPr>
        <w:t> </w:t>
      </w:r>
      <w:r>
        <w:rPr/>
        <w:t>Resources GEOFF HOFF, VP of Fleet and</w:t>
      </w:r>
      <w:r>
        <w:rPr>
          <w:spacing w:val="-5"/>
        </w:rPr>
        <w:t> </w:t>
      </w:r>
      <w:r>
        <w:rPr/>
        <w:t>Facilities</w:t>
      </w:r>
    </w:p>
    <w:p>
      <w:pPr>
        <w:pStyle w:val="BodyText"/>
        <w:spacing w:line="275" w:lineRule="exact"/>
        <w:ind w:left="4268"/>
      </w:pPr>
      <w:r>
        <w:rPr/>
        <w:t>MELISSA BRIM, VP of Finance</w:t>
      </w:r>
    </w:p>
    <w:p>
      <w:pPr>
        <w:pStyle w:val="BodyText"/>
        <w:spacing w:before="24"/>
        <w:ind w:left="4268"/>
      </w:pPr>
      <w:r>
        <w:rPr/>
        <w:t>CAITLIN MACCOLLUM, Sr Director of Procurement</w:t>
      </w:r>
    </w:p>
    <w:p>
      <w:pPr>
        <w:pStyle w:val="BodyText"/>
        <w:spacing w:line="259" w:lineRule="auto" w:before="21"/>
        <w:ind w:left="4267" w:right="1027"/>
      </w:pPr>
      <w:r>
        <w:rPr/>
        <w:t>BREN DAISS, Sr Director of Service Planning &amp; Special Projects TARA SPRAKER, Director of Capital Programs</w:t>
      </w:r>
    </w:p>
    <w:p>
      <w:pPr>
        <w:pStyle w:val="BodyText"/>
        <w:spacing w:line="259" w:lineRule="auto"/>
        <w:ind w:left="4267" w:right="2480"/>
      </w:pPr>
      <w:r>
        <w:rPr/>
        <w:t>CHRIS MORRALE, Director of Human Resources CHRISTOPHER KING, Procurement Manager JASON SMITH, Sr Procurement Analyst</w:t>
      </w:r>
    </w:p>
    <w:p>
      <w:pPr>
        <w:pStyle w:val="BodyText"/>
        <w:spacing w:line="259" w:lineRule="auto"/>
        <w:ind w:left="4267" w:right="2713"/>
      </w:pPr>
      <w:r>
        <w:rPr/>
        <w:t>DEREK SHERMAN, Director of Accounting JOE DEGRAY, Administrative Advisor SUZANN HENSLEY, Internal Control Manager JEANNINE JOHNSON, Executive Assistant</w:t>
      </w:r>
    </w:p>
    <w:p>
      <w:pPr>
        <w:pStyle w:val="BodyText"/>
        <w:spacing w:before="11"/>
        <w:rPr>
          <w:sz w:val="29"/>
        </w:rPr>
      </w:pPr>
    </w:p>
    <w:p>
      <w:pPr>
        <w:pStyle w:val="BodyText"/>
        <w:tabs>
          <w:tab w:pos="4267" w:val="left" w:leader="none"/>
        </w:tabs>
        <w:spacing w:line="259" w:lineRule="auto"/>
        <w:ind w:left="4268" w:right="4524" w:hanging="3600"/>
      </w:pPr>
      <w:r>
        <w:rPr/>
        <w:t>PUBLIC</w:t>
      </w:r>
      <w:r>
        <w:rPr>
          <w:spacing w:val="-3"/>
        </w:rPr>
        <w:t> </w:t>
      </w:r>
      <w:r>
        <w:rPr/>
        <w:t>PRESENT:</w:t>
        <w:tab/>
        <w:t>BRAD HUNT, Legal Counsel MARIO</w:t>
      </w:r>
      <w:r>
        <w:rPr>
          <w:spacing w:val="-2"/>
        </w:rPr>
        <w:t> </w:t>
      </w:r>
      <w:r>
        <w:rPr/>
        <w:t>COLONE</w:t>
      </w:r>
    </w:p>
    <w:p>
      <w:pPr>
        <w:pStyle w:val="BodyText"/>
        <w:spacing w:line="275" w:lineRule="exact"/>
        <w:ind w:left="4268"/>
      </w:pPr>
      <w:r>
        <w:rPr/>
        <w:t>JOE CALABRESE</w:t>
      </w:r>
    </w:p>
    <w:p>
      <w:pPr>
        <w:pStyle w:val="BodyText"/>
        <w:rPr>
          <w:sz w:val="26"/>
        </w:rPr>
      </w:pPr>
    </w:p>
    <w:p>
      <w:pPr>
        <w:pStyle w:val="BodyText"/>
        <w:rPr>
          <w:sz w:val="32"/>
        </w:rPr>
      </w:pPr>
    </w:p>
    <w:p>
      <w:pPr>
        <w:pStyle w:val="BodyText"/>
        <w:tabs>
          <w:tab w:pos="2827" w:val="left" w:leader="none"/>
        </w:tabs>
        <w:ind w:left="668"/>
      </w:pPr>
      <w:r>
        <w:rPr>
          <w:u w:val="single"/>
        </w:rPr>
        <w:t>CALL</w:t>
      </w:r>
      <w:r>
        <w:rPr>
          <w:spacing w:val="-3"/>
          <w:u w:val="single"/>
        </w:rPr>
        <w:t> </w:t>
      </w:r>
      <w:r>
        <w:rPr>
          <w:u w:val="single"/>
        </w:rPr>
        <w:t>TO</w:t>
      </w:r>
      <w:r>
        <w:rPr>
          <w:spacing w:val="-2"/>
          <w:u w:val="single"/>
        </w:rPr>
        <w:t> </w:t>
      </w:r>
      <w:r>
        <w:rPr>
          <w:u w:val="single"/>
        </w:rPr>
        <w:t>ORDER</w:t>
      </w:r>
      <w:r>
        <w:rPr/>
        <w:tab/>
        <w:t>At 9:25 A.M. Chairman Laino called the meeting to</w:t>
      </w:r>
      <w:r>
        <w:rPr>
          <w:spacing w:val="-3"/>
        </w:rPr>
        <w:t> </w:t>
      </w:r>
      <w:r>
        <w:rPr/>
        <w:t>order.</w:t>
      </w:r>
    </w:p>
    <w:p>
      <w:pPr>
        <w:pStyle w:val="ListParagraph"/>
        <w:numPr>
          <w:ilvl w:val="1"/>
          <w:numId w:val="2"/>
        </w:numPr>
        <w:tabs>
          <w:tab w:pos="2112" w:val="left" w:leader="none"/>
          <w:tab w:pos="2113" w:val="left" w:leader="none"/>
        </w:tabs>
        <w:spacing w:line="240" w:lineRule="auto" w:before="26" w:after="0"/>
        <w:ind w:left="2112" w:right="0" w:hanging="361"/>
        <w:jc w:val="left"/>
        <w:rPr>
          <w:rFonts w:ascii="Times New Roman" w:hAnsi="Times New Roman"/>
          <w:sz w:val="24"/>
        </w:rPr>
      </w:pPr>
      <w:r>
        <w:rPr>
          <w:rFonts w:ascii="Times New Roman" w:hAnsi="Times New Roman"/>
          <w:sz w:val="24"/>
        </w:rPr>
        <w:t>Chairman Laino noted a quorum was present</w:t>
      </w:r>
    </w:p>
    <w:p>
      <w:pPr>
        <w:pStyle w:val="ListParagraph"/>
        <w:numPr>
          <w:ilvl w:val="1"/>
          <w:numId w:val="2"/>
        </w:numPr>
        <w:tabs>
          <w:tab w:pos="2112" w:val="left" w:leader="none"/>
          <w:tab w:pos="2113" w:val="left" w:leader="none"/>
        </w:tabs>
        <w:spacing w:line="240" w:lineRule="auto" w:before="21" w:after="0"/>
        <w:ind w:left="2112" w:right="0" w:hanging="361"/>
        <w:jc w:val="left"/>
        <w:rPr>
          <w:rFonts w:ascii="Times New Roman" w:hAnsi="Times New Roman"/>
          <w:sz w:val="24"/>
        </w:rPr>
      </w:pPr>
      <w:r>
        <w:rPr>
          <w:rFonts w:ascii="Times New Roman" w:hAnsi="Times New Roman"/>
          <w:sz w:val="24"/>
        </w:rPr>
        <w:t>The next Committee meeting will be on July 25,</w:t>
      </w:r>
      <w:r>
        <w:rPr>
          <w:rFonts w:ascii="Times New Roman" w:hAnsi="Times New Roman"/>
          <w:spacing w:val="-5"/>
          <w:sz w:val="24"/>
        </w:rPr>
        <w:t> </w:t>
      </w:r>
      <w:r>
        <w:rPr>
          <w:rFonts w:ascii="Times New Roman" w:hAnsi="Times New Roman"/>
          <w:sz w:val="24"/>
        </w:rPr>
        <w:t>2025</w:t>
      </w:r>
    </w:p>
    <w:p>
      <w:pPr>
        <w:spacing w:after="0" w:line="240" w:lineRule="auto"/>
        <w:jc w:val="left"/>
        <w:rPr>
          <w:rFonts w:ascii="Times New Roman" w:hAnsi="Times New Roman"/>
          <w:sz w:val="24"/>
        </w:rPr>
        <w:sectPr>
          <w:headerReference w:type="default" r:id="rId9"/>
          <w:pgSz w:w="12240" w:h="15840"/>
          <w:pgMar w:header="1449" w:footer="0" w:top="1700" w:bottom="280" w:left="340" w:right="200"/>
        </w:sectPr>
      </w:pPr>
    </w:p>
    <w:p>
      <w:pPr>
        <w:pStyle w:val="BodyText"/>
        <w:spacing w:before="79"/>
        <w:ind w:left="668"/>
      </w:pPr>
      <w:r>
        <w:rPr>
          <w:u w:val="single"/>
        </w:rPr>
        <w:t>DRAFT FINANCIAL STATEMENTS AND SUPPLEMENTAL REPORTS AS OF MARCH 31, 2025</w:t>
      </w:r>
    </w:p>
    <w:p>
      <w:pPr>
        <w:pStyle w:val="BodyText"/>
        <w:spacing w:line="259" w:lineRule="auto" w:before="21"/>
        <w:ind w:left="667" w:right="848"/>
      </w:pPr>
      <w:r>
        <w:rPr/>
        <w:t>Mr. Greg Evans of The Bonadio Group presented a Motion to approve the Draft Financial Statements and Supplemental Reports as of March 31, 2025. A copy of the Report and Motion are attached to these Minutes.</w:t>
      </w:r>
    </w:p>
    <w:p>
      <w:pPr>
        <w:pStyle w:val="BodyText"/>
        <w:spacing w:line="259" w:lineRule="auto" w:before="160"/>
        <w:ind w:left="667"/>
      </w:pPr>
      <w:r>
        <w:rPr/>
        <w:t>A Motion to approve the Draft Financial Statements and Supplemental Reports as of March 31, 2025, as recommended by the Audit and Finance Committee, was raised and forwarded to the Board for approval.</w:t>
      </w:r>
    </w:p>
    <w:p>
      <w:pPr>
        <w:pStyle w:val="BodyText"/>
        <w:spacing w:before="9"/>
        <w:rPr>
          <w:sz w:val="25"/>
        </w:rPr>
      </w:pPr>
    </w:p>
    <w:p>
      <w:pPr>
        <w:pStyle w:val="BodyText"/>
        <w:spacing w:line="259" w:lineRule="auto"/>
        <w:ind w:left="1387" w:right="7354"/>
      </w:pPr>
      <w:r>
        <w:rPr/>
        <w:t>Motion – Tina Fitzgerald Seconded – Darlene Lattimore</w:t>
      </w:r>
    </w:p>
    <w:p>
      <w:pPr>
        <w:pStyle w:val="BodyText"/>
        <w:spacing w:before="2"/>
        <w:ind w:left="1387"/>
      </w:pPr>
      <w:r>
        <w:rPr/>
        <w:t>Carried Unanimously to the Board with a recommendation of approval.</w:t>
      </w:r>
    </w:p>
    <w:p>
      <w:pPr>
        <w:pStyle w:val="BodyText"/>
        <w:spacing w:before="3"/>
        <w:rPr>
          <w:sz w:val="36"/>
        </w:rPr>
      </w:pPr>
    </w:p>
    <w:p>
      <w:pPr>
        <w:pStyle w:val="BodyText"/>
        <w:spacing w:line="259" w:lineRule="auto"/>
        <w:ind w:left="668" w:right="1045"/>
      </w:pPr>
      <w:r>
        <w:rPr>
          <w:u w:val="single"/>
        </w:rPr>
        <w:t>SUMMARY FINANCIAL INFORMATION – PUBLIC AUTHORITIES LAW (PAL) 2800 ANNUAL</w:t>
      </w:r>
      <w:r>
        <w:rPr/>
        <w:t> </w:t>
      </w:r>
      <w:r>
        <w:rPr>
          <w:u w:val="single"/>
        </w:rPr>
        <w:t>REPORT</w:t>
      </w:r>
    </w:p>
    <w:p>
      <w:pPr>
        <w:pStyle w:val="BodyText"/>
        <w:spacing w:line="259" w:lineRule="auto"/>
        <w:ind w:left="667" w:right="1114"/>
      </w:pPr>
      <w:r>
        <w:rPr/>
        <w:t>Ms. Brim presented a Motion to approve the Summary Financial Information – Public Authorities Law (PAL) 2800 Annual Report. A copy of the Report and Motion are attached to these Minutes.</w:t>
      </w:r>
    </w:p>
    <w:p>
      <w:pPr>
        <w:pStyle w:val="BodyText"/>
        <w:spacing w:line="259" w:lineRule="auto" w:before="159"/>
        <w:ind w:left="667" w:right="805"/>
        <w:jc w:val="both"/>
      </w:pPr>
      <w:r>
        <w:rPr/>
        <w:t>A Motion to approve the Summary Financial Information – Public Authorities Law (PAL) 2800 Annual Report, as recommended by the Audit and Finance Committee, was raised and forwarded to the Board for approval.</w:t>
      </w:r>
    </w:p>
    <w:p>
      <w:pPr>
        <w:pStyle w:val="BodyText"/>
        <w:spacing w:before="9"/>
        <w:rPr>
          <w:sz w:val="25"/>
        </w:rPr>
      </w:pPr>
    </w:p>
    <w:p>
      <w:pPr>
        <w:pStyle w:val="BodyText"/>
        <w:spacing w:line="261" w:lineRule="auto"/>
        <w:ind w:left="1387" w:right="7873"/>
      </w:pPr>
      <w:r>
        <w:rPr/>
        <w:t>Motion – Tina Fitzgerald Seconded – Neil Burke</w:t>
      </w:r>
    </w:p>
    <w:p>
      <w:pPr>
        <w:pStyle w:val="BodyText"/>
        <w:spacing w:line="272" w:lineRule="exact"/>
        <w:ind w:left="1387"/>
      </w:pPr>
      <w:r>
        <w:rPr/>
        <w:t>Carried Unanimously to the Board with a recommendation of approval.</w:t>
      </w:r>
    </w:p>
    <w:p>
      <w:pPr>
        <w:pStyle w:val="BodyText"/>
        <w:rPr>
          <w:sz w:val="26"/>
        </w:rPr>
      </w:pPr>
    </w:p>
    <w:p>
      <w:pPr>
        <w:pStyle w:val="BodyText"/>
        <w:spacing w:before="3"/>
        <w:rPr>
          <w:sz w:val="23"/>
        </w:rPr>
      </w:pPr>
    </w:p>
    <w:p>
      <w:pPr>
        <w:pStyle w:val="BodyText"/>
        <w:ind w:left="668"/>
      </w:pPr>
      <w:r>
        <w:rPr>
          <w:u w:val="single"/>
        </w:rPr>
        <w:t>ANNUAL INVESTMENT REPORT PAL 2925 AND INVESTMENT GUIDLINES</w:t>
      </w:r>
    </w:p>
    <w:p>
      <w:pPr>
        <w:pStyle w:val="BodyText"/>
        <w:spacing w:line="259" w:lineRule="auto" w:before="22"/>
        <w:ind w:left="668" w:right="1159"/>
      </w:pPr>
      <w:r>
        <w:rPr/>
        <w:t>Ms. Brim presented a Motion to approve the Annual Investment Report PAL 2925 and Investment Guidelines. A copy of the Report and Motion are attached to these Minutes.</w:t>
      </w:r>
    </w:p>
    <w:p>
      <w:pPr>
        <w:pStyle w:val="BodyText"/>
        <w:spacing w:line="259" w:lineRule="auto" w:before="159"/>
        <w:ind w:left="668" w:right="802"/>
        <w:jc w:val="both"/>
      </w:pPr>
      <w:r>
        <w:rPr/>
        <w:t>A</w:t>
      </w:r>
      <w:r>
        <w:rPr>
          <w:spacing w:val="-10"/>
        </w:rPr>
        <w:t> </w:t>
      </w:r>
      <w:r>
        <w:rPr/>
        <w:t>Motion</w:t>
      </w:r>
      <w:r>
        <w:rPr>
          <w:spacing w:val="-9"/>
        </w:rPr>
        <w:t> </w:t>
      </w:r>
      <w:r>
        <w:rPr/>
        <w:t>to</w:t>
      </w:r>
      <w:r>
        <w:rPr>
          <w:spacing w:val="-12"/>
        </w:rPr>
        <w:t> </w:t>
      </w:r>
      <w:r>
        <w:rPr/>
        <w:t>approve</w:t>
      </w:r>
      <w:r>
        <w:rPr>
          <w:spacing w:val="-10"/>
        </w:rPr>
        <w:t> </w:t>
      </w:r>
      <w:r>
        <w:rPr/>
        <w:t>the</w:t>
      </w:r>
      <w:r>
        <w:rPr>
          <w:spacing w:val="-11"/>
        </w:rPr>
        <w:t> </w:t>
      </w:r>
      <w:r>
        <w:rPr/>
        <w:t>Annual</w:t>
      </w:r>
      <w:r>
        <w:rPr>
          <w:spacing w:val="-8"/>
        </w:rPr>
        <w:t> </w:t>
      </w:r>
      <w:r>
        <w:rPr/>
        <w:t>Investment</w:t>
      </w:r>
      <w:r>
        <w:rPr>
          <w:spacing w:val="-9"/>
        </w:rPr>
        <w:t> </w:t>
      </w:r>
      <w:r>
        <w:rPr/>
        <w:t>PAL</w:t>
      </w:r>
      <w:r>
        <w:rPr>
          <w:spacing w:val="-9"/>
        </w:rPr>
        <w:t> </w:t>
      </w:r>
      <w:r>
        <w:rPr/>
        <w:t>2925</w:t>
      </w:r>
      <w:r>
        <w:rPr>
          <w:spacing w:val="-10"/>
        </w:rPr>
        <w:t> </w:t>
      </w:r>
      <w:r>
        <w:rPr/>
        <w:t>and</w:t>
      </w:r>
      <w:r>
        <w:rPr>
          <w:spacing w:val="-9"/>
        </w:rPr>
        <w:t> </w:t>
      </w:r>
      <w:r>
        <w:rPr/>
        <w:t>Investment</w:t>
      </w:r>
      <w:r>
        <w:rPr>
          <w:spacing w:val="-9"/>
        </w:rPr>
        <w:t> </w:t>
      </w:r>
      <w:r>
        <w:rPr/>
        <w:t>Guidelines,</w:t>
      </w:r>
      <w:r>
        <w:rPr>
          <w:spacing w:val="-9"/>
        </w:rPr>
        <w:t> </w:t>
      </w:r>
      <w:r>
        <w:rPr/>
        <w:t>as</w:t>
      </w:r>
      <w:r>
        <w:rPr>
          <w:spacing w:val="-9"/>
        </w:rPr>
        <w:t> </w:t>
      </w:r>
      <w:r>
        <w:rPr/>
        <w:t>recommended</w:t>
      </w:r>
      <w:r>
        <w:rPr>
          <w:spacing w:val="-6"/>
        </w:rPr>
        <w:t> </w:t>
      </w:r>
      <w:r>
        <w:rPr/>
        <w:t>by</w:t>
      </w:r>
      <w:r>
        <w:rPr>
          <w:spacing w:val="-10"/>
        </w:rPr>
        <w:t> </w:t>
      </w:r>
      <w:r>
        <w:rPr/>
        <w:t>the Audit and Finance Committee, was raised and forwarded to the Board for</w:t>
      </w:r>
      <w:r>
        <w:rPr>
          <w:spacing w:val="-4"/>
        </w:rPr>
        <w:t> </w:t>
      </w:r>
      <w:r>
        <w:rPr/>
        <w:t>approval.</w:t>
      </w:r>
    </w:p>
    <w:p>
      <w:pPr>
        <w:pStyle w:val="BodyText"/>
        <w:rPr>
          <w:sz w:val="26"/>
        </w:rPr>
      </w:pPr>
    </w:p>
    <w:p>
      <w:pPr>
        <w:pStyle w:val="BodyText"/>
        <w:spacing w:line="259" w:lineRule="auto" w:before="1"/>
        <w:ind w:left="1388" w:right="7779"/>
      </w:pPr>
      <w:r>
        <w:rPr/>
        <w:t>Motion – Julius Lawrence Seconded – Neil Burke</w:t>
      </w:r>
    </w:p>
    <w:p>
      <w:pPr>
        <w:pStyle w:val="BodyText"/>
        <w:spacing w:line="275" w:lineRule="exact"/>
        <w:ind w:left="1388"/>
      </w:pPr>
      <w:r>
        <w:rPr/>
        <w:t>Carried Unanimously to the Board with a recommendation of approval.</w:t>
      </w:r>
    </w:p>
    <w:p>
      <w:pPr>
        <w:pStyle w:val="BodyText"/>
        <w:rPr>
          <w:sz w:val="26"/>
        </w:rPr>
      </w:pPr>
    </w:p>
    <w:p>
      <w:pPr>
        <w:pStyle w:val="BodyText"/>
        <w:spacing w:before="219"/>
        <w:ind w:left="668"/>
      </w:pPr>
      <w:r>
        <w:rPr>
          <w:u w:val="single"/>
        </w:rPr>
        <w:t>GUIDELINES FOR DISPOSTION OF PROPERTY</w:t>
      </w:r>
    </w:p>
    <w:p>
      <w:pPr>
        <w:pStyle w:val="BodyText"/>
        <w:spacing w:line="259" w:lineRule="auto" w:before="22"/>
        <w:ind w:left="668" w:right="808"/>
        <w:jc w:val="both"/>
      </w:pPr>
      <w:r>
        <w:rPr/>
        <w:t>Ms. Brim presented a Motion to approve the Guidelines for Disposition of Property. A copy of the Motion is attached to these Minutes.</w:t>
      </w:r>
    </w:p>
    <w:p>
      <w:pPr>
        <w:pStyle w:val="BodyText"/>
        <w:spacing w:line="259" w:lineRule="auto" w:before="160"/>
        <w:ind w:left="668" w:right="807"/>
        <w:jc w:val="both"/>
      </w:pPr>
      <w:r>
        <w:rPr/>
        <w:t>A</w:t>
      </w:r>
      <w:r>
        <w:rPr>
          <w:spacing w:val="-10"/>
        </w:rPr>
        <w:t> </w:t>
      </w:r>
      <w:r>
        <w:rPr/>
        <w:t>Motion</w:t>
      </w:r>
      <w:r>
        <w:rPr>
          <w:spacing w:val="-9"/>
        </w:rPr>
        <w:t> </w:t>
      </w:r>
      <w:r>
        <w:rPr/>
        <w:t>to</w:t>
      </w:r>
      <w:r>
        <w:rPr>
          <w:spacing w:val="-10"/>
        </w:rPr>
        <w:t> </w:t>
      </w:r>
      <w:r>
        <w:rPr/>
        <w:t>approve</w:t>
      </w:r>
      <w:r>
        <w:rPr>
          <w:spacing w:val="-10"/>
        </w:rPr>
        <w:t> </w:t>
      </w:r>
      <w:r>
        <w:rPr/>
        <w:t>the</w:t>
      </w:r>
      <w:r>
        <w:rPr>
          <w:spacing w:val="-12"/>
        </w:rPr>
        <w:t> </w:t>
      </w:r>
      <w:r>
        <w:rPr/>
        <w:t>Guidelines</w:t>
      </w:r>
      <w:r>
        <w:rPr>
          <w:spacing w:val="-9"/>
        </w:rPr>
        <w:t> </w:t>
      </w:r>
      <w:r>
        <w:rPr/>
        <w:t>for</w:t>
      </w:r>
      <w:r>
        <w:rPr>
          <w:spacing w:val="-9"/>
        </w:rPr>
        <w:t> </w:t>
      </w:r>
      <w:r>
        <w:rPr/>
        <w:t>Disposition</w:t>
      </w:r>
      <w:r>
        <w:rPr>
          <w:spacing w:val="-10"/>
        </w:rPr>
        <w:t> </w:t>
      </w:r>
      <w:r>
        <w:rPr/>
        <w:t>of</w:t>
      </w:r>
      <w:r>
        <w:rPr>
          <w:spacing w:val="-9"/>
        </w:rPr>
        <w:t> </w:t>
      </w:r>
      <w:r>
        <w:rPr/>
        <w:t>Property,</w:t>
      </w:r>
      <w:r>
        <w:rPr>
          <w:spacing w:val="-9"/>
        </w:rPr>
        <w:t> </w:t>
      </w:r>
      <w:r>
        <w:rPr/>
        <w:t>as</w:t>
      </w:r>
      <w:r>
        <w:rPr>
          <w:spacing w:val="-9"/>
        </w:rPr>
        <w:t> </w:t>
      </w:r>
      <w:r>
        <w:rPr/>
        <w:t>recommended</w:t>
      </w:r>
      <w:r>
        <w:rPr>
          <w:spacing w:val="-9"/>
        </w:rPr>
        <w:t> </w:t>
      </w:r>
      <w:r>
        <w:rPr/>
        <w:t>by</w:t>
      </w:r>
      <w:r>
        <w:rPr>
          <w:spacing w:val="-10"/>
        </w:rPr>
        <w:t> </w:t>
      </w:r>
      <w:r>
        <w:rPr/>
        <w:t>the</w:t>
      </w:r>
      <w:r>
        <w:rPr>
          <w:spacing w:val="-10"/>
        </w:rPr>
        <w:t> </w:t>
      </w:r>
      <w:r>
        <w:rPr/>
        <w:t>Audit</w:t>
      </w:r>
      <w:r>
        <w:rPr>
          <w:spacing w:val="-8"/>
        </w:rPr>
        <w:t> </w:t>
      </w:r>
      <w:r>
        <w:rPr/>
        <w:t>and</w:t>
      </w:r>
      <w:r>
        <w:rPr>
          <w:spacing w:val="-10"/>
        </w:rPr>
        <w:t> </w:t>
      </w:r>
      <w:r>
        <w:rPr/>
        <w:t>Finance Committee, was raised and forwarded to the Board for</w:t>
      </w:r>
      <w:r>
        <w:rPr>
          <w:spacing w:val="-4"/>
        </w:rPr>
        <w:t> </w:t>
      </w:r>
      <w:r>
        <w:rPr/>
        <w:t>approval.</w:t>
      </w:r>
    </w:p>
    <w:p>
      <w:pPr>
        <w:spacing w:after="0" w:line="259" w:lineRule="auto"/>
        <w:jc w:val="both"/>
        <w:sectPr>
          <w:headerReference w:type="default" r:id="rId10"/>
          <w:pgSz w:w="12240" w:h="15840"/>
          <w:pgMar w:header="0" w:footer="0" w:top="1360" w:bottom="280" w:left="340" w:right="200"/>
        </w:sectPr>
      </w:pPr>
    </w:p>
    <w:p>
      <w:pPr>
        <w:pStyle w:val="BodyText"/>
        <w:spacing w:line="259" w:lineRule="auto" w:before="79"/>
        <w:ind w:left="1388" w:right="7539"/>
      </w:pPr>
      <w:r>
        <w:rPr/>
        <w:t>Motion – Neil Burke Seconded – Robert Cuculich</w:t>
      </w:r>
    </w:p>
    <w:p>
      <w:pPr>
        <w:pStyle w:val="BodyText"/>
        <w:spacing w:line="275" w:lineRule="exact"/>
        <w:ind w:left="1388"/>
      </w:pPr>
      <w:r>
        <w:rPr/>
        <w:t>Carried Unanimously to the Board with a recommendation of approval.</w:t>
      </w:r>
    </w:p>
    <w:p>
      <w:pPr>
        <w:pStyle w:val="BodyText"/>
        <w:rPr>
          <w:sz w:val="26"/>
        </w:rPr>
      </w:pPr>
    </w:p>
    <w:p>
      <w:pPr>
        <w:pStyle w:val="BodyText"/>
        <w:spacing w:before="219"/>
        <w:ind w:left="668"/>
      </w:pPr>
      <w:r>
        <w:rPr>
          <w:u w:val="single"/>
        </w:rPr>
        <w:t>ANNUAL PROCUREMENT REPORT – PUBLIC AUTHORITIES LAW 2879 AND 2824€</w:t>
      </w:r>
    </w:p>
    <w:p>
      <w:pPr>
        <w:pStyle w:val="BodyText"/>
        <w:spacing w:line="259" w:lineRule="auto" w:before="22"/>
        <w:ind w:left="668" w:right="1020"/>
      </w:pPr>
      <w:r>
        <w:rPr/>
        <w:t>Ms. MacCollum presented a Motion to approve the Annual Procurement – Public Authorities Law 2879 and 2824€. A copy of the Motion is attached to these Minutes.</w:t>
      </w:r>
    </w:p>
    <w:p>
      <w:pPr>
        <w:pStyle w:val="BodyText"/>
        <w:spacing w:line="259" w:lineRule="auto" w:before="160"/>
        <w:ind w:left="668" w:right="664"/>
      </w:pPr>
      <w:r>
        <w:rPr/>
        <w:t>A Motion to approve the Annual Procurement – Public Authorities Law 2879 and 2824€, as recommended by the Audit and Finance Committee, was raised and forwarded to the Board for approval.</w:t>
      </w:r>
    </w:p>
    <w:p>
      <w:pPr>
        <w:pStyle w:val="BodyText"/>
        <w:spacing w:before="9"/>
        <w:rPr>
          <w:sz w:val="25"/>
        </w:rPr>
      </w:pPr>
    </w:p>
    <w:p>
      <w:pPr>
        <w:pStyle w:val="BodyText"/>
        <w:spacing w:line="259" w:lineRule="auto"/>
        <w:ind w:left="1388" w:right="7672"/>
      </w:pPr>
      <w:r>
        <w:rPr/>
        <w:t>Motion – Louella Williams Seconded – Neil Burke</w:t>
      </w:r>
    </w:p>
    <w:p>
      <w:pPr>
        <w:pStyle w:val="BodyText"/>
        <w:spacing w:before="2"/>
        <w:ind w:left="1388"/>
      </w:pPr>
      <w:r>
        <w:rPr/>
        <w:t>Carried Unanimously to the Board with a recommendation of approval.</w:t>
      </w:r>
    </w:p>
    <w:p>
      <w:pPr>
        <w:pStyle w:val="BodyText"/>
        <w:rPr>
          <w:sz w:val="26"/>
        </w:rPr>
      </w:pPr>
    </w:p>
    <w:p>
      <w:pPr>
        <w:pStyle w:val="BodyText"/>
        <w:spacing w:before="217"/>
        <w:ind w:left="668"/>
      </w:pPr>
      <w:r>
        <w:rPr>
          <w:u w:val="single"/>
        </w:rPr>
        <w:t>CNYRTA PROCUREMENT MANUAL UPDATES</w:t>
      </w:r>
    </w:p>
    <w:p>
      <w:pPr>
        <w:pStyle w:val="BodyText"/>
        <w:spacing w:line="259" w:lineRule="auto" w:before="24"/>
        <w:ind w:left="667" w:right="1041"/>
      </w:pPr>
      <w:r>
        <w:rPr/>
        <w:t>Ms. MacCollum presented a Motion to approve the CNYRTA Procurement Manual Updates. A copy of the Motion is attached to these Minutes.</w:t>
      </w:r>
    </w:p>
    <w:p>
      <w:pPr>
        <w:pStyle w:val="BodyText"/>
        <w:spacing w:line="259" w:lineRule="auto" w:before="157"/>
        <w:ind w:left="667" w:right="1159"/>
      </w:pPr>
      <w:r>
        <w:rPr/>
        <w:t>A Motion to approve the CNYRTA Procurement Manual Updates, as recommended by the Audit and Finance Committee, was raised and forwarded to the Board for approval.</w:t>
      </w:r>
    </w:p>
    <w:p>
      <w:pPr>
        <w:pStyle w:val="BodyText"/>
        <w:rPr>
          <w:sz w:val="26"/>
        </w:rPr>
      </w:pPr>
    </w:p>
    <w:p>
      <w:pPr>
        <w:pStyle w:val="BodyText"/>
        <w:spacing w:line="259" w:lineRule="auto"/>
        <w:ind w:left="1387" w:right="7447"/>
      </w:pPr>
      <w:r>
        <w:rPr/>
        <w:t>Motion – Darlene Lattimore Seconded – Louella Williams</w:t>
      </w:r>
    </w:p>
    <w:p>
      <w:pPr>
        <w:pStyle w:val="BodyText"/>
        <w:spacing w:line="275" w:lineRule="exact"/>
        <w:ind w:left="1387"/>
      </w:pPr>
      <w:r>
        <w:rPr/>
        <w:t>Carried Unanimously to the Board with a recommendation of approval.</w:t>
      </w:r>
    </w:p>
    <w:p>
      <w:pPr>
        <w:pStyle w:val="BodyText"/>
        <w:rPr>
          <w:sz w:val="26"/>
        </w:rPr>
      </w:pPr>
    </w:p>
    <w:p>
      <w:pPr>
        <w:pStyle w:val="BodyText"/>
        <w:spacing w:before="169"/>
        <w:ind w:left="668"/>
      </w:pPr>
      <w:r>
        <w:rPr>
          <w:u w:val="single"/>
        </w:rPr>
        <w:t>SUBSTANCE ABUSE POLICY</w:t>
      </w:r>
    </w:p>
    <w:p>
      <w:pPr>
        <w:pStyle w:val="BodyText"/>
        <w:spacing w:line="259" w:lineRule="auto" w:before="22"/>
        <w:ind w:left="667" w:right="1547"/>
      </w:pPr>
      <w:r>
        <w:rPr/>
        <w:t>Ms. Musengo presented a Motion to approve the Substance Abuse Policy. A copy of the Motion is attached to these Minutes.</w:t>
      </w:r>
    </w:p>
    <w:p>
      <w:pPr>
        <w:pStyle w:val="BodyText"/>
        <w:spacing w:line="259" w:lineRule="auto" w:before="160"/>
        <w:ind w:left="667" w:right="664"/>
      </w:pPr>
      <w:r>
        <w:rPr/>
        <w:t>A Motion to approve the Substance Abuse Policy, as recommended by the Audit and Finance Committee, was raised and forwarded to the Board for approval.</w:t>
      </w:r>
    </w:p>
    <w:p>
      <w:pPr>
        <w:pStyle w:val="BodyText"/>
        <w:spacing w:before="9"/>
        <w:rPr>
          <w:sz w:val="25"/>
        </w:rPr>
      </w:pPr>
    </w:p>
    <w:p>
      <w:pPr>
        <w:pStyle w:val="BodyText"/>
        <w:spacing w:line="259" w:lineRule="auto"/>
        <w:ind w:left="1387" w:right="7553"/>
      </w:pPr>
      <w:r>
        <w:rPr/>
        <w:t>Motion – Neil Burke Seconded – Julius Lawrence</w:t>
      </w:r>
    </w:p>
    <w:p>
      <w:pPr>
        <w:pStyle w:val="BodyText"/>
        <w:spacing w:before="1"/>
        <w:ind w:left="1387"/>
      </w:pPr>
      <w:r>
        <w:rPr/>
        <w:t>Carried Unanimously to the Board with a recommendation of approval.</w:t>
      </w:r>
    </w:p>
    <w:p>
      <w:pPr>
        <w:pStyle w:val="BodyText"/>
        <w:rPr>
          <w:sz w:val="26"/>
        </w:rPr>
      </w:pPr>
    </w:p>
    <w:p>
      <w:pPr>
        <w:pStyle w:val="BodyText"/>
        <w:spacing w:before="218"/>
        <w:ind w:left="668"/>
      </w:pPr>
      <w:r>
        <w:rPr>
          <w:u w:val="single"/>
        </w:rPr>
        <w:t>ANNUAL SUBSIDY PAYMENTS</w:t>
      </w:r>
    </w:p>
    <w:p>
      <w:pPr>
        <w:pStyle w:val="BodyText"/>
        <w:spacing w:line="259" w:lineRule="auto" w:before="24"/>
        <w:ind w:left="667" w:right="1420"/>
      </w:pPr>
      <w:r>
        <w:rPr/>
        <w:t>Ms. Brim presented a Resolution to approve Annual Subsidy Payments. A copy of the Resolution is attached to these Minutes.</w:t>
      </w:r>
    </w:p>
    <w:p>
      <w:pPr>
        <w:spacing w:after="0" w:line="259" w:lineRule="auto"/>
        <w:sectPr>
          <w:headerReference w:type="default" r:id="rId11"/>
          <w:pgSz w:w="12240" w:h="15840"/>
          <w:pgMar w:header="0" w:footer="0" w:top="1360" w:bottom="280" w:left="340" w:right="200"/>
        </w:sectPr>
      </w:pPr>
    </w:p>
    <w:p>
      <w:pPr>
        <w:pStyle w:val="BodyText"/>
        <w:spacing w:line="259" w:lineRule="auto" w:before="79"/>
        <w:ind w:left="668" w:right="1159"/>
      </w:pPr>
      <w:r>
        <w:rPr/>
        <w:t>A Resolution to approve Annual Subsidy Payments, as recommended by the Audit and Finance Committee, was raised and forwarded to the Board for approval.</w:t>
      </w:r>
    </w:p>
    <w:p>
      <w:pPr>
        <w:pStyle w:val="BodyText"/>
        <w:spacing w:before="9"/>
        <w:rPr>
          <w:sz w:val="25"/>
        </w:rPr>
      </w:pPr>
    </w:p>
    <w:p>
      <w:pPr>
        <w:pStyle w:val="BodyText"/>
        <w:spacing w:line="259" w:lineRule="auto"/>
        <w:ind w:left="1388" w:right="7353"/>
      </w:pPr>
      <w:r>
        <w:rPr/>
        <w:t>Motion – Anthony Davis Seconded – Darlene Lattimore</w:t>
      </w:r>
    </w:p>
    <w:p>
      <w:pPr>
        <w:pStyle w:val="BodyText"/>
        <w:spacing w:line="275" w:lineRule="exact"/>
        <w:ind w:left="1388"/>
      </w:pPr>
      <w:r>
        <w:rPr/>
        <w:t>Carried Unanimously to the Board with a recommendation of approval.</w:t>
      </w:r>
    </w:p>
    <w:p>
      <w:pPr>
        <w:pStyle w:val="BodyText"/>
        <w:rPr>
          <w:sz w:val="26"/>
        </w:rPr>
      </w:pPr>
    </w:p>
    <w:p>
      <w:pPr>
        <w:pStyle w:val="BodyText"/>
        <w:spacing w:before="220"/>
        <w:ind w:left="668"/>
      </w:pPr>
      <w:r>
        <w:rPr>
          <w:u w:val="single"/>
        </w:rPr>
        <w:t>PDS SOFTWARE RENEWAL AND MAINTAENANCE</w:t>
      </w:r>
    </w:p>
    <w:p>
      <w:pPr>
        <w:pStyle w:val="BodyText"/>
        <w:spacing w:line="259" w:lineRule="auto" w:before="21"/>
        <w:ind w:left="667" w:right="1521"/>
      </w:pPr>
      <w:r>
        <w:rPr/>
        <w:t>Mr. King presented a Resolution to authorize a contract award to PDS for a (5) year maintenance agreement from August 21, 2025 to August 20, 2030. A copy of the Resolution is attached to these Minutes.</w:t>
      </w:r>
    </w:p>
    <w:p>
      <w:pPr>
        <w:pStyle w:val="BodyText"/>
        <w:spacing w:line="261" w:lineRule="auto" w:before="160"/>
        <w:ind w:left="668" w:right="664"/>
      </w:pPr>
      <w:r>
        <w:rPr/>
        <w:t>A</w:t>
      </w:r>
      <w:r>
        <w:rPr>
          <w:spacing w:val="-10"/>
        </w:rPr>
        <w:t> </w:t>
      </w:r>
      <w:r>
        <w:rPr/>
        <w:t>Motion</w:t>
      </w:r>
      <w:r>
        <w:rPr>
          <w:spacing w:val="-9"/>
        </w:rPr>
        <w:t> </w:t>
      </w:r>
      <w:r>
        <w:rPr/>
        <w:t>to</w:t>
      </w:r>
      <w:r>
        <w:rPr>
          <w:spacing w:val="-9"/>
        </w:rPr>
        <w:t> </w:t>
      </w:r>
      <w:r>
        <w:rPr/>
        <w:t>authorize</w:t>
      </w:r>
      <w:r>
        <w:rPr>
          <w:spacing w:val="-10"/>
        </w:rPr>
        <w:t> </w:t>
      </w:r>
      <w:r>
        <w:rPr/>
        <w:t>a</w:t>
      </w:r>
      <w:r>
        <w:rPr>
          <w:spacing w:val="-10"/>
        </w:rPr>
        <w:t> </w:t>
      </w:r>
      <w:r>
        <w:rPr/>
        <w:t>contract</w:t>
      </w:r>
      <w:r>
        <w:rPr>
          <w:spacing w:val="-8"/>
        </w:rPr>
        <w:t> </w:t>
      </w:r>
      <w:r>
        <w:rPr/>
        <w:t>award</w:t>
      </w:r>
      <w:r>
        <w:rPr>
          <w:spacing w:val="-9"/>
        </w:rPr>
        <w:t> </w:t>
      </w:r>
      <w:r>
        <w:rPr/>
        <w:t>to</w:t>
      </w:r>
      <w:r>
        <w:rPr>
          <w:spacing w:val="-9"/>
        </w:rPr>
        <w:t> </w:t>
      </w:r>
      <w:r>
        <w:rPr/>
        <w:t>PDS</w:t>
      </w:r>
      <w:r>
        <w:rPr>
          <w:spacing w:val="-8"/>
        </w:rPr>
        <w:t> </w:t>
      </w:r>
      <w:r>
        <w:rPr/>
        <w:t>for</w:t>
      </w:r>
      <w:r>
        <w:rPr>
          <w:spacing w:val="-9"/>
        </w:rPr>
        <w:t> </w:t>
      </w:r>
      <w:r>
        <w:rPr/>
        <w:t>a</w:t>
      </w:r>
      <w:r>
        <w:rPr>
          <w:spacing w:val="-10"/>
        </w:rPr>
        <w:t> </w:t>
      </w:r>
      <w:r>
        <w:rPr/>
        <w:t>(5)</w:t>
      </w:r>
      <w:r>
        <w:rPr>
          <w:spacing w:val="-9"/>
        </w:rPr>
        <w:t> </w:t>
      </w:r>
      <w:r>
        <w:rPr/>
        <w:t>year</w:t>
      </w:r>
      <w:r>
        <w:rPr>
          <w:spacing w:val="-10"/>
        </w:rPr>
        <w:t> </w:t>
      </w:r>
      <w:r>
        <w:rPr/>
        <w:t>maintenance</w:t>
      </w:r>
      <w:r>
        <w:rPr>
          <w:spacing w:val="-10"/>
        </w:rPr>
        <w:t> </w:t>
      </w:r>
      <w:r>
        <w:rPr/>
        <w:t>agreement</w:t>
      </w:r>
      <w:r>
        <w:rPr>
          <w:spacing w:val="-8"/>
        </w:rPr>
        <w:t> </w:t>
      </w:r>
      <w:r>
        <w:rPr/>
        <w:t>from</w:t>
      </w:r>
      <w:r>
        <w:rPr>
          <w:spacing w:val="-8"/>
        </w:rPr>
        <w:t> </w:t>
      </w:r>
      <w:r>
        <w:rPr/>
        <w:t>August</w:t>
      </w:r>
      <w:r>
        <w:rPr>
          <w:spacing w:val="-8"/>
        </w:rPr>
        <w:t> </w:t>
      </w:r>
      <w:r>
        <w:rPr/>
        <w:t>21,</w:t>
      </w:r>
      <w:r>
        <w:rPr>
          <w:spacing w:val="-9"/>
        </w:rPr>
        <w:t> </w:t>
      </w:r>
      <w:r>
        <w:rPr/>
        <w:t>2025 to August 20, 2030, was raised and forwarded to the Board for</w:t>
      </w:r>
      <w:r>
        <w:rPr>
          <w:spacing w:val="-2"/>
        </w:rPr>
        <w:t> </w:t>
      </w:r>
      <w:r>
        <w:rPr/>
        <w:t>approval.</w:t>
      </w:r>
    </w:p>
    <w:p>
      <w:pPr>
        <w:pStyle w:val="BodyText"/>
        <w:spacing w:before="5"/>
        <w:rPr>
          <w:sz w:val="25"/>
        </w:rPr>
      </w:pPr>
    </w:p>
    <w:p>
      <w:pPr>
        <w:pStyle w:val="BodyText"/>
        <w:spacing w:line="259" w:lineRule="auto" w:before="1"/>
        <w:ind w:left="1388" w:right="7353"/>
      </w:pPr>
      <w:r>
        <w:rPr/>
        <w:t>Motion – Julius Lawrence Seconded – Darlene Lattimore</w:t>
      </w:r>
    </w:p>
    <w:p>
      <w:pPr>
        <w:pStyle w:val="BodyText"/>
        <w:spacing w:line="275" w:lineRule="exact"/>
        <w:ind w:left="1388"/>
      </w:pPr>
      <w:r>
        <w:rPr/>
        <w:t>Carried Unanimously to the Board with a recommendation of approval.</w:t>
      </w:r>
    </w:p>
    <w:p>
      <w:pPr>
        <w:pStyle w:val="BodyText"/>
        <w:rPr>
          <w:sz w:val="26"/>
        </w:rPr>
      </w:pPr>
    </w:p>
    <w:p>
      <w:pPr>
        <w:pStyle w:val="BodyText"/>
        <w:spacing w:before="8"/>
        <w:rPr>
          <w:sz w:val="34"/>
        </w:rPr>
      </w:pPr>
    </w:p>
    <w:p>
      <w:pPr>
        <w:pStyle w:val="BodyText"/>
        <w:ind w:left="668"/>
      </w:pPr>
      <w:r>
        <w:rPr>
          <w:u w:val="single"/>
        </w:rPr>
        <w:t>ADJOURNED</w:t>
      </w:r>
    </w:p>
    <w:p>
      <w:pPr>
        <w:pStyle w:val="BodyText"/>
        <w:spacing w:line="259" w:lineRule="auto"/>
        <w:ind w:left="668" w:right="664"/>
      </w:pPr>
      <w:r>
        <w:rPr/>
        <w:t>There</w:t>
      </w:r>
      <w:r>
        <w:rPr>
          <w:spacing w:val="-5"/>
        </w:rPr>
        <w:t> </w:t>
      </w:r>
      <w:r>
        <w:rPr/>
        <w:t>being</w:t>
      </w:r>
      <w:r>
        <w:rPr>
          <w:spacing w:val="-3"/>
        </w:rPr>
        <w:t> </w:t>
      </w:r>
      <w:r>
        <w:rPr/>
        <w:t>no</w:t>
      </w:r>
      <w:r>
        <w:rPr>
          <w:spacing w:val="-4"/>
        </w:rPr>
        <w:t> </w:t>
      </w:r>
      <w:r>
        <w:rPr/>
        <w:t>further</w:t>
      </w:r>
      <w:r>
        <w:rPr>
          <w:spacing w:val="-1"/>
        </w:rPr>
        <w:t> </w:t>
      </w:r>
      <w:r>
        <w:rPr/>
        <w:t>business</w:t>
      </w:r>
      <w:r>
        <w:rPr>
          <w:spacing w:val="-4"/>
        </w:rPr>
        <w:t> </w:t>
      </w:r>
      <w:r>
        <w:rPr/>
        <w:t>to</w:t>
      </w:r>
      <w:r>
        <w:rPr>
          <w:spacing w:val="-3"/>
        </w:rPr>
        <w:t> </w:t>
      </w:r>
      <w:r>
        <w:rPr/>
        <w:t>come</w:t>
      </w:r>
      <w:r>
        <w:rPr>
          <w:spacing w:val="-5"/>
        </w:rPr>
        <w:t> </w:t>
      </w:r>
      <w:r>
        <w:rPr/>
        <w:t>before</w:t>
      </w:r>
      <w:r>
        <w:rPr>
          <w:spacing w:val="-1"/>
        </w:rPr>
        <w:t> </w:t>
      </w:r>
      <w:r>
        <w:rPr/>
        <w:t>the</w:t>
      </w:r>
      <w:r>
        <w:rPr>
          <w:spacing w:val="-5"/>
        </w:rPr>
        <w:t> </w:t>
      </w:r>
      <w:r>
        <w:rPr/>
        <w:t>Committee,</w:t>
      </w:r>
      <w:r>
        <w:rPr>
          <w:spacing w:val="-3"/>
        </w:rPr>
        <w:t> </w:t>
      </w:r>
      <w:r>
        <w:rPr/>
        <w:t>the</w:t>
      </w:r>
      <w:r>
        <w:rPr>
          <w:spacing w:val="-4"/>
        </w:rPr>
        <w:t> </w:t>
      </w:r>
      <w:r>
        <w:rPr/>
        <w:t>Audit</w:t>
      </w:r>
      <w:r>
        <w:rPr>
          <w:spacing w:val="-3"/>
        </w:rPr>
        <w:t> </w:t>
      </w:r>
      <w:r>
        <w:rPr/>
        <w:t>and</w:t>
      </w:r>
      <w:r>
        <w:rPr>
          <w:spacing w:val="-3"/>
        </w:rPr>
        <w:t> </w:t>
      </w:r>
      <w:r>
        <w:rPr/>
        <w:t>Finance</w:t>
      </w:r>
      <w:r>
        <w:rPr>
          <w:spacing w:val="-5"/>
        </w:rPr>
        <w:t> </w:t>
      </w:r>
      <w:r>
        <w:rPr/>
        <w:t>Committee</w:t>
      </w:r>
      <w:r>
        <w:rPr>
          <w:spacing w:val="-4"/>
        </w:rPr>
        <w:t> </w:t>
      </w:r>
      <w:r>
        <w:rPr/>
        <w:t>Meeting was</w:t>
      </w:r>
      <w:r>
        <w:rPr>
          <w:spacing w:val="-1"/>
        </w:rPr>
        <w:t> </w:t>
      </w:r>
      <w:r>
        <w:rPr/>
        <w:t>adjourned.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r>
        <w:rPr/>
        <w:pict>
          <v:shape style="position:absolute;margin-left:338.399994pt;margin-top:17.519585pt;width:162pt;height:.1pt;mso-position-horizontal-relative:page;mso-position-vertical-relative:paragraph;z-index:-251654144;mso-wrap-distance-left:0;mso-wrap-distance-right:0" coordorigin="6768,350" coordsize="3240,0" path="m6768,350l10008,350e" filled="false" stroked="true" strokeweight=".48pt" strokecolor="#000000">
            <v:path arrowok="t"/>
            <v:stroke dashstyle="solid"/>
            <w10:wrap type="topAndBottom"/>
          </v:shape>
        </w:pict>
      </w:r>
    </w:p>
    <w:p>
      <w:pPr>
        <w:pStyle w:val="BodyText"/>
        <w:spacing w:line="268" w:lineRule="exact"/>
        <w:ind w:left="2911" w:right="811"/>
        <w:jc w:val="center"/>
      </w:pPr>
      <w:r>
        <w:rPr/>
        <w:t>Chairman</w:t>
      </w:r>
    </w:p>
    <w:p>
      <w:pPr>
        <w:pStyle w:val="BodyText"/>
        <w:rPr>
          <w:sz w:val="20"/>
        </w:rPr>
      </w:pPr>
    </w:p>
    <w:p>
      <w:pPr>
        <w:pStyle w:val="BodyText"/>
        <w:spacing w:before="9"/>
        <w:rPr>
          <w:sz w:val="25"/>
        </w:rPr>
      </w:pPr>
    </w:p>
    <w:p>
      <w:pPr>
        <w:pStyle w:val="BodyText"/>
        <w:spacing w:before="90"/>
        <w:ind w:left="667"/>
      </w:pPr>
      <w:r>
        <w:rPr/>
        <w:t>ATTEST: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r>
        <w:rPr/>
        <w:pict>
          <v:shape style="position:absolute;margin-left:50.400002pt;margin-top:13.298576pt;width:150pt;height:.1pt;mso-position-horizontal-relative:page;mso-position-vertical-relative:paragraph;z-index:-251653120;mso-wrap-distance-left:0;mso-wrap-distance-right:0" coordorigin="1008,266" coordsize="3000,0" path="m1008,266l4008,266e" filled="false" stroked="true" strokeweight=".48pt" strokecolor="#000000">
            <v:path arrowok="t"/>
            <v:stroke dashstyle="solid"/>
            <w10:wrap type="topAndBottom"/>
          </v:shape>
        </w:pict>
      </w:r>
    </w:p>
    <w:p>
      <w:pPr>
        <w:pStyle w:val="BodyText"/>
        <w:spacing w:line="268" w:lineRule="exact"/>
        <w:ind w:left="667"/>
      </w:pPr>
      <w:r>
        <w:rPr/>
        <w:t>Secretary</w:t>
      </w:r>
    </w:p>
    <w:p>
      <w:pPr>
        <w:spacing w:after="0" w:line="268" w:lineRule="exact"/>
        <w:sectPr>
          <w:headerReference w:type="default" r:id="rId12"/>
          <w:pgSz w:w="12240" w:h="15840"/>
          <w:pgMar w:header="0" w:footer="0" w:top="1360" w:bottom="280" w:left="340" w:right="200"/>
        </w:sectPr>
      </w:pPr>
    </w:p>
    <w:p>
      <w:pPr>
        <w:pStyle w:val="Heading7"/>
        <w:spacing w:before="79"/>
        <w:ind w:left="671" w:right="811"/>
      </w:pPr>
      <w:bookmarkStart w:name="CNYRTA 6.20.25 draft minutes" w:id="4"/>
      <w:bookmarkEnd w:id="4"/>
      <w:r>
        <w:rPr>
          <w:b w:val="0"/>
        </w:rPr>
      </w:r>
      <w:r>
        <w:rPr/>
        <w:t>THE CENTRAL NEW YORK REGIONAL TRANSPORTATION AUTHORITY</w:t>
      </w:r>
    </w:p>
    <w:p>
      <w:pPr>
        <w:spacing w:before="41"/>
        <w:ind w:left="672" w:right="807" w:firstLine="0"/>
        <w:jc w:val="center"/>
        <w:rPr>
          <w:rFonts w:ascii="Times New Roman"/>
          <w:b/>
          <w:sz w:val="24"/>
        </w:rPr>
      </w:pPr>
      <w:r>
        <w:rPr>
          <w:rFonts w:ascii="Times New Roman"/>
          <w:b/>
          <w:sz w:val="24"/>
        </w:rPr>
        <w:t>(and its Subsidiaries)</w:t>
      </w:r>
    </w:p>
    <w:p>
      <w:pPr>
        <w:spacing w:before="40"/>
        <w:ind w:left="670" w:right="811" w:firstLine="0"/>
        <w:jc w:val="center"/>
        <w:rPr>
          <w:rFonts w:ascii="Times New Roman"/>
          <w:b/>
          <w:sz w:val="24"/>
        </w:rPr>
      </w:pPr>
      <w:r>
        <w:rPr>
          <w:rFonts w:ascii="Times New Roman"/>
          <w:b/>
          <w:sz w:val="24"/>
        </w:rPr>
        <w:t>200 CORTLAND AVENUE, SYRACUSE, NEW YORK</w:t>
      </w:r>
    </w:p>
    <w:p>
      <w:pPr>
        <w:pStyle w:val="BodyText"/>
        <w:spacing w:before="44"/>
        <w:ind w:left="671" w:right="811"/>
        <w:jc w:val="center"/>
      </w:pPr>
      <w:r>
        <w:rPr/>
        <w:pict>
          <v:shape style="position:absolute;margin-left:48.959999pt;margin-top:19.163137pt;width:514.1pt;height:.1pt;mso-position-horizontal-relative:page;mso-position-vertical-relative:paragraph;z-index:-251652096;mso-wrap-distance-left:0;mso-wrap-distance-right:0" coordorigin="979,383" coordsize="10282,0" path="m979,383l11261,383e" filled="false" stroked="true" strokeweight=".48pt" strokecolor="#000000">
            <v:path arrowok="t"/>
            <v:stroke dashstyle="solid"/>
            <w10:wrap type="topAndBottom"/>
          </v:shape>
        </w:pict>
      </w:r>
      <w:r>
        <w:rPr/>
        <w:t>MINUTES OF THE JUNE 20, 2025, BOARD MEETING</w:t>
      </w:r>
    </w:p>
    <w:p>
      <w:pPr>
        <w:pStyle w:val="BodyText"/>
        <w:spacing w:before="7"/>
        <w:rPr>
          <w:sz w:val="29"/>
        </w:rPr>
      </w:pPr>
    </w:p>
    <w:p>
      <w:pPr>
        <w:pStyle w:val="BodyText"/>
        <w:tabs>
          <w:tab w:pos="4267" w:val="left" w:leader="none"/>
        </w:tabs>
        <w:spacing w:before="90"/>
        <w:ind w:left="668"/>
      </w:pPr>
      <w:r>
        <w:rPr/>
        <w:t>MEMBERS</w:t>
      </w:r>
      <w:r>
        <w:rPr>
          <w:spacing w:val="-3"/>
        </w:rPr>
        <w:t> </w:t>
      </w:r>
      <w:r>
        <w:rPr/>
        <w:t>PRESENT:</w:t>
        <w:tab/>
        <w:t>NICHOLAS LAINO,</w:t>
      </w:r>
      <w:r>
        <w:rPr>
          <w:spacing w:val="-1"/>
        </w:rPr>
        <w:t> </w:t>
      </w:r>
      <w:r>
        <w:rPr/>
        <w:t>Chair</w:t>
      </w:r>
    </w:p>
    <w:p>
      <w:pPr>
        <w:pStyle w:val="BodyText"/>
        <w:spacing w:line="259" w:lineRule="auto" w:before="22"/>
        <w:ind w:left="4268" w:right="3819"/>
      </w:pPr>
      <w:r>
        <w:rPr/>
        <w:t>ANTHONY DAVIS, Vice Chair DARLENE LATTIMORE, Secretary TINA FITZGERALD, Treasurer NEIL BURKE</w:t>
      </w:r>
    </w:p>
    <w:p>
      <w:pPr>
        <w:pStyle w:val="BodyText"/>
        <w:spacing w:line="259" w:lineRule="auto"/>
        <w:ind w:left="4268" w:right="4524"/>
      </w:pPr>
      <w:r>
        <w:rPr/>
        <w:t>ROBERT CUCULICH JULIUS LAWRENCE LOUELLA WILLIAMS</w:t>
      </w:r>
    </w:p>
    <w:p>
      <w:pPr>
        <w:pStyle w:val="BodyText"/>
        <w:spacing w:before="9"/>
        <w:rPr>
          <w:sz w:val="25"/>
        </w:rPr>
      </w:pPr>
    </w:p>
    <w:p>
      <w:pPr>
        <w:pStyle w:val="BodyText"/>
        <w:tabs>
          <w:tab w:pos="4267" w:val="left" w:leader="none"/>
        </w:tabs>
        <w:ind w:left="668"/>
      </w:pPr>
      <w:r>
        <w:rPr/>
        <w:t>MEMBERS</w:t>
      </w:r>
      <w:r>
        <w:rPr>
          <w:spacing w:val="-2"/>
        </w:rPr>
        <w:t> </w:t>
      </w:r>
      <w:r>
        <w:rPr/>
        <w:t>ABSENT:</w:t>
        <w:tab/>
        <w:t>FRANK SAYA, Non-Voting Member</w:t>
      </w:r>
    </w:p>
    <w:p>
      <w:pPr>
        <w:pStyle w:val="BodyText"/>
        <w:spacing w:before="6"/>
        <w:rPr>
          <w:sz w:val="36"/>
        </w:rPr>
      </w:pPr>
    </w:p>
    <w:p>
      <w:pPr>
        <w:pStyle w:val="BodyText"/>
        <w:tabs>
          <w:tab w:pos="4267" w:val="left" w:leader="none"/>
        </w:tabs>
        <w:spacing w:line="259" w:lineRule="auto"/>
        <w:ind w:left="4268" w:right="2273" w:hanging="3600"/>
      </w:pPr>
      <w:r>
        <w:rPr/>
        <w:t>STAFF</w:t>
      </w:r>
      <w:r>
        <w:rPr>
          <w:spacing w:val="-5"/>
        </w:rPr>
        <w:t> </w:t>
      </w:r>
      <w:r>
        <w:rPr/>
        <w:t>PRESENT:</w:t>
        <w:tab/>
        <w:t>CHRISTOPHER TUFF, Chief Executive Officer JACQUELYN MUSENGO, VP of Human</w:t>
      </w:r>
      <w:r>
        <w:rPr>
          <w:spacing w:val="-19"/>
        </w:rPr>
        <w:t> </w:t>
      </w:r>
      <w:r>
        <w:rPr/>
        <w:t>Resources GEOFF HOFF, VP of Fleet and</w:t>
      </w:r>
      <w:r>
        <w:rPr>
          <w:spacing w:val="-4"/>
        </w:rPr>
        <w:t> </w:t>
      </w:r>
      <w:r>
        <w:rPr/>
        <w:t>Facilities</w:t>
      </w:r>
    </w:p>
    <w:p>
      <w:pPr>
        <w:pStyle w:val="BodyText"/>
        <w:spacing w:line="259" w:lineRule="auto"/>
        <w:ind w:left="4268" w:right="1119"/>
      </w:pPr>
      <w:r>
        <w:rPr/>
        <w:t>STEVE KOEGEL, VP of Communication and Business Planning BRUCE FONG, VP of Information Technologies</w:t>
      </w:r>
    </w:p>
    <w:p>
      <w:pPr>
        <w:pStyle w:val="BodyText"/>
        <w:spacing w:line="275" w:lineRule="exact"/>
        <w:ind w:left="4268"/>
      </w:pPr>
      <w:r>
        <w:rPr/>
        <w:t>MELISSA BRIM, VP of Finance</w:t>
      </w:r>
    </w:p>
    <w:p>
      <w:pPr>
        <w:pStyle w:val="BodyText"/>
        <w:spacing w:line="259" w:lineRule="auto" w:before="20"/>
        <w:ind w:left="4268" w:right="1026"/>
      </w:pPr>
      <w:r>
        <w:rPr/>
        <w:t>BREN DAISS, Sr Director of Service Planning &amp; Special Projects CAITLIN MACCOLLUM, Senior Director of Procurement</w:t>
      </w:r>
    </w:p>
    <w:p>
      <w:pPr>
        <w:pStyle w:val="BodyText"/>
        <w:spacing w:line="275" w:lineRule="exact"/>
        <w:ind w:left="4268"/>
      </w:pPr>
      <w:r>
        <w:rPr/>
        <w:t>JOE DEGRAY, Administrative Advisor</w:t>
      </w:r>
    </w:p>
    <w:p>
      <w:pPr>
        <w:pStyle w:val="BodyText"/>
        <w:spacing w:line="259" w:lineRule="auto" w:before="22"/>
        <w:ind w:left="4268" w:right="2705"/>
      </w:pPr>
      <w:r>
        <w:rPr/>
        <w:t>TARA SPRAKER, Director of Capital Programs DEREK SHERMAN, Director of Accounting CHRISTOPHER KING, Procurement Manager</w:t>
      </w:r>
    </w:p>
    <w:p>
      <w:pPr>
        <w:pStyle w:val="BodyText"/>
        <w:spacing w:line="259" w:lineRule="auto" w:before="1"/>
        <w:ind w:left="4268" w:right="1553"/>
      </w:pPr>
      <w:r>
        <w:rPr/>
        <w:t>PAULA CUTRONE, Sr Manager of Transit Data and Equity JASON SMITH, Sr Procurement Analyst</w:t>
      </w:r>
    </w:p>
    <w:p>
      <w:pPr>
        <w:pStyle w:val="BodyText"/>
        <w:spacing w:line="259" w:lineRule="auto"/>
        <w:ind w:left="4268" w:right="2712"/>
      </w:pPr>
      <w:r>
        <w:rPr/>
        <w:t>SUZANN HENSLEY, Internal Control Manager JEANNINE JOHNSON, Executive Assistant</w:t>
      </w:r>
    </w:p>
    <w:p>
      <w:pPr>
        <w:pStyle w:val="BodyText"/>
        <w:spacing w:before="8"/>
        <w:rPr>
          <w:sz w:val="25"/>
        </w:rPr>
      </w:pPr>
    </w:p>
    <w:p>
      <w:pPr>
        <w:pStyle w:val="BodyText"/>
        <w:tabs>
          <w:tab w:pos="4267" w:val="left" w:leader="none"/>
        </w:tabs>
        <w:spacing w:line="259" w:lineRule="auto"/>
        <w:ind w:left="4268" w:right="4524" w:hanging="3600"/>
      </w:pPr>
      <w:r>
        <w:rPr/>
        <w:t>PUBLIC</w:t>
      </w:r>
      <w:r>
        <w:rPr>
          <w:spacing w:val="-3"/>
        </w:rPr>
        <w:t> </w:t>
      </w:r>
      <w:r>
        <w:rPr/>
        <w:t>PRESENT:</w:t>
        <w:tab/>
        <w:t>BRAD HUNT, Legal Counsel MARIO</w:t>
      </w:r>
      <w:r>
        <w:rPr>
          <w:spacing w:val="-2"/>
        </w:rPr>
        <w:t> </w:t>
      </w:r>
      <w:r>
        <w:rPr/>
        <w:t>COLONE</w:t>
      </w:r>
    </w:p>
    <w:p>
      <w:pPr>
        <w:pStyle w:val="BodyText"/>
        <w:spacing w:line="275" w:lineRule="exact"/>
        <w:ind w:left="4268"/>
      </w:pPr>
      <w:r>
        <w:rPr/>
        <w:t>JOE CALABRESE</w:t>
      </w:r>
    </w:p>
    <w:p>
      <w:pPr>
        <w:pStyle w:val="BodyText"/>
        <w:spacing w:before="6"/>
        <w:rPr>
          <w:sz w:val="36"/>
        </w:rPr>
      </w:pPr>
    </w:p>
    <w:p>
      <w:pPr>
        <w:pStyle w:val="BodyText"/>
        <w:tabs>
          <w:tab w:pos="2827" w:val="left" w:leader="none"/>
        </w:tabs>
        <w:ind w:left="668"/>
      </w:pPr>
      <w:r>
        <w:rPr>
          <w:u w:val="single"/>
        </w:rPr>
        <w:t>CALL</w:t>
      </w:r>
      <w:r>
        <w:rPr>
          <w:spacing w:val="-3"/>
          <w:u w:val="single"/>
        </w:rPr>
        <w:t> </w:t>
      </w:r>
      <w:r>
        <w:rPr>
          <w:u w:val="single"/>
        </w:rPr>
        <w:t>TO</w:t>
      </w:r>
      <w:r>
        <w:rPr>
          <w:spacing w:val="-2"/>
          <w:u w:val="single"/>
        </w:rPr>
        <w:t> </w:t>
      </w:r>
      <w:r>
        <w:rPr>
          <w:u w:val="single"/>
        </w:rPr>
        <w:t>ORDER</w:t>
      </w:r>
      <w:r>
        <w:rPr/>
        <w:tab/>
        <w:t>At 10:03 A.M. Chairman Laino called the meeting to</w:t>
      </w:r>
      <w:r>
        <w:rPr>
          <w:spacing w:val="-4"/>
        </w:rPr>
        <w:t> </w:t>
      </w:r>
      <w:r>
        <w:rPr/>
        <w:t>order.</w:t>
      </w:r>
    </w:p>
    <w:p>
      <w:pPr>
        <w:pStyle w:val="ListParagraph"/>
        <w:numPr>
          <w:ilvl w:val="1"/>
          <w:numId w:val="2"/>
        </w:numPr>
        <w:tabs>
          <w:tab w:pos="2112" w:val="left" w:leader="none"/>
          <w:tab w:pos="2113" w:val="left" w:leader="none"/>
        </w:tabs>
        <w:spacing w:line="240" w:lineRule="auto" w:before="24" w:after="0"/>
        <w:ind w:left="2112" w:right="0" w:hanging="361"/>
        <w:jc w:val="left"/>
        <w:rPr>
          <w:rFonts w:ascii="Times New Roman" w:hAnsi="Times New Roman"/>
          <w:sz w:val="24"/>
        </w:rPr>
      </w:pPr>
      <w:r>
        <w:rPr>
          <w:rFonts w:ascii="Times New Roman" w:hAnsi="Times New Roman"/>
          <w:sz w:val="24"/>
        </w:rPr>
        <w:t>Chairman Laino and the Board Members recited the Pledge of</w:t>
      </w:r>
      <w:r>
        <w:rPr>
          <w:rFonts w:ascii="Times New Roman" w:hAnsi="Times New Roman"/>
          <w:spacing w:val="-6"/>
          <w:sz w:val="24"/>
        </w:rPr>
        <w:t> </w:t>
      </w:r>
      <w:r>
        <w:rPr>
          <w:rFonts w:ascii="Times New Roman" w:hAnsi="Times New Roman"/>
          <w:sz w:val="24"/>
        </w:rPr>
        <w:t>Allegiance</w:t>
      </w:r>
    </w:p>
    <w:p>
      <w:pPr>
        <w:pStyle w:val="ListParagraph"/>
        <w:numPr>
          <w:ilvl w:val="1"/>
          <w:numId w:val="2"/>
        </w:numPr>
        <w:tabs>
          <w:tab w:pos="2107" w:val="left" w:leader="none"/>
          <w:tab w:pos="2108" w:val="left" w:leader="none"/>
        </w:tabs>
        <w:spacing w:line="240" w:lineRule="auto" w:before="20" w:after="0"/>
        <w:ind w:left="2108" w:right="0" w:hanging="361"/>
        <w:jc w:val="left"/>
        <w:rPr>
          <w:rFonts w:ascii="Times New Roman" w:hAnsi="Times New Roman"/>
          <w:sz w:val="24"/>
        </w:rPr>
      </w:pPr>
      <w:r>
        <w:rPr>
          <w:rFonts w:ascii="Times New Roman" w:hAnsi="Times New Roman"/>
          <w:sz w:val="24"/>
        </w:rPr>
        <w:t>Chairman Laino noted a quorum was present</w:t>
      </w:r>
    </w:p>
    <w:p>
      <w:pPr>
        <w:spacing w:after="0" w:line="240" w:lineRule="auto"/>
        <w:jc w:val="left"/>
        <w:rPr>
          <w:rFonts w:ascii="Times New Roman" w:hAnsi="Times New Roman"/>
          <w:sz w:val="24"/>
        </w:rPr>
        <w:sectPr>
          <w:headerReference w:type="default" r:id="rId13"/>
          <w:pgSz w:w="12240" w:h="15840"/>
          <w:pgMar w:header="0" w:footer="0" w:top="1360" w:bottom="280" w:left="340" w:right="200"/>
        </w:sectPr>
      </w:pPr>
    </w:p>
    <w:p>
      <w:pPr>
        <w:pStyle w:val="BodyText"/>
        <w:spacing w:before="8"/>
        <w:rPr>
          <w:sz w:val="12"/>
        </w:rPr>
      </w:pPr>
    </w:p>
    <w:p>
      <w:pPr>
        <w:pStyle w:val="BodyText"/>
        <w:spacing w:before="90"/>
        <w:ind w:left="668"/>
      </w:pPr>
      <w:r>
        <w:rPr>
          <w:u w:val="single"/>
        </w:rPr>
        <w:t>UPCOMING MEETINGS</w:t>
      </w:r>
    </w:p>
    <w:p>
      <w:pPr>
        <w:pStyle w:val="ListParagraph"/>
        <w:numPr>
          <w:ilvl w:val="1"/>
          <w:numId w:val="2"/>
        </w:numPr>
        <w:tabs>
          <w:tab w:pos="2167" w:val="left" w:leader="none"/>
          <w:tab w:pos="2168" w:val="left" w:leader="none"/>
        </w:tabs>
        <w:spacing w:line="240" w:lineRule="auto" w:before="24" w:after="0"/>
        <w:ind w:left="2168" w:right="0" w:hanging="420"/>
        <w:jc w:val="left"/>
        <w:rPr>
          <w:rFonts w:ascii="Times New Roman" w:hAnsi="Times New Roman"/>
          <w:sz w:val="24"/>
        </w:rPr>
      </w:pPr>
      <w:r>
        <w:rPr>
          <w:rFonts w:ascii="Times New Roman" w:hAnsi="Times New Roman"/>
          <w:sz w:val="24"/>
        </w:rPr>
        <w:t>Chairman Laino announced the following meetings for July 25,</w:t>
      </w:r>
      <w:r>
        <w:rPr>
          <w:rFonts w:ascii="Times New Roman" w:hAnsi="Times New Roman"/>
          <w:spacing w:val="-4"/>
          <w:sz w:val="24"/>
        </w:rPr>
        <w:t> </w:t>
      </w:r>
      <w:r>
        <w:rPr>
          <w:rFonts w:ascii="Times New Roman" w:hAnsi="Times New Roman"/>
          <w:sz w:val="24"/>
        </w:rPr>
        <w:t>2025:</w:t>
      </w:r>
    </w:p>
    <w:p>
      <w:pPr>
        <w:pStyle w:val="ListParagraph"/>
        <w:numPr>
          <w:ilvl w:val="2"/>
          <w:numId w:val="2"/>
        </w:numPr>
        <w:tabs>
          <w:tab w:pos="2920" w:val="left" w:leader="none"/>
        </w:tabs>
        <w:spacing w:line="240" w:lineRule="auto" w:before="18" w:after="0"/>
        <w:ind w:left="2919" w:right="0" w:hanging="361"/>
        <w:jc w:val="left"/>
        <w:rPr>
          <w:rFonts w:ascii="Times New Roman" w:hAnsi="Times New Roman"/>
          <w:sz w:val="24"/>
        </w:rPr>
      </w:pPr>
      <w:r>
        <w:rPr>
          <w:rFonts w:ascii="Times New Roman" w:hAnsi="Times New Roman"/>
          <w:sz w:val="24"/>
        </w:rPr>
        <w:t>Pension Meeting – 9:00</w:t>
      </w:r>
      <w:r>
        <w:rPr>
          <w:rFonts w:ascii="Times New Roman" w:hAnsi="Times New Roman"/>
          <w:spacing w:val="-1"/>
          <w:sz w:val="24"/>
        </w:rPr>
        <w:t> </w:t>
      </w:r>
      <w:r>
        <w:rPr>
          <w:rFonts w:ascii="Times New Roman" w:hAnsi="Times New Roman"/>
          <w:sz w:val="24"/>
        </w:rPr>
        <w:t>AM</w:t>
      </w:r>
    </w:p>
    <w:p>
      <w:pPr>
        <w:pStyle w:val="ListParagraph"/>
        <w:numPr>
          <w:ilvl w:val="2"/>
          <w:numId w:val="2"/>
        </w:numPr>
        <w:tabs>
          <w:tab w:pos="2920" w:val="left" w:leader="none"/>
        </w:tabs>
        <w:spacing w:line="240" w:lineRule="auto" w:before="4" w:after="0"/>
        <w:ind w:left="2919" w:right="0" w:hanging="361"/>
        <w:jc w:val="left"/>
        <w:rPr>
          <w:rFonts w:ascii="Times New Roman" w:hAnsi="Times New Roman"/>
          <w:sz w:val="24"/>
        </w:rPr>
      </w:pPr>
      <w:r>
        <w:rPr>
          <w:rFonts w:ascii="Times New Roman" w:hAnsi="Times New Roman"/>
          <w:sz w:val="24"/>
        </w:rPr>
        <w:t>Audit and Finance Meeting – 9:30</w:t>
      </w:r>
      <w:r>
        <w:rPr>
          <w:rFonts w:ascii="Times New Roman" w:hAnsi="Times New Roman"/>
          <w:spacing w:val="-2"/>
          <w:sz w:val="24"/>
        </w:rPr>
        <w:t> </w:t>
      </w:r>
      <w:r>
        <w:rPr>
          <w:rFonts w:ascii="Times New Roman" w:hAnsi="Times New Roman"/>
          <w:sz w:val="24"/>
        </w:rPr>
        <w:t>AM</w:t>
      </w:r>
    </w:p>
    <w:p>
      <w:pPr>
        <w:pStyle w:val="ListParagraph"/>
        <w:numPr>
          <w:ilvl w:val="2"/>
          <w:numId w:val="2"/>
        </w:numPr>
        <w:tabs>
          <w:tab w:pos="2920" w:val="left" w:leader="none"/>
        </w:tabs>
        <w:spacing w:line="240" w:lineRule="auto" w:before="2" w:after="0"/>
        <w:ind w:left="2919" w:right="0" w:hanging="361"/>
        <w:jc w:val="left"/>
        <w:rPr>
          <w:rFonts w:ascii="Times New Roman" w:hAnsi="Times New Roman"/>
          <w:sz w:val="24"/>
        </w:rPr>
      </w:pPr>
      <w:r>
        <w:rPr>
          <w:rFonts w:ascii="Times New Roman" w:hAnsi="Times New Roman"/>
          <w:sz w:val="24"/>
        </w:rPr>
        <w:t>Board Meeting – 10:00</w:t>
      </w:r>
      <w:r>
        <w:rPr>
          <w:rFonts w:ascii="Times New Roman" w:hAnsi="Times New Roman"/>
          <w:spacing w:val="-1"/>
          <w:sz w:val="24"/>
        </w:rPr>
        <w:t> </w:t>
      </w:r>
      <w:r>
        <w:rPr>
          <w:rFonts w:ascii="Times New Roman" w:hAnsi="Times New Roman"/>
          <w:sz w:val="24"/>
        </w:rPr>
        <w:t>AM</w:t>
      </w:r>
    </w:p>
    <w:p>
      <w:pPr>
        <w:pStyle w:val="BodyText"/>
        <w:spacing w:before="4"/>
        <w:rPr>
          <w:sz w:val="30"/>
        </w:rPr>
      </w:pPr>
    </w:p>
    <w:p>
      <w:pPr>
        <w:pStyle w:val="BodyText"/>
        <w:ind w:left="668"/>
      </w:pPr>
      <w:r>
        <w:rPr>
          <w:u w:val="single"/>
        </w:rPr>
        <w:t>APPROVAL OF THE MAY 30, 2025, BOARD MEETING MINUTES - MOTION NO. 2774</w:t>
      </w:r>
    </w:p>
    <w:p>
      <w:pPr>
        <w:pStyle w:val="BodyText"/>
        <w:spacing w:line="259" w:lineRule="auto" w:before="22"/>
        <w:ind w:left="1388" w:right="7646"/>
      </w:pPr>
      <w:r>
        <w:rPr/>
        <w:t>Motion – Julius Lawrence Seconded – Tina Fitzgerald Carried Unanimously</w:t>
      </w:r>
    </w:p>
    <w:p>
      <w:pPr>
        <w:pStyle w:val="BodyText"/>
        <w:rPr>
          <w:sz w:val="26"/>
        </w:rPr>
      </w:pPr>
    </w:p>
    <w:p>
      <w:pPr>
        <w:pStyle w:val="BodyText"/>
        <w:spacing w:before="2"/>
        <w:rPr>
          <w:sz w:val="34"/>
        </w:rPr>
      </w:pPr>
    </w:p>
    <w:p>
      <w:pPr>
        <w:pStyle w:val="BodyText"/>
        <w:ind w:left="669" w:right="811"/>
        <w:jc w:val="center"/>
      </w:pPr>
      <w:r>
        <w:rPr>
          <w:u w:val="single"/>
        </w:rPr>
        <w:t>DEPUTY CHIEF EXECUTIVE OFFICER’S REPORT</w:t>
      </w:r>
      <w:r>
        <w:rPr/>
        <w:t> – Mr. Tuff</w:t>
      </w:r>
    </w:p>
    <w:p>
      <w:pPr>
        <w:pStyle w:val="BodyText"/>
        <w:spacing w:before="2"/>
        <w:rPr>
          <w:sz w:val="20"/>
        </w:rPr>
      </w:pPr>
    </w:p>
    <w:p>
      <w:pPr>
        <w:pStyle w:val="BodyText"/>
        <w:spacing w:before="90"/>
        <w:ind w:left="667"/>
      </w:pPr>
      <w:r>
        <w:rPr/>
        <w:t>In addition to Mr. Tuff’s written report, attached to these Minutes, he discussed the following:</w:t>
      </w:r>
    </w:p>
    <w:p>
      <w:pPr>
        <w:pStyle w:val="BodyText"/>
        <w:spacing w:before="1"/>
        <w:rPr>
          <w:sz w:val="26"/>
        </w:rPr>
      </w:pPr>
    </w:p>
    <w:p>
      <w:pPr>
        <w:pStyle w:val="BodyText"/>
        <w:ind w:left="668"/>
      </w:pPr>
      <w:r>
        <w:rPr>
          <w:u w:val="single"/>
        </w:rPr>
        <w:t>HARBOR POINT</w:t>
      </w:r>
      <w:r>
        <w:rPr>
          <w:spacing w:val="-14"/>
          <w:u w:val="single"/>
        </w:rPr>
        <w:t> </w:t>
      </w:r>
      <w:r>
        <w:rPr>
          <w:u w:val="single"/>
        </w:rPr>
        <w:t>OPENING</w:t>
      </w:r>
    </w:p>
    <w:p>
      <w:pPr>
        <w:pStyle w:val="BodyText"/>
        <w:ind w:left="668" w:right="820"/>
      </w:pPr>
      <w:r>
        <w:rPr/>
        <w:t>On June 5th, the City of Utica opened the Harbor Point area after their revitalization project. Mayor Galime asked Centro to provide a shuttle service from the parking lots of the Nexus Center to the Harbor Point area. The shuttle allowed residents and visitors to attend the grand opening celebration without worrying about parking in the area. Thank you to the Utica team for providing this service, the Mayor</w:t>
      </w:r>
      <w:r>
        <w:rPr>
          <w:spacing w:val="-19"/>
        </w:rPr>
        <w:t> </w:t>
      </w:r>
      <w:r>
        <w:rPr/>
        <w:t>was very appreciative of our</w:t>
      </w:r>
      <w:r>
        <w:rPr>
          <w:spacing w:val="-2"/>
        </w:rPr>
        <w:t> </w:t>
      </w:r>
      <w:r>
        <w:rPr/>
        <w:t>help.</w:t>
      </w:r>
    </w:p>
    <w:p>
      <w:pPr>
        <w:pStyle w:val="BodyText"/>
        <w:spacing w:before="5"/>
      </w:pPr>
    </w:p>
    <w:p>
      <w:pPr>
        <w:pStyle w:val="BodyText"/>
        <w:ind w:left="668"/>
      </w:pPr>
      <w:r>
        <w:rPr>
          <w:u w:val="single"/>
        </w:rPr>
        <w:t>JUNETEENTH PARADE</w:t>
      </w:r>
    </w:p>
    <w:p>
      <w:pPr>
        <w:pStyle w:val="BodyText"/>
        <w:ind w:left="668" w:right="1161"/>
      </w:pPr>
      <w:r>
        <w:rPr/>
        <w:t>On Saturday, June 14th, I, along with several staff and their family members, walked in the Juneteenth parade. It was a great walk, and the participation in the parade continues to grow. I want to thank the marketing team who continue to plan these community engagement events.</w:t>
      </w:r>
    </w:p>
    <w:p>
      <w:pPr>
        <w:pStyle w:val="BodyText"/>
        <w:rPr>
          <w:sz w:val="26"/>
        </w:rPr>
      </w:pPr>
    </w:p>
    <w:p>
      <w:pPr>
        <w:pStyle w:val="BodyText"/>
        <w:spacing w:before="8"/>
        <w:rPr>
          <w:sz w:val="38"/>
        </w:rPr>
      </w:pPr>
    </w:p>
    <w:p>
      <w:pPr>
        <w:pStyle w:val="BodyText"/>
        <w:ind w:left="672" w:right="808"/>
        <w:jc w:val="center"/>
      </w:pPr>
      <w:r>
        <w:rPr>
          <w:u w:val="single"/>
        </w:rPr>
        <w:t>SENIOR STAFF REPORTS</w:t>
      </w:r>
    </w:p>
    <w:p>
      <w:pPr>
        <w:pStyle w:val="BodyText"/>
        <w:rPr>
          <w:sz w:val="20"/>
        </w:rPr>
      </w:pPr>
    </w:p>
    <w:p>
      <w:pPr>
        <w:pStyle w:val="BodyText"/>
        <w:spacing w:before="3"/>
        <w:rPr>
          <w:sz w:val="17"/>
        </w:rPr>
      </w:pPr>
    </w:p>
    <w:p>
      <w:pPr>
        <w:pStyle w:val="BodyText"/>
        <w:spacing w:before="90"/>
        <w:ind w:left="956"/>
      </w:pPr>
      <w:r>
        <w:rPr>
          <w:u w:val="single"/>
        </w:rPr>
        <w:t>BUSINESS DEVELOPMENT AND CORPORATE COMMUNICATIONS REPORT</w:t>
      </w:r>
      <w:r>
        <w:rPr/>
        <w:t> – Mr. Koegel</w:t>
      </w:r>
    </w:p>
    <w:p>
      <w:pPr>
        <w:pStyle w:val="BodyText"/>
        <w:spacing w:before="7"/>
        <w:rPr>
          <w:sz w:val="26"/>
        </w:rPr>
      </w:pPr>
    </w:p>
    <w:p>
      <w:pPr>
        <w:pStyle w:val="BodyText"/>
        <w:spacing w:line="232" w:lineRule="auto" w:before="97"/>
        <w:ind w:left="668" w:right="850"/>
      </w:pPr>
      <w:r>
        <w:rPr>
          <w:color w:val="232323"/>
        </w:rPr>
        <w:t>Mr. Koegel reported that ridership continues to increase in all properties, with significant growth in Rome where ridership is up more than 30% in the fiscal year. He also reported that service enhancements will be introduced in Cortland on June 30</w:t>
      </w:r>
      <w:r>
        <w:rPr>
          <w:color w:val="232323"/>
          <w:position w:val="9"/>
          <w:sz w:val="16"/>
        </w:rPr>
        <w:t>th </w:t>
      </w:r>
      <w:r>
        <w:rPr>
          <w:color w:val="232323"/>
        </w:rPr>
        <w:t>that will include new service to Greek Peak and the town</w:t>
      </w:r>
      <w:r>
        <w:rPr>
          <w:color w:val="232323"/>
          <w:spacing w:val="-32"/>
        </w:rPr>
        <w:t> </w:t>
      </w:r>
      <w:r>
        <w:rPr>
          <w:color w:val="232323"/>
        </w:rPr>
        <w:t>of</w:t>
      </w:r>
    </w:p>
    <w:p>
      <w:pPr>
        <w:pStyle w:val="BodyText"/>
        <w:spacing w:before="3"/>
        <w:ind w:left="668"/>
      </w:pPr>
      <w:r>
        <w:rPr>
          <w:color w:val="232323"/>
        </w:rPr>
        <w:t>Virgil.</w:t>
      </w:r>
    </w:p>
    <w:p>
      <w:pPr>
        <w:pStyle w:val="BodyText"/>
        <w:spacing w:before="11"/>
        <w:rPr>
          <w:sz w:val="23"/>
        </w:rPr>
      </w:pPr>
    </w:p>
    <w:p>
      <w:pPr>
        <w:pStyle w:val="BodyText"/>
        <w:ind w:left="668" w:right="1554"/>
      </w:pPr>
      <w:r>
        <w:rPr>
          <w:color w:val="232323"/>
        </w:rPr>
        <w:t>Mr. Koegel invited Mrs. Cutrone to the meeting to provide an update on the Authority’s Language Assistance Plan for Limited English Proficient Persons and Public Participation Plan.</w:t>
      </w:r>
    </w:p>
    <w:p>
      <w:pPr>
        <w:spacing w:after="0"/>
        <w:sectPr>
          <w:headerReference w:type="default" r:id="rId14"/>
          <w:pgSz w:w="12240" w:h="15840"/>
          <w:pgMar w:header="0" w:footer="0" w:top="1500" w:bottom="280" w:left="340" w:right="200"/>
        </w:sectPr>
      </w:pPr>
    </w:p>
    <w:p>
      <w:pPr>
        <w:pStyle w:val="BodyText"/>
        <w:spacing w:before="79"/>
        <w:ind w:left="668" w:right="1054"/>
      </w:pPr>
      <w:r>
        <w:rPr>
          <w:color w:val="232323"/>
        </w:rPr>
        <w:t>Mrs. Cutrone provided an explanation of the proposed changes to the plans and answered questions and suggestions from Board Members. A motion was made to except the changes to the plans.</w:t>
      </w:r>
    </w:p>
    <w:p>
      <w:pPr>
        <w:pStyle w:val="BodyText"/>
      </w:pPr>
    </w:p>
    <w:p>
      <w:pPr>
        <w:pStyle w:val="BodyText"/>
        <w:ind w:left="668"/>
      </w:pPr>
      <w:r>
        <w:rPr>
          <w:u w:val="single"/>
        </w:rPr>
        <w:t>PUBLIC PARTICIPATION PLAN– MOTION NO. 2776</w:t>
      </w:r>
    </w:p>
    <w:p>
      <w:pPr>
        <w:pStyle w:val="BodyText"/>
        <w:spacing w:before="22"/>
        <w:ind w:left="668"/>
      </w:pPr>
      <w:r>
        <w:rPr/>
        <w:t>A Motion to approve changes to the Public Participation Plan was raised.</w:t>
      </w:r>
    </w:p>
    <w:p>
      <w:pPr>
        <w:pStyle w:val="BodyText"/>
        <w:spacing w:line="259" w:lineRule="auto" w:before="220"/>
        <w:ind w:left="1388" w:right="7659"/>
      </w:pPr>
      <w:r>
        <w:rPr/>
        <w:t>Motion – Tina Fitzgerald Seconded – Anthony Davis Carried Unanimously</w:t>
      </w:r>
    </w:p>
    <w:p>
      <w:pPr>
        <w:pStyle w:val="BodyText"/>
        <w:rPr>
          <w:sz w:val="26"/>
        </w:rPr>
      </w:pPr>
    </w:p>
    <w:p>
      <w:pPr>
        <w:pStyle w:val="BodyText"/>
        <w:spacing w:before="230"/>
        <w:ind w:left="668"/>
      </w:pPr>
      <w:r>
        <w:rPr>
          <w:u w:val="single"/>
        </w:rPr>
        <w:t>LANGUAGE ASSISTANCE PLAN FOR LIMITED ENGLISH PERSONS – MOTION NO. 2777</w:t>
      </w:r>
    </w:p>
    <w:p>
      <w:pPr>
        <w:pStyle w:val="BodyText"/>
        <w:spacing w:before="22"/>
        <w:ind w:left="668"/>
      </w:pPr>
      <w:r>
        <w:rPr/>
        <w:t>A Motion to approve changes to the Language Assistance Plan for Limited English persons was raised.</w:t>
      </w:r>
    </w:p>
    <w:p>
      <w:pPr>
        <w:pStyle w:val="BodyText"/>
        <w:spacing w:line="259" w:lineRule="auto" w:before="218"/>
        <w:ind w:left="1388" w:right="7659"/>
      </w:pPr>
      <w:r>
        <w:rPr/>
        <w:t>Motion – Neil Burke Seconded – Anthony Davis Carried Unanimously</w:t>
      </w:r>
    </w:p>
    <w:p>
      <w:pPr>
        <w:pStyle w:val="BodyText"/>
        <w:rPr>
          <w:sz w:val="26"/>
        </w:rPr>
      </w:pPr>
    </w:p>
    <w:p>
      <w:pPr>
        <w:pStyle w:val="BodyText"/>
        <w:rPr>
          <w:sz w:val="38"/>
        </w:rPr>
      </w:pPr>
    </w:p>
    <w:p>
      <w:pPr>
        <w:pStyle w:val="BodyText"/>
        <w:ind w:left="671" w:right="811"/>
        <w:jc w:val="center"/>
      </w:pPr>
      <w:r>
        <w:rPr>
          <w:u w:val="single"/>
        </w:rPr>
        <w:t>INFORMATION TECHNOLOGIES REPORT</w:t>
      </w:r>
      <w:r>
        <w:rPr/>
        <w:t> – Mr. Fong</w:t>
      </w:r>
    </w:p>
    <w:p>
      <w:pPr>
        <w:pStyle w:val="BodyText"/>
        <w:spacing w:before="1"/>
        <w:rPr>
          <w:sz w:val="28"/>
        </w:rPr>
      </w:pPr>
    </w:p>
    <w:p>
      <w:pPr>
        <w:pStyle w:val="BodyText"/>
        <w:spacing w:before="90"/>
        <w:ind w:left="668"/>
      </w:pPr>
      <w:r>
        <w:rPr>
          <w:color w:val="232323"/>
          <w:u w:val="single" w:color="232323"/>
        </w:rPr>
        <w:t>EXECUTIVE SUMMARY</w:t>
      </w:r>
    </w:p>
    <w:p>
      <w:pPr>
        <w:pStyle w:val="BodyText"/>
        <w:ind w:left="668" w:right="922"/>
      </w:pPr>
      <w:r>
        <w:rPr>
          <w:color w:val="232323"/>
        </w:rPr>
        <w:t>The IT department reports significant progress on several key initiatives, including the successful operational launch of the new Cortland County location, major upgrades to core infrastructure, and strategic cybersecurity enhancements. The team is managing multiple concurrent projects effectively and has a clear plan for upcoming requirements.</w:t>
      </w:r>
    </w:p>
    <w:p>
      <w:pPr>
        <w:pStyle w:val="BodyText"/>
      </w:pPr>
    </w:p>
    <w:p>
      <w:pPr>
        <w:pStyle w:val="BodyText"/>
        <w:ind w:left="668"/>
      </w:pPr>
      <w:r>
        <w:rPr>
          <w:color w:val="232323"/>
          <w:u w:val="single" w:color="232323"/>
        </w:rPr>
        <w:t>CORTLAND COUNTY EXPANSION</w:t>
      </w:r>
    </w:p>
    <w:p>
      <w:pPr>
        <w:pStyle w:val="BodyText"/>
        <w:ind w:left="668" w:right="1061"/>
      </w:pPr>
      <w:r>
        <w:rPr>
          <w:color w:val="232323"/>
        </w:rPr>
        <w:t>The IT team has successfully established operations for Cortland County, overcoming initial challenges and is now building out the permanent infrastructure.</w:t>
      </w:r>
    </w:p>
    <w:p>
      <w:pPr>
        <w:pStyle w:val="BodyText"/>
      </w:pPr>
    </w:p>
    <w:p>
      <w:pPr>
        <w:pStyle w:val="ListParagraph"/>
        <w:numPr>
          <w:ilvl w:val="0"/>
          <w:numId w:val="3"/>
        </w:numPr>
        <w:tabs>
          <w:tab w:pos="1387" w:val="left" w:leader="none"/>
          <w:tab w:pos="1388" w:val="left" w:leader="none"/>
        </w:tabs>
        <w:spacing w:line="240" w:lineRule="auto" w:before="0" w:after="0"/>
        <w:ind w:left="1388" w:right="851" w:hanging="360"/>
        <w:jc w:val="left"/>
        <w:rPr>
          <w:rFonts w:ascii="Symbol" w:hAnsi="Symbol"/>
          <w:color w:val="232323"/>
          <w:sz w:val="20"/>
        </w:rPr>
      </w:pPr>
      <w:r>
        <w:rPr>
          <w:rFonts w:ascii="Times New Roman" w:hAnsi="Times New Roman"/>
          <w:b/>
          <w:color w:val="232323"/>
          <w:sz w:val="24"/>
        </w:rPr>
        <w:t>Initial Operational Setup: </w:t>
      </w:r>
      <w:r>
        <w:rPr>
          <w:rFonts w:ascii="Times New Roman" w:hAnsi="Times New Roman"/>
          <w:color w:val="232323"/>
          <w:sz w:val="24"/>
        </w:rPr>
        <w:t>To meet a tight deadline unmet by our ISP, the team implemented an innovative and secure 5G cellular network solution, enabling operations to begin on schedule out of the highway department. This involved a cross-departmental effort to manage cabling, equipment procurement, website integration, and critical system integrations (Trapeze, MC,</w:t>
      </w:r>
      <w:r>
        <w:rPr>
          <w:rFonts w:ascii="Times New Roman" w:hAnsi="Times New Roman"/>
          <w:color w:val="232323"/>
          <w:spacing w:val="-22"/>
          <w:sz w:val="24"/>
        </w:rPr>
        <w:t> </w:t>
      </w:r>
      <w:r>
        <w:rPr>
          <w:rFonts w:ascii="Times New Roman" w:hAnsi="Times New Roman"/>
          <w:color w:val="232323"/>
          <w:sz w:val="24"/>
        </w:rPr>
        <w:t>PDS).</w:t>
      </w:r>
    </w:p>
    <w:p>
      <w:pPr>
        <w:pStyle w:val="BodyText"/>
        <w:spacing w:before="9"/>
        <w:rPr>
          <w:sz w:val="23"/>
        </w:rPr>
      </w:pPr>
    </w:p>
    <w:p>
      <w:pPr>
        <w:pStyle w:val="ListParagraph"/>
        <w:numPr>
          <w:ilvl w:val="0"/>
          <w:numId w:val="3"/>
        </w:numPr>
        <w:tabs>
          <w:tab w:pos="1387" w:val="left" w:leader="none"/>
          <w:tab w:pos="1388" w:val="left" w:leader="none"/>
        </w:tabs>
        <w:spacing w:line="240" w:lineRule="auto" w:before="0" w:after="0"/>
        <w:ind w:left="1388" w:right="0" w:hanging="360"/>
        <w:jc w:val="left"/>
        <w:rPr>
          <w:rFonts w:ascii="Symbol" w:hAnsi="Symbol"/>
          <w:color w:val="232323"/>
          <w:sz w:val="20"/>
        </w:rPr>
      </w:pPr>
      <w:r>
        <w:rPr>
          <w:rFonts w:ascii="Times New Roman" w:hAnsi="Times New Roman"/>
          <w:b/>
          <w:color w:val="232323"/>
          <w:sz w:val="24"/>
        </w:rPr>
        <w:t>Permanent Location Progress: </w:t>
      </w:r>
      <w:r>
        <w:rPr>
          <w:rFonts w:ascii="Times New Roman" w:hAnsi="Times New Roman"/>
          <w:color w:val="232323"/>
          <w:sz w:val="24"/>
        </w:rPr>
        <w:t>Work on the permanent facility is well</w:t>
      </w:r>
      <w:r>
        <w:rPr>
          <w:rFonts w:ascii="Times New Roman" w:hAnsi="Times New Roman"/>
          <w:color w:val="232323"/>
          <w:spacing w:val="-8"/>
          <w:sz w:val="24"/>
        </w:rPr>
        <w:t> </w:t>
      </w:r>
      <w:r>
        <w:rPr>
          <w:rFonts w:ascii="Times New Roman" w:hAnsi="Times New Roman"/>
          <w:color w:val="232323"/>
          <w:sz w:val="24"/>
        </w:rPr>
        <w:t>underway.</w:t>
      </w:r>
    </w:p>
    <w:p>
      <w:pPr>
        <w:pStyle w:val="ListParagraph"/>
        <w:numPr>
          <w:ilvl w:val="1"/>
          <w:numId w:val="3"/>
        </w:numPr>
        <w:tabs>
          <w:tab w:pos="2107" w:val="left" w:leader="none"/>
          <w:tab w:pos="2108" w:val="left" w:leader="none"/>
        </w:tabs>
        <w:spacing w:line="280" w:lineRule="exact" w:before="0" w:after="0"/>
        <w:ind w:left="2108" w:right="0" w:hanging="360"/>
        <w:jc w:val="left"/>
        <w:rPr>
          <w:rFonts w:ascii="Times New Roman" w:hAnsi="Times New Roman"/>
          <w:sz w:val="24"/>
        </w:rPr>
      </w:pPr>
      <w:r>
        <w:rPr>
          <w:rFonts w:ascii="Times New Roman" w:hAnsi="Times New Roman"/>
          <w:color w:val="232323"/>
          <w:sz w:val="24"/>
        </w:rPr>
        <w:t>Network cabling is nearly</w:t>
      </w:r>
      <w:r>
        <w:rPr>
          <w:rFonts w:ascii="Times New Roman" w:hAnsi="Times New Roman"/>
          <w:color w:val="232323"/>
          <w:spacing w:val="-2"/>
          <w:sz w:val="24"/>
        </w:rPr>
        <w:t> </w:t>
      </w:r>
      <w:r>
        <w:rPr>
          <w:rFonts w:ascii="Times New Roman" w:hAnsi="Times New Roman"/>
          <w:color w:val="232323"/>
          <w:sz w:val="24"/>
        </w:rPr>
        <w:t>complete.</w:t>
      </w:r>
    </w:p>
    <w:p>
      <w:pPr>
        <w:pStyle w:val="ListParagraph"/>
        <w:numPr>
          <w:ilvl w:val="1"/>
          <w:numId w:val="3"/>
        </w:numPr>
        <w:tabs>
          <w:tab w:pos="2107" w:val="left" w:leader="none"/>
          <w:tab w:pos="2108" w:val="left" w:leader="none"/>
        </w:tabs>
        <w:spacing w:line="276" w:lineRule="exact" w:before="0" w:after="0"/>
        <w:ind w:left="2108" w:right="0" w:hanging="360"/>
        <w:jc w:val="left"/>
        <w:rPr>
          <w:rFonts w:ascii="Times New Roman" w:hAnsi="Times New Roman"/>
          <w:sz w:val="24"/>
        </w:rPr>
      </w:pPr>
      <w:r>
        <w:rPr>
          <w:rFonts w:ascii="Times New Roman" w:hAnsi="Times New Roman"/>
          <w:color w:val="232323"/>
          <w:sz w:val="24"/>
        </w:rPr>
        <w:t>The new fiber internet circuit is scheduled to be operational by</w:t>
      </w:r>
      <w:r>
        <w:rPr>
          <w:rFonts w:ascii="Times New Roman" w:hAnsi="Times New Roman"/>
          <w:color w:val="232323"/>
          <w:spacing w:val="-7"/>
          <w:sz w:val="24"/>
        </w:rPr>
        <w:t> </w:t>
      </w:r>
      <w:r>
        <w:rPr>
          <w:rFonts w:ascii="Times New Roman" w:hAnsi="Times New Roman"/>
          <w:color w:val="232323"/>
          <w:sz w:val="24"/>
        </w:rPr>
        <w:t>mid-July.</w:t>
      </w:r>
    </w:p>
    <w:p>
      <w:pPr>
        <w:pStyle w:val="ListParagraph"/>
        <w:numPr>
          <w:ilvl w:val="1"/>
          <w:numId w:val="3"/>
        </w:numPr>
        <w:tabs>
          <w:tab w:pos="2107" w:val="left" w:leader="none"/>
          <w:tab w:pos="2108" w:val="left" w:leader="none"/>
        </w:tabs>
        <w:spacing w:line="232" w:lineRule="auto" w:before="3" w:after="0"/>
        <w:ind w:left="2108" w:right="1178" w:hanging="360"/>
        <w:jc w:val="left"/>
        <w:rPr>
          <w:rFonts w:ascii="Times New Roman" w:hAnsi="Times New Roman"/>
          <w:sz w:val="24"/>
        </w:rPr>
      </w:pPr>
      <w:r>
        <w:rPr>
          <w:rFonts w:ascii="Times New Roman" w:hAnsi="Times New Roman"/>
          <w:color w:val="232323"/>
          <w:sz w:val="24"/>
        </w:rPr>
        <w:t>Security camera and door access equipment have been procured, with installation being scheduled.</w:t>
      </w:r>
    </w:p>
    <w:p>
      <w:pPr>
        <w:spacing w:after="0" w:line="232" w:lineRule="auto"/>
        <w:jc w:val="left"/>
        <w:rPr>
          <w:rFonts w:ascii="Times New Roman" w:hAnsi="Times New Roman"/>
          <w:sz w:val="24"/>
        </w:rPr>
        <w:sectPr>
          <w:headerReference w:type="default" r:id="rId15"/>
          <w:pgSz w:w="12240" w:h="15840"/>
          <w:pgMar w:header="0" w:footer="0" w:top="1360" w:bottom="280" w:left="340" w:right="200"/>
        </w:sectPr>
      </w:pPr>
    </w:p>
    <w:p>
      <w:pPr>
        <w:pStyle w:val="BodyText"/>
        <w:spacing w:before="79"/>
        <w:ind w:left="668"/>
      </w:pPr>
      <w:r>
        <w:rPr>
          <w:color w:val="232323"/>
          <w:u w:val="single" w:color="232323"/>
        </w:rPr>
        <w:t>KEY INFASTRUCTURE AND KEY UPGRADES</w:t>
      </w:r>
    </w:p>
    <w:p>
      <w:pPr>
        <w:pStyle w:val="BodyText"/>
        <w:ind w:left="668"/>
      </w:pPr>
      <w:r>
        <w:rPr>
          <w:color w:val="232323"/>
        </w:rPr>
        <w:t>Several ongoing projects to modernize and secure our systems are nearing completion.</w:t>
      </w:r>
    </w:p>
    <w:p>
      <w:pPr>
        <w:pStyle w:val="BodyText"/>
      </w:pPr>
    </w:p>
    <w:p>
      <w:pPr>
        <w:pStyle w:val="ListParagraph"/>
        <w:numPr>
          <w:ilvl w:val="0"/>
          <w:numId w:val="3"/>
        </w:numPr>
        <w:tabs>
          <w:tab w:pos="1387" w:val="left" w:leader="none"/>
          <w:tab w:pos="1388" w:val="left" w:leader="none"/>
        </w:tabs>
        <w:spacing w:line="240" w:lineRule="auto" w:before="0" w:after="0"/>
        <w:ind w:left="1388" w:right="1335" w:hanging="360"/>
        <w:jc w:val="left"/>
        <w:rPr>
          <w:rFonts w:ascii="Symbol" w:hAnsi="Symbol"/>
          <w:color w:val="232323"/>
          <w:sz w:val="20"/>
        </w:rPr>
      </w:pPr>
      <w:r>
        <w:rPr>
          <w:rFonts w:ascii="Times New Roman" w:hAnsi="Times New Roman"/>
          <w:b/>
          <w:color w:val="232323"/>
          <w:sz w:val="24"/>
        </w:rPr>
        <w:t>Active Directory (AD) Upgrade: </w:t>
      </w:r>
      <w:r>
        <w:rPr>
          <w:rFonts w:ascii="Times New Roman" w:hAnsi="Times New Roman"/>
          <w:color w:val="232323"/>
          <w:sz w:val="24"/>
        </w:rPr>
        <w:t>After resolving network configuration hurdles, this</w:t>
      </w:r>
      <w:r>
        <w:rPr>
          <w:rFonts w:ascii="Times New Roman" w:hAnsi="Times New Roman"/>
          <w:color w:val="232323"/>
          <w:spacing w:val="-25"/>
          <w:sz w:val="24"/>
        </w:rPr>
        <w:t> </w:t>
      </w:r>
      <w:r>
        <w:rPr>
          <w:rFonts w:ascii="Times New Roman" w:hAnsi="Times New Roman"/>
          <w:color w:val="232323"/>
          <w:sz w:val="24"/>
        </w:rPr>
        <w:t>critical upgrade project is back on track and in the final stages of implementation with the</w:t>
      </w:r>
      <w:r>
        <w:rPr>
          <w:rFonts w:ascii="Times New Roman" w:hAnsi="Times New Roman"/>
          <w:color w:val="232323"/>
          <w:spacing w:val="-14"/>
          <w:sz w:val="24"/>
        </w:rPr>
        <w:t> </w:t>
      </w:r>
      <w:r>
        <w:rPr>
          <w:rFonts w:ascii="Times New Roman" w:hAnsi="Times New Roman"/>
          <w:color w:val="232323"/>
          <w:sz w:val="24"/>
        </w:rPr>
        <w:t>vendor.</w:t>
      </w:r>
    </w:p>
    <w:p>
      <w:pPr>
        <w:pStyle w:val="ListParagraph"/>
        <w:numPr>
          <w:ilvl w:val="0"/>
          <w:numId w:val="3"/>
        </w:numPr>
        <w:tabs>
          <w:tab w:pos="1387" w:val="left" w:leader="none"/>
          <w:tab w:pos="1388" w:val="left" w:leader="none"/>
        </w:tabs>
        <w:spacing w:line="240" w:lineRule="auto" w:before="0" w:after="0"/>
        <w:ind w:left="1388" w:right="1160" w:hanging="360"/>
        <w:jc w:val="left"/>
        <w:rPr>
          <w:rFonts w:ascii="Symbol" w:hAnsi="Symbol"/>
          <w:color w:val="232323"/>
          <w:sz w:val="20"/>
        </w:rPr>
      </w:pPr>
      <w:r>
        <w:rPr>
          <w:rFonts w:ascii="Times New Roman" w:hAnsi="Times New Roman"/>
          <w:b/>
          <w:color w:val="232323"/>
          <w:sz w:val="24"/>
        </w:rPr>
        <w:t>Fleetwatch Cloud Migration: </w:t>
      </w:r>
      <w:r>
        <w:rPr>
          <w:rFonts w:ascii="Times New Roman" w:hAnsi="Times New Roman"/>
          <w:color w:val="232323"/>
          <w:sz w:val="24"/>
        </w:rPr>
        <w:t>Our fuel management system has been successfully migrated</w:t>
      </w:r>
      <w:r>
        <w:rPr>
          <w:rFonts w:ascii="Times New Roman" w:hAnsi="Times New Roman"/>
          <w:color w:val="232323"/>
          <w:spacing w:val="-26"/>
          <w:sz w:val="24"/>
        </w:rPr>
        <w:t> </w:t>
      </w:r>
      <w:r>
        <w:rPr>
          <w:rFonts w:ascii="Times New Roman" w:hAnsi="Times New Roman"/>
          <w:color w:val="232323"/>
          <w:sz w:val="24"/>
        </w:rPr>
        <w:t>to the cloud, significantly enhancing system resiliency and data</w:t>
      </w:r>
      <w:r>
        <w:rPr>
          <w:rFonts w:ascii="Times New Roman" w:hAnsi="Times New Roman"/>
          <w:color w:val="232323"/>
          <w:spacing w:val="-7"/>
          <w:sz w:val="24"/>
        </w:rPr>
        <w:t> </w:t>
      </w:r>
      <w:r>
        <w:rPr>
          <w:rFonts w:ascii="Times New Roman" w:hAnsi="Times New Roman"/>
          <w:color w:val="232323"/>
          <w:sz w:val="24"/>
        </w:rPr>
        <w:t>security.</w:t>
      </w:r>
    </w:p>
    <w:p>
      <w:pPr>
        <w:pStyle w:val="ListParagraph"/>
        <w:numPr>
          <w:ilvl w:val="0"/>
          <w:numId w:val="3"/>
        </w:numPr>
        <w:tabs>
          <w:tab w:pos="1387" w:val="left" w:leader="none"/>
          <w:tab w:pos="1388" w:val="left" w:leader="none"/>
        </w:tabs>
        <w:spacing w:line="240" w:lineRule="auto" w:before="0" w:after="0"/>
        <w:ind w:left="1388" w:right="999" w:hanging="360"/>
        <w:jc w:val="left"/>
        <w:rPr>
          <w:rFonts w:ascii="Symbol" w:hAnsi="Symbol"/>
          <w:color w:val="232323"/>
          <w:sz w:val="20"/>
        </w:rPr>
      </w:pPr>
      <w:r>
        <w:rPr>
          <w:rFonts w:ascii="Times New Roman" w:hAnsi="Times New Roman"/>
          <w:b/>
          <w:color w:val="232323"/>
          <w:sz w:val="24"/>
        </w:rPr>
        <w:t>Windows 11 Upgrade: </w:t>
      </w:r>
      <w:r>
        <w:rPr>
          <w:rFonts w:ascii="Times New Roman" w:hAnsi="Times New Roman"/>
          <w:color w:val="232323"/>
          <w:sz w:val="24"/>
        </w:rPr>
        <w:t>The company-wide upgrade is </w:t>
      </w:r>
      <w:r>
        <w:rPr>
          <w:rFonts w:ascii="Times New Roman" w:hAnsi="Times New Roman"/>
          <w:b/>
          <w:color w:val="232323"/>
          <w:sz w:val="24"/>
        </w:rPr>
        <w:t>74% complete</w:t>
      </w:r>
      <w:r>
        <w:rPr>
          <w:rFonts w:ascii="Times New Roman" w:hAnsi="Times New Roman"/>
          <w:color w:val="232323"/>
          <w:sz w:val="24"/>
        </w:rPr>
        <w:t>. With a deadline of October 14, 2024, the team is on pace to upgrade the remaining 71 systems at a target rate of one per</w:t>
      </w:r>
      <w:r>
        <w:rPr>
          <w:rFonts w:ascii="Times New Roman" w:hAnsi="Times New Roman"/>
          <w:color w:val="232323"/>
          <w:spacing w:val="-2"/>
          <w:sz w:val="24"/>
        </w:rPr>
        <w:t> </w:t>
      </w:r>
      <w:r>
        <w:rPr>
          <w:rFonts w:ascii="Times New Roman" w:hAnsi="Times New Roman"/>
          <w:color w:val="232323"/>
          <w:sz w:val="24"/>
        </w:rPr>
        <w:t>day.</w:t>
      </w:r>
    </w:p>
    <w:p>
      <w:pPr>
        <w:pStyle w:val="ListParagraph"/>
        <w:numPr>
          <w:ilvl w:val="0"/>
          <w:numId w:val="3"/>
        </w:numPr>
        <w:tabs>
          <w:tab w:pos="1387" w:val="left" w:leader="none"/>
          <w:tab w:pos="1388" w:val="left" w:leader="none"/>
        </w:tabs>
        <w:spacing w:line="240" w:lineRule="auto" w:before="0" w:after="0"/>
        <w:ind w:left="1388" w:right="961" w:hanging="360"/>
        <w:jc w:val="left"/>
        <w:rPr>
          <w:rFonts w:ascii="Symbol" w:hAnsi="Symbol"/>
          <w:color w:val="232323"/>
          <w:sz w:val="20"/>
        </w:rPr>
      </w:pPr>
      <w:r>
        <w:rPr>
          <w:rFonts w:ascii="Times New Roman" w:hAnsi="Times New Roman"/>
          <w:b/>
          <w:color w:val="232323"/>
          <w:sz w:val="24"/>
        </w:rPr>
        <w:t>Multi-Function Device (MFD) Replacement: </w:t>
      </w:r>
      <w:r>
        <w:rPr>
          <w:rFonts w:ascii="Times New Roman" w:hAnsi="Times New Roman"/>
          <w:color w:val="232323"/>
          <w:sz w:val="24"/>
        </w:rPr>
        <w:t>Four key MFDs have been replaced. Notably,</w:t>
      </w:r>
      <w:r>
        <w:rPr>
          <w:rFonts w:ascii="Times New Roman" w:hAnsi="Times New Roman"/>
          <w:color w:val="232323"/>
          <w:spacing w:val="-23"/>
          <w:sz w:val="24"/>
        </w:rPr>
        <w:t> </w:t>
      </w:r>
      <w:r>
        <w:rPr>
          <w:rFonts w:ascii="Times New Roman" w:hAnsi="Times New Roman"/>
          <w:color w:val="232323"/>
          <w:sz w:val="24"/>
        </w:rPr>
        <w:t>the new device in Service Development provides advanced capabilities, allowing more production work to be done in-house, improving both quality and</w:t>
      </w:r>
      <w:r>
        <w:rPr>
          <w:rFonts w:ascii="Times New Roman" w:hAnsi="Times New Roman"/>
          <w:color w:val="232323"/>
          <w:spacing w:val="-8"/>
          <w:sz w:val="24"/>
        </w:rPr>
        <w:t> </w:t>
      </w:r>
      <w:r>
        <w:rPr>
          <w:rFonts w:ascii="Times New Roman" w:hAnsi="Times New Roman"/>
          <w:color w:val="232323"/>
          <w:sz w:val="24"/>
        </w:rPr>
        <w:t>cost-efficiency.</w:t>
      </w:r>
    </w:p>
    <w:p>
      <w:pPr>
        <w:pStyle w:val="BodyText"/>
      </w:pPr>
    </w:p>
    <w:p>
      <w:pPr>
        <w:pStyle w:val="BodyText"/>
        <w:ind w:left="668"/>
      </w:pPr>
      <w:r>
        <w:rPr>
          <w:color w:val="232323"/>
          <w:u w:val="single" w:color="232323"/>
        </w:rPr>
        <w:t>CYBERSECURITY INITIATIVES</w:t>
      </w:r>
    </w:p>
    <w:p>
      <w:pPr>
        <w:pStyle w:val="BodyText"/>
        <w:spacing w:before="2"/>
        <w:rPr>
          <w:sz w:val="16"/>
        </w:rPr>
      </w:pPr>
    </w:p>
    <w:p>
      <w:pPr>
        <w:pStyle w:val="ListParagraph"/>
        <w:numPr>
          <w:ilvl w:val="0"/>
          <w:numId w:val="3"/>
        </w:numPr>
        <w:tabs>
          <w:tab w:pos="1387" w:val="left" w:leader="none"/>
          <w:tab w:pos="1388" w:val="left" w:leader="none"/>
        </w:tabs>
        <w:spacing w:line="240" w:lineRule="auto" w:before="90" w:after="0"/>
        <w:ind w:left="1388" w:right="827" w:hanging="360"/>
        <w:jc w:val="left"/>
        <w:rPr>
          <w:rFonts w:ascii="Symbol" w:hAnsi="Symbol"/>
          <w:color w:val="232323"/>
          <w:sz w:val="20"/>
        </w:rPr>
      </w:pPr>
      <w:r>
        <w:rPr>
          <w:rFonts w:ascii="Times New Roman" w:hAnsi="Times New Roman"/>
          <w:b/>
          <w:color w:val="232323"/>
          <w:sz w:val="24"/>
        </w:rPr>
        <w:t>Network Segmentation: </w:t>
      </w:r>
      <w:r>
        <w:rPr>
          <w:rFonts w:ascii="Times New Roman" w:hAnsi="Times New Roman"/>
          <w:color w:val="232323"/>
          <w:sz w:val="24"/>
        </w:rPr>
        <w:t>A successful Proof of Concept (POC) for our network segmentation initiative has been completed with a vendor partner. Based on the positive results, we are</w:t>
      </w:r>
      <w:r>
        <w:rPr>
          <w:rFonts w:ascii="Times New Roman" w:hAnsi="Times New Roman"/>
          <w:color w:val="232323"/>
          <w:spacing w:val="-24"/>
          <w:sz w:val="24"/>
        </w:rPr>
        <w:t> </w:t>
      </w:r>
      <w:r>
        <w:rPr>
          <w:rFonts w:ascii="Times New Roman" w:hAnsi="Times New Roman"/>
          <w:color w:val="232323"/>
          <w:sz w:val="24"/>
        </w:rPr>
        <w:t>officially moving forward with the procurement process for full</w:t>
      </w:r>
      <w:r>
        <w:rPr>
          <w:rFonts w:ascii="Times New Roman" w:hAnsi="Times New Roman"/>
          <w:color w:val="232323"/>
          <w:spacing w:val="1"/>
          <w:sz w:val="24"/>
        </w:rPr>
        <w:t> </w:t>
      </w:r>
      <w:r>
        <w:rPr>
          <w:rFonts w:ascii="Times New Roman" w:hAnsi="Times New Roman"/>
          <w:color w:val="232323"/>
          <w:sz w:val="24"/>
        </w:rPr>
        <w:t>implementation.</w:t>
      </w:r>
    </w:p>
    <w:p>
      <w:pPr>
        <w:pStyle w:val="BodyText"/>
      </w:pPr>
    </w:p>
    <w:p>
      <w:pPr>
        <w:pStyle w:val="BodyText"/>
        <w:ind w:left="668"/>
      </w:pPr>
      <w:r>
        <w:rPr>
          <w:color w:val="232323"/>
          <w:u w:val="single" w:color="232323"/>
        </w:rPr>
        <w:t>ON THE HORIZON</w:t>
      </w:r>
    </w:p>
    <w:p>
      <w:pPr>
        <w:pStyle w:val="BodyText"/>
        <w:spacing w:before="2"/>
        <w:rPr>
          <w:sz w:val="16"/>
        </w:rPr>
      </w:pPr>
    </w:p>
    <w:p>
      <w:pPr>
        <w:pStyle w:val="ListParagraph"/>
        <w:numPr>
          <w:ilvl w:val="0"/>
          <w:numId w:val="3"/>
        </w:numPr>
        <w:tabs>
          <w:tab w:pos="1387" w:val="left" w:leader="none"/>
          <w:tab w:pos="1388" w:val="left" w:leader="none"/>
        </w:tabs>
        <w:spacing w:line="240" w:lineRule="auto" w:before="90" w:after="0"/>
        <w:ind w:left="1388" w:right="812" w:hanging="360"/>
        <w:jc w:val="left"/>
        <w:rPr>
          <w:rFonts w:ascii="Symbol" w:hAnsi="Symbol"/>
          <w:color w:val="232323"/>
          <w:sz w:val="20"/>
        </w:rPr>
      </w:pPr>
      <w:r>
        <w:rPr>
          <w:rFonts w:ascii="Times New Roman" w:hAnsi="Times New Roman"/>
          <w:b/>
          <w:color w:val="232323"/>
          <w:sz w:val="24"/>
        </w:rPr>
        <w:t>Clever Devices Refresh: </w:t>
      </w:r>
      <w:r>
        <w:rPr>
          <w:rFonts w:ascii="Times New Roman" w:hAnsi="Times New Roman"/>
          <w:color w:val="232323"/>
          <w:sz w:val="24"/>
        </w:rPr>
        <w:t>After extensive deliberation, a decision has been made to perform an on- premise technology refresh for our Clever Devices systems, as the current hardware is reaching its End-of-Life. This is anticipated to be a complex, large-scale project that will require close collaboration with the vendor. More details will be shared as the project plan</w:t>
      </w:r>
      <w:r>
        <w:rPr>
          <w:rFonts w:ascii="Times New Roman" w:hAnsi="Times New Roman"/>
          <w:color w:val="232323"/>
          <w:spacing w:val="-8"/>
          <w:sz w:val="24"/>
        </w:rPr>
        <w:t> </w:t>
      </w:r>
      <w:r>
        <w:rPr>
          <w:rFonts w:ascii="Times New Roman" w:hAnsi="Times New Roman"/>
          <w:color w:val="232323"/>
          <w:sz w:val="24"/>
        </w:rPr>
        <w:t>develops.</w:t>
      </w:r>
    </w:p>
    <w:p>
      <w:pPr>
        <w:pStyle w:val="BodyText"/>
        <w:rPr>
          <w:sz w:val="26"/>
        </w:rPr>
      </w:pPr>
    </w:p>
    <w:p>
      <w:pPr>
        <w:pStyle w:val="BodyText"/>
        <w:rPr>
          <w:sz w:val="26"/>
        </w:rPr>
      </w:pPr>
    </w:p>
    <w:p>
      <w:pPr>
        <w:pStyle w:val="BodyText"/>
        <w:spacing w:before="230"/>
        <w:ind w:left="672" w:right="809"/>
        <w:jc w:val="center"/>
      </w:pPr>
      <w:r>
        <w:rPr>
          <w:u w:val="single"/>
        </w:rPr>
        <w:t>HUMAN RESOURCES REPORT</w:t>
      </w:r>
      <w:r>
        <w:rPr/>
        <w:t> – Ms. Musengo</w:t>
      </w:r>
    </w:p>
    <w:p>
      <w:pPr>
        <w:pStyle w:val="BodyText"/>
        <w:spacing w:before="3"/>
        <w:rPr>
          <w:sz w:val="16"/>
        </w:rPr>
      </w:pPr>
    </w:p>
    <w:p>
      <w:pPr>
        <w:pStyle w:val="BodyText"/>
        <w:spacing w:before="90"/>
        <w:ind w:left="667" w:right="889"/>
      </w:pPr>
      <w:r>
        <w:rPr/>
        <w:t>The Company and the ATU 582 (Rome) reached a tentative agreement on the Collective Bargaining Unit Contract for April 1, 2025 - March 31, 2028. The union staff passed the union contract on June 16, 2025. The negotiated agreement resulted in an overall 5.3% average increase over the 3-year contract. The wages were brought more in line with industry standards at $30.00 per hour for bus operators.</w:t>
      </w:r>
    </w:p>
    <w:p>
      <w:pPr>
        <w:pStyle w:val="BodyText"/>
        <w:spacing w:before="11"/>
        <w:rPr>
          <w:sz w:val="23"/>
        </w:rPr>
      </w:pPr>
    </w:p>
    <w:p>
      <w:pPr>
        <w:pStyle w:val="BodyText"/>
        <w:ind w:left="668"/>
      </w:pPr>
      <w:r>
        <w:rPr>
          <w:u w:val="single"/>
        </w:rPr>
        <w:t>CONTRACT HIGHLIGHTS:</w:t>
      </w:r>
    </w:p>
    <w:p>
      <w:pPr>
        <w:pStyle w:val="ListParagraph"/>
        <w:numPr>
          <w:ilvl w:val="0"/>
          <w:numId w:val="3"/>
        </w:numPr>
        <w:tabs>
          <w:tab w:pos="1387" w:val="left" w:leader="none"/>
          <w:tab w:pos="1388" w:val="left" w:leader="none"/>
        </w:tabs>
        <w:spacing w:line="240" w:lineRule="auto" w:before="183" w:after="0"/>
        <w:ind w:left="1388" w:right="0" w:hanging="360"/>
        <w:jc w:val="left"/>
        <w:rPr>
          <w:rFonts w:ascii="Symbol" w:hAnsi="Symbol"/>
          <w:sz w:val="20"/>
        </w:rPr>
      </w:pPr>
      <w:r>
        <w:rPr>
          <w:rFonts w:ascii="Times New Roman" w:hAnsi="Times New Roman"/>
          <w:sz w:val="24"/>
        </w:rPr>
        <w:t>Wage increase of 16.5% over 3</w:t>
      </w:r>
      <w:r>
        <w:rPr>
          <w:rFonts w:ascii="Times New Roman" w:hAnsi="Times New Roman"/>
          <w:spacing w:val="-4"/>
          <w:sz w:val="24"/>
        </w:rPr>
        <w:t> </w:t>
      </w:r>
      <w:r>
        <w:rPr>
          <w:rFonts w:ascii="Times New Roman" w:hAnsi="Times New Roman"/>
          <w:sz w:val="24"/>
        </w:rPr>
        <w:t>years</w:t>
      </w:r>
    </w:p>
    <w:p>
      <w:pPr>
        <w:pStyle w:val="BodyText"/>
      </w:pPr>
    </w:p>
    <w:tbl>
      <w:tblPr>
        <w:tblW w:w="0" w:type="auto"/>
        <w:jc w:val="left"/>
        <w:tblInd w:w="2550"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CellMar>
          <w:top w:w="0" w:type="dxa"/>
          <w:left w:w="0" w:type="dxa"/>
          <w:bottom w:w="0" w:type="dxa"/>
          <w:right w:w="0" w:type="dxa"/>
        </w:tblCellMar>
        <w:tblLook w:val="01E0"/>
      </w:tblPr>
      <w:tblGrid>
        <w:gridCol w:w="989"/>
        <w:gridCol w:w="1683"/>
        <w:gridCol w:w="1309"/>
      </w:tblGrid>
      <w:tr>
        <w:trPr>
          <w:trHeight w:val="356" w:hRule="atLeast"/>
        </w:trPr>
        <w:tc>
          <w:tcPr>
            <w:tcW w:w="989" w:type="dxa"/>
          </w:tcPr>
          <w:p>
            <w:pPr>
              <w:pStyle w:val="TableParagraph"/>
              <w:rPr>
                <w:rFonts w:ascii="Times New Roman"/>
                <w:sz w:val="22"/>
              </w:rPr>
            </w:pPr>
          </w:p>
        </w:tc>
        <w:tc>
          <w:tcPr>
            <w:tcW w:w="1683" w:type="dxa"/>
          </w:tcPr>
          <w:p>
            <w:pPr>
              <w:pStyle w:val="TableParagraph"/>
              <w:spacing w:before="80"/>
              <w:ind w:left="78"/>
              <w:rPr>
                <w:rFonts w:ascii="Calibri"/>
                <w:b/>
                <w:sz w:val="16"/>
              </w:rPr>
            </w:pPr>
            <w:r>
              <w:rPr>
                <w:rFonts w:ascii="Calibri"/>
                <w:b/>
                <w:sz w:val="16"/>
              </w:rPr>
              <w:t>Operators</w:t>
            </w:r>
          </w:p>
        </w:tc>
        <w:tc>
          <w:tcPr>
            <w:tcW w:w="1309" w:type="dxa"/>
          </w:tcPr>
          <w:p>
            <w:pPr>
              <w:pStyle w:val="TableParagraph"/>
              <w:spacing w:before="80"/>
              <w:ind w:left="77"/>
              <w:rPr>
                <w:rFonts w:ascii="Calibri"/>
                <w:b/>
                <w:sz w:val="16"/>
              </w:rPr>
            </w:pPr>
            <w:r>
              <w:rPr>
                <w:rFonts w:ascii="Calibri"/>
                <w:b/>
                <w:sz w:val="16"/>
              </w:rPr>
              <w:t>Custodian</w:t>
            </w:r>
          </w:p>
        </w:tc>
      </w:tr>
      <w:tr>
        <w:trPr>
          <w:trHeight w:val="354" w:hRule="atLeast"/>
        </w:trPr>
        <w:tc>
          <w:tcPr>
            <w:tcW w:w="989" w:type="dxa"/>
          </w:tcPr>
          <w:p>
            <w:pPr>
              <w:pStyle w:val="TableParagraph"/>
              <w:spacing w:before="77"/>
              <w:ind w:left="78"/>
              <w:rPr>
                <w:rFonts w:ascii="Calibri"/>
                <w:b/>
                <w:sz w:val="16"/>
              </w:rPr>
            </w:pPr>
            <w:r>
              <w:rPr>
                <w:rFonts w:ascii="Calibri"/>
                <w:b/>
                <w:sz w:val="16"/>
              </w:rPr>
              <w:t>9.5%</w:t>
            </w:r>
          </w:p>
        </w:tc>
        <w:tc>
          <w:tcPr>
            <w:tcW w:w="1683" w:type="dxa"/>
          </w:tcPr>
          <w:p>
            <w:pPr>
              <w:pStyle w:val="TableParagraph"/>
              <w:spacing w:before="77"/>
              <w:ind w:left="78"/>
              <w:rPr>
                <w:rFonts w:ascii="Calibri"/>
                <w:b/>
                <w:sz w:val="16"/>
              </w:rPr>
            </w:pPr>
            <w:r>
              <w:rPr>
                <w:rFonts w:ascii="Calibri"/>
                <w:b/>
                <w:sz w:val="16"/>
              </w:rPr>
              <w:t>$30.00/hr.</w:t>
            </w:r>
          </w:p>
        </w:tc>
        <w:tc>
          <w:tcPr>
            <w:tcW w:w="1309" w:type="dxa"/>
          </w:tcPr>
          <w:p>
            <w:pPr>
              <w:pStyle w:val="TableParagraph"/>
              <w:spacing w:before="77"/>
              <w:ind w:left="77"/>
              <w:rPr>
                <w:rFonts w:ascii="Calibri"/>
                <w:b/>
                <w:sz w:val="16"/>
              </w:rPr>
            </w:pPr>
            <w:r>
              <w:rPr>
                <w:rFonts w:ascii="Calibri"/>
                <w:b/>
                <w:sz w:val="16"/>
              </w:rPr>
              <w:t>$27.08/hr.</w:t>
            </w:r>
          </w:p>
        </w:tc>
      </w:tr>
      <w:tr>
        <w:trPr>
          <w:trHeight w:val="354" w:hRule="atLeast"/>
        </w:trPr>
        <w:tc>
          <w:tcPr>
            <w:tcW w:w="989" w:type="dxa"/>
          </w:tcPr>
          <w:p>
            <w:pPr>
              <w:pStyle w:val="TableParagraph"/>
              <w:spacing w:before="80"/>
              <w:ind w:left="78"/>
              <w:rPr>
                <w:rFonts w:ascii="Calibri"/>
                <w:b/>
                <w:sz w:val="16"/>
              </w:rPr>
            </w:pPr>
            <w:r>
              <w:rPr>
                <w:rFonts w:ascii="Calibri"/>
                <w:b/>
                <w:sz w:val="16"/>
              </w:rPr>
              <w:t>3.5%</w:t>
            </w:r>
          </w:p>
        </w:tc>
        <w:tc>
          <w:tcPr>
            <w:tcW w:w="1683" w:type="dxa"/>
          </w:tcPr>
          <w:p>
            <w:pPr>
              <w:pStyle w:val="TableParagraph"/>
              <w:spacing w:before="80"/>
              <w:ind w:left="78"/>
              <w:rPr>
                <w:rFonts w:ascii="Calibri"/>
                <w:b/>
                <w:sz w:val="16"/>
              </w:rPr>
            </w:pPr>
            <w:r>
              <w:rPr>
                <w:rFonts w:ascii="Calibri"/>
                <w:b/>
                <w:sz w:val="16"/>
              </w:rPr>
              <w:t>$31.05/hr.</w:t>
            </w:r>
          </w:p>
        </w:tc>
        <w:tc>
          <w:tcPr>
            <w:tcW w:w="1309" w:type="dxa"/>
          </w:tcPr>
          <w:p>
            <w:pPr>
              <w:pStyle w:val="TableParagraph"/>
              <w:spacing w:before="80"/>
              <w:ind w:left="77"/>
              <w:rPr>
                <w:rFonts w:ascii="Calibri"/>
                <w:b/>
                <w:sz w:val="16"/>
              </w:rPr>
            </w:pPr>
            <w:r>
              <w:rPr>
                <w:rFonts w:ascii="Calibri"/>
                <w:b/>
                <w:sz w:val="16"/>
              </w:rPr>
              <w:t>$28.03/hr.</w:t>
            </w:r>
          </w:p>
        </w:tc>
      </w:tr>
      <w:tr>
        <w:trPr>
          <w:trHeight w:val="356" w:hRule="atLeast"/>
        </w:trPr>
        <w:tc>
          <w:tcPr>
            <w:tcW w:w="989" w:type="dxa"/>
          </w:tcPr>
          <w:p>
            <w:pPr>
              <w:pStyle w:val="TableParagraph"/>
              <w:spacing w:before="80"/>
              <w:ind w:left="78"/>
              <w:rPr>
                <w:rFonts w:ascii="Calibri"/>
                <w:b/>
                <w:sz w:val="16"/>
              </w:rPr>
            </w:pPr>
            <w:r>
              <w:rPr>
                <w:rFonts w:ascii="Calibri"/>
                <w:b/>
                <w:sz w:val="16"/>
              </w:rPr>
              <w:t>3.5%</w:t>
            </w:r>
          </w:p>
        </w:tc>
        <w:tc>
          <w:tcPr>
            <w:tcW w:w="1683" w:type="dxa"/>
          </w:tcPr>
          <w:p>
            <w:pPr>
              <w:pStyle w:val="TableParagraph"/>
              <w:spacing w:before="80"/>
              <w:ind w:left="78"/>
              <w:rPr>
                <w:rFonts w:ascii="Calibri"/>
                <w:b/>
                <w:sz w:val="16"/>
              </w:rPr>
            </w:pPr>
            <w:r>
              <w:rPr>
                <w:rFonts w:ascii="Calibri"/>
                <w:b/>
                <w:sz w:val="16"/>
              </w:rPr>
              <w:t>$32.14/hr.</w:t>
            </w:r>
          </w:p>
        </w:tc>
        <w:tc>
          <w:tcPr>
            <w:tcW w:w="1309" w:type="dxa"/>
          </w:tcPr>
          <w:p>
            <w:pPr>
              <w:pStyle w:val="TableParagraph"/>
              <w:spacing w:before="80"/>
              <w:ind w:left="77"/>
              <w:rPr>
                <w:rFonts w:ascii="Calibri"/>
                <w:b/>
                <w:sz w:val="16"/>
              </w:rPr>
            </w:pPr>
            <w:r>
              <w:rPr>
                <w:rFonts w:ascii="Calibri"/>
                <w:b/>
                <w:sz w:val="16"/>
              </w:rPr>
              <w:t>$29.01/hr.</w:t>
            </w:r>
          </w:p>
        </w:tc>
      </w:tr>
    </w:tbl>
    <w:p>
      <w:pPr>
        <w:spacing w:after="0"/>
        <w:rPr>
          <w:rFonts w:ascii="Calibri"/>
          <w:sz w:val="16"/>
        </w:rPr>
        <w:sectPr>
          <w:headerReference w:type="default" r:id="rId16"/>
          <w:pgSz w:w="12240" w:h="15840"/>
          <w:pgMar w:header="0" w:footer="0" w:top="1360" w:bottom="280" w:left="340" w:right="200"/>
        </w:sectPr>
      </w:pPr>
    </w:p>
    <w:p>
      <w:pPr>
        <w:pStyle w:val="BodyText"/>
        <w:spacing w:before="10"/>
        <w:rPr>
          <w:sz w:val="10"/>
        </w:rPr>
      </w:pPr>
    </w:p>
    <w:p>
      <w:pPr>
        <w:pStyle w:val="ListParagraph"/>
        <w:numPr>
          <w:ilvl w:val="0"/>
          <w:numId w:val="3"/>
        </w:numPr>
        <w:tabs>
          <w:tab w:pos="1387" w:val="left" w:leader="none"/>
          <w:tab w:pos="1388" w:val="left" w:leader="none"/>
        </w:tabs>
        <w:spacing w:line="240" w:lineRule="auto" w:before="90" w:after="0"/>
        <w:ind w:left="1388" w:right="0" w:hanging="360"/>
        <w:jc w:val="left"/>
        <w:rPr>
          <w:rFonts w:ascii="Symbol" w:hAnsi="Symbol"/>
          <w:sz w:val="20"/>
        </w:rPr>
      </w:pPr>
      <w:r>
        <w:rPr>
          <w:rFonts w:ascii="Times New Roman" w:hAnsi="Times New Roman"/>
          <w:sz w:val="24"/>
        </w:rPr>
        <w:t>Medical co-pays reimbursement were</w:t>
      </w:r>
      <w:r>
        <w:rPr>
          <w:rFonts w:ascii="Times New Roman" w:hAnsi="Times New Roman"/>
          <w:spacing w:val="-2"/>
          <w:sz w:val="24"/>
        </w:rPr>
        <w:t> </w:t>
      </w:r>
      <w:r>
        <w:rPr>
          <w:rFonts w:ascii="Times New Roman" w:hAnsi="Times New Roman"/>
          <w:sz w:val="24"/>
        </w:rPr>
        <w:t>deleted.</w:t>
      </w:r>
    </w:p>
    <w:p>
      <w:pPr>
        <w:pStyle w:val="ListParagraph"/>
        <w:numPr>
          <w:ilvl w:val="0"/>
          <w:numId w:val="3"/>
        </w:numPr>
        <w:tabs>
          <w:tab w:pos="1387" w:val="left" w:leader="none"/>
          <w:tab w:pos="1388" w:val="left" w:leader="none"/>
        </w:tabs>
        <w:spacing w:line="240" w:lineRule="auto" w:before="0" w:after="0"/>
        <w:ind w:left="1388" w:right="912" w:hanging="360"/>
        <w:jc w:val="left"/>
        <w:rPr>
          <w:rFonts w:ascii="Symbol" w:hAnsi="Symbol"/>
          <w:sz w:val="20"/>
        </w:rPr>
      </w:pPr>
      <w:r>
        <w:rPr>
          <w:rFonts w:ascii="Times New Roman" w:hAnsi="Times New Roman"/>
          <w:sz w:val="24"/>
        </w:rPr>
        <w:t>Medical contribution for employees increased from 15% to 16%, then next year 16% to 17%. All new hires will pay</w:t>
      </w:r>
      <w:r>
        <w:rPr>
          <w:rFonts w:ascii="Times New Roman" w:hAnsi="Times New Roman"/>
          <w:spacing w:val="-2"/>
          <w:sz w:val="24"/>
        </w:rPr>
        <w:t> </w:t>
      </w:r>
      <w:r>
        <w:rPr>
          <w:rFonts w:ascii="Times New Roman" w:hAnsi="Times New Roman"/>
          <w:sz w:val="24"/>
        </w:rPr>
        <w:t>18%.</w:t>
      </w:r>
    </w:p>
    <w:p>
      <w:pPr>
        <w:pStyle w:val="ListParagraph"/>
        <w:numPr>
          <w:ilvl w:val="0"/>
          <w:numId w:val="3"/>
        </w:numPr>
        <w:tabs>
          <w:tab w:pos="1387" w:val="left" w:leader="none"/>
          <w:tab w:pos="1388" w:val="left" w:leader="none"/>
        </w:tabs>
        <w:spacing w:line="240" w:lineRule="auto" w:before="0" w:after="0"/>
        <w:ind w:left="1388" w:right="0" w:hanging="360"/>
        <w:jc w:val="left"/>
        <w:rPr>
          <w:rFonts w:ascii="Symbol" w:hAnsi="Symbol"/>
          <w:sz w:val="20"/>
        </w:rPr>
      </w:pPr>
      <w:r>
        <w:rPr>
          <w:rFonts w:ascii="Times New Roman" w:hAnsi="Times New Roman"/>
          <w:sz w:val="24"/>
        </w:rPr>
        <w:t>Uniform credit increased $50 per year for</w:t>
      </w:r>
      <w:r>
        <w:rPr>
          <w:rFonts w:ascii="Times New Roman" w:hAnsi="Times New Roman"/>
          <w:spacing w:val="-2"/>
          <w:sz w:val="24"/>
        </w:rPr>
        <w:t> </w:t>
      </w:r>
      <w:r>
        <w:rPr>
          <w:rFonts w:ascii="Times New Roman" w:hAnsi="Times New Roman"/>
          <w:sz w:val="24"/>
        </w:rPr>
        <w:t>operators.</w:t>
      </w:r>
    </w:p>
    <w:p>
      <w:pPr>
        <w:pStyle w:val="ListParagraph"/>
        <w:numPr>
          <w:ilvl w:val="0"/>
          <w:numId w:val="3"/>
        </w:numPr>
        <w:tabs>
          <w:tab w:pos="1387" w:val="left" w:leader="none"/>
          <w:tab w:pos="1388" w:val="left" w:leader="none"/>
        </w:tabs>
        <w:spacing w:line="240" w:lineRule="auto" w:before="0" w:after="0"/>
        <w:ind w:left="1388" w:right="0" w:hanging="360"/>
        <w:jc w:val="left"/>
        <w:rPr>
          <w:rFonts w:ascii="Symbol" w:hAnsi="Symbol"/>
          <w:sz w:val="20"/>
        </w:rPr>
      </w:pPr>
      <w:r>
        <w:rPr>
          <w:rFonts w:ascii="Times New Roman" w:hAnsi="Times New Roman"/>
          <w:sz w:val="24"/>
        </w:rPr>
        <w:t>A weekend premium of $1.00 per hour was</w:t>
      </w:r>
      <w:r>
        <w:rPr>
          <w:rFonts w:ascii="Times New Roman" w:hAnsi="Times New Roman"/>
          <w:spacing w:val="-5"/>
          <w:sz w:val="24"/>
        </w:rPr>
        <w:t> </w:t>
      </w:r>
      <w:r>
        <w:rPr>
          <w:rFonts w:ascii="Times New Roman" w:hAnsi="Times New Roman"/>
          <w:sz w:val="24"/>
        </w:rPr>
        <w:t>added.</w:t>
      </w:r>
    </w:p>
    <w:p>
      <w:pPr>
        <w:pStyle w:val="ListParagraph"/>
        <w:numPr>
          <w:ilvl w:val="0"/>
          <w:numId w:val="3"/>
        </w:numPr>
        <w:tabs>
          <w:tab w:pos="1387" w:val="left" w:leader="none"/>
          <w:tab w:pos="1388" w:val="left" w:leader="none"/>
        </w:tabs>
        <w:spacing w:line="240" w:lineRule="auto" w:before="0" w:after="0"/>
        <w:ind w:left="1388" w:right="0" w:hanging="360"/>
        <w:jc w:val="left"/>
        <w:rPr>
          <w:rFonts w:ascii="Symbol" w:hAnsi="Symbol"/>
          <w:sz w:val="20"/>
        </w:rPr>
      </w:pPr>
      <w:r>
        <w:rPr>
          <w:rFonts w:ascii="Times New Roman" w:hAnsi="Times New Roman"/>
          <w:sz w:val="24"/>
        </w:rPr>
        <w:t>Added new spare board language to the</w:t>
      </w:r>
      <w:r>
        <w:rPr>
          <w:rFonts w:ascii="Times New Roman" w:hAnsi="Times New Roman"/>
          <w:spacing w:val="-3"/>
          <w:sz w:val="24"/>
        </w:rPr>
        <w:t> </w:t>
      </w:r>
      <w:r>
        <w:rPr>
          <w:rFonts w:ascii="Times New Roman" w:hAnsi="Times New Roman"/>
          <w:sz w:val="24"/>
        </w:rPr>
        <w:t>contract.</w:t>
      </w:r>
    </w:p>
    <w:p>
      <w:pPr>
        <w:pStyle w:val="ListParagraph"/>
        <w:numPr>
          <w:ilvl w:val="0"/>
          <w:numId w:val="3"/>
        </w:numPr>
        <w:tabs>
          <w:tab w:pos="1387" w:val="left" w:leader="none"/>
          <w:tab w:pos="1388" w:val="left" w:leader="none"/>
        </w:tabs>
        <w:spacing w:line="240" w:lineRule="auto" w:before="0" w:after="0"/>
        <w:ind w:left="1387" w:right="1400" w:hanging="360"/>
        <w:jc w:val="left"/>
        <w:rPr>
          <w:rFonts w:ascii="Symbol" w:hAnsi="Symbol"/>
          <w:sz w:val="20"/>
        </w:rPr>
      </w:pPr>
      <w:r>
        <w:rPr>
          <w:rFonts w:ascii="Times New Roman" w:hAnsi="Times New Roman"/>
          <w:sz w:val="24"/>
        </w:rPr>
        <w:t>Retiree medical premium increased from 25% to 30% (10-15 yrs) and 10% to 15% (&gt;15</w:t>
      </w:r>
      <w:r>
        <w:rPr>
          <w:rFonts w:ascii="Times New Roman" w:hAnsi="Times New Roman"/>
          <w:spacing w:val="-20"/>
          <w:sz w:val="24"/>
        </w:rPr>
        <w:t> </w:t>
      </w:r>
      <w:r>
        <w:rPr>
          <w:rFonts w:ascii="Times New Roman" w:hAnsi="Times New Roman"/>
          <w:sz w:val="24"/>
        </w:rPr>
        <w:t>yrs) anyone hired after July</w:t>
      </w:r>
      <w:r>
        <w:rPr>
          <w:rFonts w:ascii="Times New Roman" w:hAnsi="Times New Roman"/>
          <w:spacing w:val="-1"/>
          <w:sz w:val="24"/>
        </w:rPr>
        <w:t> </w:t>
      </w:r>
      <w:r>
        <w:rPr>
          <w:rFonts w:ascii="Times New Roman" w:hAnsi="Times New Roman"/>
          <w:sz w:val="24"/>
        </w:rPr>
        <w:t>1st.</w:t>
      </w:r>
    </w:p>
    <w:p>
      <w:pPr>
        <w:pStyle w:val="BodyText"/>
      </w:pPr>
    </w:p>
    <w:p>
      <w:pPr>
        <w:pStyle w:val="BodyText"/>
        <w:ind w:left="667" w:right="1142"/>
      </w:pPr>
      <w:r>
        <w:rPr/>
        <w:t>The Company will need a motion to approve the ATU 582 agreement effective April 1, 2025, from the Board of Members.</w:t>
      </w:r>
    </w:p>
    <w:p>
      <w:pPr>
        <w:pStyle w:val="BodyText"/>
        <w:rPr>
          <w:sz w:val="26"/>
        </w:rPr>
      </w:pPr>
    </w:p>
    <w:p>
      <w:pPr>
        <w:pStyle w:val="BodyText"/>
        <w:rPr>
          <w:sz w:val="22"/>
        </w:rPr>
      </w:pPr>
    </w:p>
    <w:p>
      <w:pPr>
        <w:pStyle w:val="BodyText"/>
        <w:ind w:left="668"/>
      </w:pPr>
      <w:r>
        <w:rPr>
          <w:u w:val="single"/>
        </w:rPr>
        <w:t>ATU 582 COLLECTIVE BARGAINING AGREEMENT – MOTION NO.</w:t>
      </w:r>
      <w:r>
        <w:rPr>
          <w:spacing w:val="-21"/>
          <w:u w:val="single"/>
        </w:rPr>
        <w:t> </w:t>
      </w:r>
      <w:r>
        <w:rPr>
          <w:u w:val="single"/>
        </w:rPr>
        <w:t>2775</w:t>
      </w:r>
    </w:p>
    <w:p>
      <w:pPr>
        <w:pStyle w:val="BodyText"/>
        <w:spacing w:line="398" w:lineRule="auto"/>
        <w:ind w:left="667" w:right="2034"/>
      </w:pPr>
      <w:r>
        <w:rPr/>
        <w:t>Ms. Musengo presented a Motion to approve the ATU 582 Collective Bargaining</w:t>
      </w:r>
      <w:r>
        <w:rPr>
          <w:spacing w:val="-19"/>
        </w:rPr>
        <w:t> </w:t>
      </w:r>
      <w:r>
        <w:rPr/>
        <w:t>Agreement. A Motion to approve the ATU 582 Collective Bargaining Agreement, was</w:t>
      </w:r>
      <w:r>
        <w:rPr>
          <w:spacing w:val="-7"/>
        </w:rPr>
        <w:t> </w:t>
      </w:r>
      <w:r>
        <w:rPr/>
        <w:t>raised</w:t>
      </w:r>
    </w:p>
    <w:p>
      <w:pPr>
        <w:pStyle w:val="BodyText"/>
        <w:spacing w:line="259" w:lineRule="auto" w:before="138"/>
        <w:ind w:left="1387" w:right="7647"/>
      </w:pPr>
      <w:r>
        <w:rPr/>
        <w:t>Motion – Robert Cuculich Seconded – Tina Fitzgerald Carried Unanimously</w:t>
      </w:r>
    </w:p>
    <w:p>
      <w:pPr>
        <w:pStyle w:val="BodyText"/>
        <w:rPr>
          <w:sz w:val="26"/>
        </w:rPr>
      </w:pPr>
    </w:p>
    <w:p>
      <w:pPr>
        <w:pStyle w:val="BodyText"/>
        <w:rPr>
          <w:sz w:val="31"/>
        </w:rPr>
      </w:pPr>
    </w:p>
    <w:p>
      <w:pPr>
        <w:pStyle w:val="BodyText"/>
        <w:ind w:left="671" w:right="811"/>
        <w:jc w:val="center"/>
      </w:pPr>
      <w:r>
        <w:rPr>
          <w:u w:val="single"/>
        </w:rPr>
        <w:t>AUDIT AND FINANCE COMMITTEE REPORT</w:t>
      </w:r>
    </w:p>
    <w:p>
      <w:pPr>
        <w:pStyle w:val="BodyText"/>
        <w:rPr>
          <w:sz w:val="20"/>
        </w:rPr>
      </w:pPr>
    </w:p>
    <w:p>
      <w:pPr>
        <w:pStyle w:val="BodyText"/>
        <w:spacing w:before="2"/>
        <w:rPr>
          <w:sz w:val="19"/>
        </w:rPr>
      </w:pPr>
    </w:p>
    <w:p>
      <w:pPr>
        <w:pStyle w:val="BodyText"/>
        <w:spacing w:line="259" w:lineRule="auto" w:before="90"/>
        <w:ind w:left="668" w:right="877"/>
      </w:pPr>
      <w:r>
        <w:rPr>
          <w:u w:val="single"/>
        </w:rPr>
        <w:t>DRAFT FINANCIAL STATEMENTS AND SUPPLEMENTAL REPORTS AS OF MARCH 31, 2025 –</w:t>
      </w:r>
      <w:r>
        <w:rPr/>
        <w:t> </w:t>
      </w:r>
      <w:r>
        <w:rPr>
          <w:u w:val="single"/>
        </w:rPr>
        <w:t>MOTION NO. 2778</w:t>
      </w:r>
    </w:p>
    <w:p>
      <w:pPr>
        <w:pStyle w:val="BodyText"/>
        <w:spacing w:line="259" w:lineRule="auto"/>
        <w:ind w:left="667" w:right="848"/>
      </w:pPr>
      <w:r>
        <w:rPr/>
        <w:t>Mr. Greg Evans of The Bonadio Group presented a Motion to approve the Draft Financial Statements and Supplemental Reports as of March 31, 2025. A copy of the Report and Motion are attached to these Minutes.</w:t>
      </w:r>
    </w:p>
    <w:p>
      <w:pPr>
        <w:pStyle w:val="BodyText"/>
        <w:spacing w:line="259" w:lineRule="auto" w:before="158"/>
        <w:ind w:left="667" w:right="1415"/>
      </w:pPr>
      <w:r>
        <w:rPr/>
        <w:t>A Motion to approve the Draft Financial Statements and Supplemental Reports as of March 31, was raised.</w:t>
      </w:r>
    </w:p>
    <w:p>
      <w:pPr>
        <w:pStyle w:val="BodyText"/>
        <w:spacing w:before="9"/>
        <w:rPr>
          <w:sz w:val="25"/>
        </w:rPr>
      </w:pPr>
    </w:p>
    <w:p>
      <w:pPr>
        <w:pStyle w:val="BodyText"/>
        <w:spacing w:line="259" w:lineRule="auto" w:before="1"/>
        <w:ind w:left="1387" w:right="7540"/>
      </w:pPr>
      <w:r>
        <w:rPr/>
        <w:t>Motion – Neil Burke Seconded – Robert Cuculich Carried Unanimously</w:t>
      </w:r>
    </w:p>
    <w:p>
      <w:pPr>
        <w:pStyle w:val="BodyText"/>
        <w:spacing w:before="6"/>
        <w:rPr>
          <w:sz w:val="34"/>
        </w:rPr>
      </w:pPr>
    </w:p>
    <w:p>
      <w:pPr>
        <w:pStyle w:val="BodyText"/>
        <w:spacing w:line="259" w:lineRule="auto"/>
        <w:ind w:left="668" w:right="1045"/>
      </w:pPr>
      <w:r>
        <w:rPr>
          <w:u w:val="single"/>
        </w:rPr>
        <w:t>SUMMARY FINANCIAL INFORMATION – PUBLIC AUTHORITIES LAW (PAL) 2800 ANNUAL</w:t>
      </w:r>
      <w:r>
        <w:rPr/>
        <w:t> </w:t>
      </w:r>
      <w:r>
        <w:rPr>
          <w:u w:val="single"/>
        </w:rPr>
        <w:t>REPORT – MOTION NO. 2779</w:t>
      </w:r>
    </w:p>
    <w:p>
      <w:pPr>
        <w:pStyle w:val="BodyText"/>
        <w:spacing w:line="259" w:lineRule="auto"/>
        <w:ind w:left="667" w:right="1114"/>
      </w:pPr>
      <w:r>
        <w:rPr/>
        <w:t>Ms. Brim presented a Motion to approve the Summary Financial Information – Public Authorities Law (PAL) 2800 Annual Report. A copy of the Report and Motion are attached to these Minutes.</w:t>
      </w:r>
    </w:p>
    <w:p>
      <w:pPr>
        <w:spacing w:after="0" w:line="259" w:lineRule="auto"/>
        <w:sectPr>
          <w:headerReference w:type="default" r:id="rId17"/>
          <w:pgSz w:w="12240" w:h="15840"/>
          <w:pgMar w:header="0" w:footer="0" w:top="1500" w:bottom="280" w:left="340" w:right="200"/>
        </w:sectPr>
      </w:pPr>
    </w:p>
    <w:p>
      <w:pPr>
        <w:pStyle w:val="BodyText"/>
        <w:spacing w:line="259" w:lineRule="auto" w:before="79"/>
        <w:ind w:left="667" w:right="848"/>
      </w:pPr>
      <w:r>
        <w:rPr/>
        <w:t>A Motion to approve the Summary Financial Information – Public Authorities Law (PAL) 2800 Annual Report, was raised.</w:t>
      </w:r>
    </w:p>
    <w:p>
      <w:pPr>
        <w:pStyle w:val="BodyText"/>
        <w:spacing w:before="9"/>
        <w:rPr>
          <w:sz w:val="25"/>
        </w:rPr>
      </w:pPr>
    </w:p>
    <w:p>
      <w:pPr>
        <w:pStyle w:val="BodyText"/>
        <w:spacing w:line="259" w:lineRule="auto"/>
        <w:ind w:left="1387" w:right="7660"/>
      </w:pPr>
      <w:r>
        <w:rPr/>
        <w:t>Motion – Julius Lawrence Seconded – Anthony Davis Carried Unanimously</w:t>
      </w:r>
    </w:p>
    <w:p>
      <w:pPr>
        <w:pStyle w:val="BodyText"/>
        <w:rPr>
          <w:sz w:val="26"/>
        </w:rPr>
      </w:pPr>
    </w:p>
    <w:p>
      <w:pPr>
        <w:pStyle w:val="BodyText"/>
        <w:spacing w:line="259" w:lineRule="auto"/>
        <w:ind w:left="668" w:right="1046"/>
      </w:pPr>
      <w:r>
        <w:rPr>
          <w:u w:val="single"/>
        </w:rPr>
        <w:t>ANNUAL INVESTMENT REPORT PAL 2925 AND INVESTMENT GUIDELINES – MOTION NO.</w:t>
      </w:r>
      <w:r>
        <w:rPr/>
        <w:t> </w:t>
      </w:r>
      <w:r>
        <w:rPr>
          <w:u w:val="single"/>
        </w:rPr>
        <w:t>2780</w:t>
      </w:r>
    </w:p>
    <w:p>
      <w:pPr>
        <w:pStyle w:val="BodyText"/>
        <w:spacing w:line="259" w:lineRule="auto"/>
        <w:ind w:left="668" w:right="1159"/>
      </w:pPr>
      <w:r>
        <w:rPr/>
        <w:t>Ms. Brim presented a Motion to approve the Annual Investment Report PAL 2925 and Investment Guidelines. A copy of the Report and Motion are attached to these Minutes.</w:t>
      </w:r>
    </w:p>
    <w:p>
      <w:pPr>
        <w:pStyle w:val="BodyText"/>
        <w:spacing w:before="159"/>
        <w:ind w:left="668"/>
      </w:pPr>
      <w:r>
        <w:rPr/>
        <w:t>A Motion to approve the Annual Investment PAL 2925 and Investment Guidelines, was raised.</w:t>
      </w:r>
    </w:p>
    <w:p>
      <w:pPr>
        <w:pStyle w:val="BodyText"/>
        <w:spacing w:before="8"/>
        <w:rPr>
          <w:sz w:val="27"/>
        </w:rPr>
      </w:pPr>
    </w:p>
    <w:p>
      <w:pPr>
        <w:pStyle w:val="BodyText"/>
        <w:spacing w:line="259" w:lineRule="auto"/>
        <w:ind w:left="1388" w:right="7371"/>
      </w:pPr>
      <w:r>
        <w:rPr/>
        <w:t>Motion – Neil Burke Seconded – Darlene Lattimore Carried</w:t>
      </w:r>
      <w:r>
        <w:rPr>
          <w:spacing w:val="-1"/>
        </w:rPr>
        <w:t> </w:t>
      </w:r>
      <w:r>
        <w:rPr/>
        <w:t>Unanimously</w:t>
      </w:r>
    </w:p>
    <w:p>
      <w:pPr>
        <w:pStyle w:val="BodyText"/>
        <w:spacing w:before="8"/>
        <w:rPr>
          <w:sz w:val="38"/>
        </w:rPr>
      </w:pPr>
    </w:p>
    <w:p>
      <w:pPr>
        <w:pStyle w:val="BodyText"/>
        <w:spacing w:before="1"/>
        <w:ind w:left="668"/>
      </w:pPr>
      <w:r>
        <w:rPr>
          <w:u w:val="single"/>
        </w:rPr>
        <w:t>GUIDELINES FOR DISPOSITION OF PROPERTY – MOTION NO. 2781</w:t>
      </w:r>
    </w:p>
    <w:p>
      <w:pPr>
        <w:pStyle w:val="BodyText"/>
        <w:spacing w:line="261" w:lineRule="auto" w:before="21"/>
        <w:ind w:left="668" w:right="793"/>
      </w:pPr>
      <w:r>
        <w:rPr/>
        <w:t>Ms. Brim presented a Motion to approve the Guidelines for Disposition of Property. A copy of the Motion is attached to these Minutes.</w:t>
      </w:r>
    </w:p>
    <w:p>
      <w:pPr>
        <w:pStyle w:val="BodyText"/>
        <w:spacing w:before="155"/>
        <w:ind w:left="668"/>
      </w:pPr>
      <w:r>
        <w:rPr/>
        <w:t>A Motion to approve the Guidelines for Disposition of Property was raised.</w:t>
      </w:r>
    </w:p>
    <w:p>
      <w:pPr>
        <w:pStyle w:val="BodyText"/>
        <w:spacing w:before="8"/>
        <w:rPr>
          <w:sz w:val="27"/>
        </w:rPr>
      </w:pPr>
    </w:p>
    <w:p>
      <w:pPr>
        <w:pStyle w:val="BodyText"/>
        <w:spacing w:line="259" w:lineRule="auto"/>
        <w:ind w:left="1388" w:right="7371"/>
      </w:pPr>
      <w:r>
        <w:rPr/>
        <w:t>Motion – Neil Burke Seconded – Darlene Lattimore Carried</w:t>
      </w:r>
      <w:r>
        <w:rPr>
          <w:spacing w:val="-1"/>
        </w:rPr>
        <w:t> </w:t>
      </w:r>
      <w:r>
        <w:rPr/>
        <w:t>Unanimously</w:t>
      </w:r>
    </w:p>
    <w:p>
      <w:pPr>
        <w:pStyle w:val="BodyText"/>
        <w:rPr>
          <w:sz w:val="26"/>
        </w:rPr>
      </w:pPr>
    </w:p>
    <w:p>
      <w:pPr>
        <w:pStyle w:val="BodyText"/>
        <w:spacing w:line="259" w:lineRule="auto" w:before="199"/>
        <w:ind w:left="668" w:right="664"/>
      </w:pPr>
      <w:r>
        <w:rPr>
          <w:u w:val="single"/>
        </w:rPr>
        <w:t>ANNUAL PROCUREMENT REPORT – PUBLIC AUTHORITIES LAW 2879 AND 2824€ – MOTION</w:t>
      </w:r>
      <w:r>
        <w:rPr/>
        <w:t> </w:t>
      </w:r>
      <w:r>
        <w:rPr>
          <w:u w:val="single"/>
        </w:rPr>
        <w:t>NO. 2782</w:t>
      </w:r>
    </w:p>
    <w:p>
      <w:pPr>
        <w:pStyle w:val="BodyText"/>
        <w:spacing w:line="259" w:lineRule="auto"/>
        <w:ind w:left="668" w:right="1020"/>
      </w:pPr>
      <w:r>
        <w:rPr/>
        <w:t>Ms. MacCollum presented a Motion to approve the Annual Procurement – Public Authorities Law 2879 and 2824€. A copy of the Motion is attached to these Minutes.</w:t>
      </w:r>
    </w:p>
    <w:p>
      <w:pPr>
        <w:pStyle w:val="BodyText"/>
        <w:spacing w:before="159"/>
        <w:ind w:left="668"/>
      </w:pPr>
      <w:r>
        <w:rPr/>
        <w:t>A Motion to approve the Annual Procurement – Public Authorities Law 2879 and 2824€, was raised.</w:t>
      </w:r>
    </w:p>
    <w:p>
      <w:pPr>
        <w:pStyle w:val="BodyText"/>
        <w:spacing w:before="9"/>
        <w:rPr>
          <w:sz w:val="27"/>
        </w:rPr>
      </w:pPr>
    </w:p>
    <w:p>
      <w:pPr>
        <w:pStyle w:val="BodyText"/>
        <w:spacing w:line="259" w:lineRule="auto"/>
        <w:ind w:left="1388" w:right="7646"/>
      </w:pPr>
      <w:r>
        <w:rPr/>
        <w:t>Motion – Julius Lawrence Seconded – Tina Fitzgerald Carried Unanimously</w:t>
      </w:r>
    </w:p>
    <w:p>
      <w:pPr>
        <w:pStyle w:val="BodyText"/>
        <w:rPr>
          <w:sz w:val="26"/>
        </w:rPr>
      </w:pPr>
    </w:p>
    <w:p>
      <w:pPr>
        <w:pStyle w:val="BodyText"/>
        <w:spacing w:before="196"/>
        <w:ind w:left="668"/>
      </w:pPr>
      <w:r>
        <w:rPr>
          <w:u w:val="single"/>
        </w:rPr>
        <w:t>CNYRTA PROCUREMENT MANUAL UPDATES – MOTION NO.2783</w:t>
      </w:r>
    </w:p>
    <w:p>
      <w:pPr>
        <w:pStyle w:val="BodyText"/>
        <w:spacing w:line="259" w:lineRule="auto" w:before="22"/>
        <w:ind w:left="667" w:right="1041"/>
      </w:pPr>
      <w:r>
        <w:rPr/>
        <w:t>Ms. MacCollum presented a Motion to approve the CNYRTA Procurement Manual Updates. A copy of the Motion is attached to these Minutes.</w:t>
      </w:r>
    </w:p>
    <w:p>
      <w:pPr>
        <w:spacing w:after="0" w:line="259" w:lineRule="auto"/>
        <w:sectPr>
          <w:headerReference w:type="default" r:id="rId18"/>
          <w:pgSz w:w="12240" w:h="15840"/>
          <w:pgMar w:header="0" w:footer="0" w:top="1360" w:bottom="280" w:left="340" w:right="200"/>
        </w:sectPr>
      </w:pPr>
    </w:p>
    <w:p>
      <w:pPr>
        <w:pStyle w:val="BodyText"/>
        <w:spacing w:before="79"/>
        <w:ind w:left="668"/>
      </w:pPr>
      <w:r>
        <w:rPr/>
        <w:t>A Motion to approve the CNYRTA Procurement Manual Updates, was raised.</w:t>
      </w:r>
    </w:p>
    <w:p>
      <w:pPr>
        <w:pStyle w:val="BodyText"/>
        <w:spacing w:before="6"/>
        <w:rPr>
          <w:sz w:val="36"/>
        </w:rPr>
      </w:pPr>
    </w:p>
    <w:p>
      <w:pPr>
        <w:pStyle w:val="BodyText"/>
        <w:spacing w:line="259" w:lineRule="auto"/>
        <w:ind w:left="1388" w:right="7579"/>
      </w:pPr>
      <w:r>
        <w:rPr/>
        <w:t>Motion – Darlene Lattimore Seconded – Anthony Davis Carried Unanimously</w:t>
      </w:r>
    </w:p>
    <w:p>
      <w:pPr>
        <w:pStyle w:val="BodyText"/>
        <w:spacing w:before="1"/>
        <w:rPr>
          <w:sz w:val="30"/>
        </w:rPr>
      </w:pPr>
    </w:p>
    <w:p>
      <w:pPr>
        <w:pStyle w:val="BodyText"/>
        <w:spacing w:before="1"/>
        <w:ind w:left="668"/>
      </w:pPr>
      <w:r>
        <w:rPr>
          <w:u w:val="single"/>
        </w:rPr>
        <w:t>SUBSTANCE ABUSE POLICY – MOTION NO. 2784</w:t>
      </w:r>
    </w:p>
    <w:p>
      <w:pPr>
        <w:pStyle w:val="BodyText"/>
        <w:spacing w:line="259" w:lineRule="auto" w:before="21"/>
        <w:ind w:left="667" w:right="1547"/>
      </w:pPr>
      <w:r>
        <w:rPr/>
        <w:t>Ms. Musengo presented a Motion to approve the Substance Abuse Policy. A copy of the Motion is attached to these Minutes.</w:t>
      </w:r>
    </w:p>
    <w:p>
      <w:pPr>
        <w:pStyle w:val="BodyText"/>
        <w:spacing w:before="160"/>
        <w:ind w:left="667"/>
      </w:pPr>
      <w:r>
        <w:rPr/>
        <w:t>A Motion to approve the Substance Abuse Policy, was raised</w:t>
      </w:r>
    </w:p>
    <w:p>
      <w:pPr>
        <w:pStyle w:val="BodyText"/>
        <w:spacing w:before="9"/>
        <w:rPr>
          <w:sz w:val="27"/>
        </w:rPr>
      </w:pPr>
    </w:p>
    <w:p>
      <w:pPr>
        <w:pStyle w:val="BodyText"/>
        <w:spacing w:line="259" w:lineRule="auto"/>
        <w:ind w:left="1387" w:right="7780"/>
      </w:pPr>
      <w:r>
        <w:rPr/>
        <w:t>Motion – Julius Lawrence Seconded – Neil Burke Carried Unanimously</w:t>
      </w:r>
    </w:p>
    <w:p>
      <w:pPr>
        <w:pStyle w:val="BodyText"/>
        <w:spacing w:before="8"/>
        <w:rPr>
          <w:sz w:val="25"/>
        </w:rPr>
      </w:pPr>
    </w:p>
    <w:p>
      <w:pPr>
        <w:pStyle w:val="BodyText"/>
        <w:spacing w:before="1"/>
        <w:ind w:left="668"/>
      </w:pPr>
      <w:r>
        <w:rPr>
          <w:u w:val="single"/>
        </w:rPr>
        <w:t>ANNUAL SUBSIDY PAYMENTS - RESOLUTION NO. 2660</w:t>
      </w:r>
    </w:p>
    <w:p>
      <w:pPr>
        <w:pStyle w:val="BodyText"/>
        <w:spacing w:line="259" w:lineRule="auto" w:before="21"/>
        <w:ind w:left="668" w:right="1419"/>
      </w:pPr>
      <w:r>
        <w:rPr/>
        <w:t>Ms. Brim presented a Resolution to approve Annual Subsidy Payments. A copy of the Resolution is attached to these Minutes.</w:t>
      </w:r>
    </w:p>
    <w:p>
      <w:pPr>
        <w:pStyle w:val="BodyText"/>
        <w:rPr>
          <w:sz w:val="26"/>
        </w:rPr>
      </w:pPr>
    </w:p>
    <w:p>
      <w:pPr>
        <w:pStyle w:val="BodyText"/>
        <w:spacing w:line="259" w:lineRule="auto"/>
        <w:ind w:left="668" w:right="1159"/>
      </w:pPr>
      <w:r>
        <w:rPr/>
        <w:t>A Resolution to approve Annual Subsidy Payments, as recommended by the Audit and Finance Committee, was raised.</w:t>
      </w:r>
    </w:p>
    <w:p>
      <w:pPr>
        <w:pStyle w:val="BodyText"/>
        <w:spacing w:before="9"/>
        <w:rPr>
          <w:sz w:val="25"/>
        </w:rPr>
      </w:pPr>
    </w:p>
    <w:p>
      <w:pPr>
        <w:pStyle w:val="BodyText"/>
        <w:spacing w:line="259" w:lineRule="auto" w:before="1"/>
        <w:ind w:left="1388" w:right="7539"/>
      </w:pPr>
      <w:r>
        <w:rPr/>
        <w:t>Motion – Tina Fitzgerald Seconded – Robert Cuculich Carried Unanimously</w:t>
      </w:r>
    </w:p>
    <w:p>
      <w:pPr>
        <w:pStyle w:val="BodyText"/>
        <w:spacing w:before="8"/>
        <w:rPr>
          <w:sz w:val="25"/>
        </w:rPr>
      </w:pPr>
    </w:p>
    <w:p>
      <w:pPr>
        <w:pStyle w:val="BodyText"/>
        <w:ind w:left="668"/>
      </w:pPr>
      <w:r>
        <w:rPr>
          <w:u w:val="single"/>
        </w:rPr>
        <w:t>PDS SOFTWARE RENEWAL AND MAINTENANCE – RESOLUTION NO. 2661</w:t>
      </w:r>
    </w:p>
    <w:p>
      <w:pPr>
        <w:pStyle w:val="BodyText"/>
        <w:spacing w:line="259" w:lineRule="auto" w:before="22"/>
        <w:ind w:left="668" w:right="1460"/>
      </w:pPr>
      <w:r>
        <w:rPr/>
        <w:t>Mr. King presented a Resolution to authorize a contract award to PDS for a (5) year maintenance agreement from August 21, 2025, to August 20, 2030. A copy of the Resolution is attached to these Minutes.</w:t>
      </w:r>
    </w:p>
    <w:p>
      <w:pPr>
        <w:pStyle w:val="BodyText"/>
        <w:spacing w:line="259" w:lineRule="auto" w:before="159"/>
        <w:ind w:left="667" w:right="664"/>
      </w:pPr>
      <w:r>
        <w:rPr/>
        <w:t>A</w:t>
      </w:r>
      <w:r>
        <w:rPr>
          <w:spacing w:val="-14"/>
        </w:rPr>
        <w:t> </w:t>
      </w:r>
      <w:r>
        <w:rPr/>
        <w:t>Motion</w:t>
      </w:r>
      <w:r>
        <w:rPr>
          <w:spacing w:val="-13"/>
        </w:rPr>
        <w:t> </w:t>
      </w:r>
      <w:r>
        <w:rPr/>
        <w:t>to</w:t>
      </w:r>
      <w:r>
        <w:rPr>
          <w:spacing w:val="-13"/>
        </w:rPr>
        <w:t> </w:t>
      </w:r>
      <w:r>
        <w:rPr/>
        <w:t>authorize</w:t>
      </w:r>
      <w:r>
        <w:rPr>
          <w:spacing w:val="-11"/>
        </w:rPr>
        <w:t> </w:t>
      </w:r>
      <w:r>
        <w:rPr/>
        <w:t>a</w:t>
      </w:r>
      <w:r>
        <w:rPr>
          <w:spacing w:val="-14"/>
        </w:rPr>
        <w:t> </w:t>
      </w:r>
      <w:r>
        <w:rPr/>
        <w:t>contract</w:t>
      </w:r>
      <w:r>
        <w:rPr>
          <w:spacing w:val="-13"/>
        </w:rPr>
        <w:t> </w:t>
      </w:r>
      <w:r>
        <w:rPr/>
        <w:t>award</w:t>
      </w:r>
      <w:r>
        <w:rPr>
          <w:spacing w:val="-11"/>
        </w:rPr>
        <w:t> </w:t>
      </w:r>
      <w:r>
        <w:rPr/>
        <w:t>to</w:t>
      </w:r>
      <w:r>
        <w:rPr>
          <w:spacing w:val="-13"/>
        </w:rPr>
        <w:t> </w:t>
      </w:r>
      <w:r>
        <w:rPr/>
        <w:t>PDS</w:t>
      </w:r>
      <w:r>
        <w:rPr>
          <w:spacing w:val="-12"/>
        </w:rPr>
        <w:t> </w:t>
      </w:r>
      <w:r>
        <w:rPr/>
        <w:t>for</w:t>
      </w:r>
      <w:r>
        <w:rPr>
          <w:spacing w:val="-9"/>
        </w:rPr>
        <w:t> </w:t>
      </w:r>
      <w:r>
        <w:rPr/>
        <w:t>a</w:t>
      </w:r>
      <w:r>
        <w:rPr>
          <w:spacing w:val="-14"/>
        </w:rPr>
        <w:t> </w:t>
      </w:r>
      <w:r>
        <w:rPr/>
        <w:t>(5)</w:t>
      </w:r>
      <w:r>
        <w:rPr>
          <w:spacing w:val="-12"/>
        </w:rPr>
        <w:t> </w:t>
      </w:r>
      <w:r>
        <w:rPr/>
        <w:t>year</w:t>
      </w:r>
      <w:r>
        <w:rPr>
          <w:spacing w:val="-13"/>
        </w:rPr>
        <w:t> </w:t>
      </w:r>
      <w:r>
        <w:rPr/>
        <w:t>maintenance</w:t>
      </w:r>
      <w:r>
        <w:rPr>
          <w:spacing w:val="-14"/>
        </w:rPr>
        <w:t> </w:t>
      </w:r>
      <w:r>
        <w:rPr/>
        <w:t>agreement</w:t>
      </w:r>
      <w:r>
        <w:rPr>
          <w:spacing w:val="-11"/>
        </w:rPr>
        <w:t> </w:t>
      </w:r>
      <w:r>
        <w:rPr/>
        <w:t>from</w:t>
      </w:r>
      <w:r>
        <w:rPr>
          <w:spacing w:val="-13"/>
        </w:rPr>
        <w:t> </w:t>
      </w:r>
      <w:r>
        <w:rPr/>
        <w:t>August</w:t>
      </w:r>
      <w:r>
        <w:rPr>
          <w:spacing w:val="-10"/>
        </w:rPr>
        <w:t> </w:t>
      </w:r>
      <w:r>
        <w:rPr/>
        <w:t>21,</w:t>
      </w:r>
      <w:r>
        <w:rPr>
          <w:spacing w:val="-11"/>
        </w:rPr>
        <w:t> </w:t>
      </w:r>
      <w:r>
        <w:rPr/>
        <w:t>2025, to August 20, 2030, was</w:t>
      </w:r>
      <w:r>
        <w:rPr>
          <w:spacing w:val="-1"/>
        </w:rPr>
        <w:t> </w:t>
      </w:r>
      <w:r>
        <w:rPr/>
        <w:t>raised.</w:t>
      </w:r>
    </w:p>
    <w:p>
      <w:pPr>
        <w:pStyle w:val="BodyText"/>
        <w:rPr>
          <w:sz w:val="26"/>
        </w:rPr>
      </w:pPr>
    </w:p>
    <w:p>
      <w:pPr>
        <w:pStyle w:val="BodyText"/>
        <w:spacing w:line="259" w:lineRule="auto"/>
        <w:ind w:left="1387" w:right="7647"/>
      </w:pPr>
      <w:r>
        <w:rPr/>
        <w:t>Motion – Julius Lawrence Seconded – Tina Fitzgerald Carried Unanimously</w:t>
      </w:r>
    </w:p>
    <w:p>
      <w:pPr>
        <w:pStyle w:val="BodyText"/>
        <w:rPr>
          <w:sz w:val="26"/>
        </w:rPr>
      </w:pPr>
    </w:p>
    <w:p>
      <w:pPr>
        <w:pStyle w:val="BodyText"/>
        <w:spacing w:before="197"/>
        <w:ind w:left="668"/>
      </w:pPr>
      <w:r>
        <w:rPr>
          <w:u w:val="single"/>
        </w:rPr>
        <w:t>OLD BUSINESS</w:t>
      </w:r>
    </w:p>
    <w:p>
      <w:pPr>
        <w:pStyle w:val="BodyText"/>
        <w:spacing w:line="259" w:lineRule="auto" w:before="22"/>
        <w:ind w:left="668" w:right="788"/>
      </w:pPr>
      <w:r>
        <w:rPr/>
        <w:t>Mr. Julius Lawrence expressed his delight at having appointed a new CEO. Chairman Laino congratulated Mr. Lawrence on turning 80 years old and led the Board meeting in singing Happy Birthday to him.</w:t>
      </w:r>
    </w:p>
    <w:p>
      <w:pPr>
        <w:spacing w:after="0" w:line="259" w:lineRule="auto"/>
        <w:sectPr>
          <w:headerReference w:type="default" r:id="rId19"/>
          <w:pgSz w:w="12240" w:h="15840"/>
          <w:pgMar w:header="0" w:footer="0" w:top="1360" w:bottom="280" w:left="340" w:right="200"/>
        </w:sectPr>
      </w:pPr>
    </w:p>
    <w:p>
      <w:pPr>
        <w:pStyle w:val="BodyText"/>
        <w:spacing w:before="79"/>
        <w:ind w:left="668"/>
      </w:pPr>
      <w:r>
        <w:rPr>
          <w:u w:val="single"/>
        </w:rPr>
        <w:t>FUTURE BUSINESS</w:t>
      </w:r>
    </w:p>
    <w:p>
      <w:pPr>
        <w:pStyle w:val="BodyText"/>
        <w:spacing w:line="259" w:lineRule="auto" w:before="21"/>
        <w:ind w:left="668" w:right="664"/>
      </w:pPr>
      <w:r>
        <w:rPr/>
        <w:t>Vice-Chair</w:t>
      </w:r>
      <w:r>
        <w:rPr>
          <w:spacing w:val="-10"/>
        </w:rPr>
        <w:t> </w:t>
      </w:r>
      <w:r>
        <w:rPr/>
        <w:t>Davis</w:t>
      </w:r>
      <w:r>
        <w:rPr>
          <w:spacing w:val="-9"/>
        </w:rPr>
        <w:t> </w:t>
      </w:r>
      <w:r>
        <w:rPr/>
        <w:t>informed</w:t>
      </w:r>
      <w:r>
        <w:rPr>
          <w:spacing w:val="-10"/>
        </w:rPr>
        <w:t> </w:t>
      </w:r>
      <w:r>
        <w:rPr/>
        <w:t>the</w:t>
      </w:r>
      <w:r>
        <w:rPr>
          <w:spacing w:val="-10"/>
        </w:rPr>
        <w:t> </w:t>
      </w:r>
      <w:r>
        <w:rPr/>
        <w:t>Board</w:t>
      </w:r>
      <w:r>
        <w:rPr>
          <w:spacing w:val="-10"/>
        </w:rPr>
        <w:t> </w:t>
      </w:r>
      <w:r>
        <w:rPr/>
        <w:t>of</w:t>
      </w:r>
      <w:r>
        <w:rPr>
          <w:spacing w:val="-10"/>
        </w:rPr>
        <w:t> </w:t>
      </w:r>
      <w:r>
        <w:rPr/>
        <w:t>potential</w:t>
      </w:r>
      <w:r>
        <w:rPr>
          <w:spacing w:val="-8"/>
        </w:rPr>
        <w:t> </w:t>
      </w:r>
      <w:r>
        <w:rPr/>
        <w:t>move</w:t>
      </w:r>
      <w:r>
        <w:rPr>
          <w:spacing w:val="-11"/>
        </w:rPr>
        <w:t> </w:t>
      </w:r>
      <w:r>
        <w:rPr/>
        <w:t>of</w:t>
      </w:r>
      <w:r>
        <w:rPr>
          <w:spacing w:val="-10"/>
        </w:rPr>
        <w:t> </w:t>
      </w:r>
      <w:r>
        <w:rPr/>
        <w:t>students</w:t>
      </w:r>
      <w:r>
        <w:rPr>
          <w:spacing w:val="-8"/>
        </w:rPr>
        <w:t> </w:t>
      </w:r>
      <w:r>
        <w:rPr/>
        <w:t>attending</w:t>
      </w:r>
      <w:r>
        <w:rPr>
          <w:spacing w:val="-10"/>
        </w:rPr>
        <w:t> </w:t>
      </w:r>
      <w:r>
        <w:rPr/>
        <w:t>Dr.</w:t>
      </w:r>
      <w:r>
        <w:rPr>
          <w:spacing w:val="-10"/>
        </w:rPr>
        <w:t> </w:t>
      </w:r>
      <w:r>
        <w:rPr/>
        <w:t>King</w:t>
      </w:r>
      <w:r>
        <w:rPr>
          <w:spacing w:val="-9"/>
        </w:rPr>
        <w:t> </w:t>
      </w:r>
      <w:r>
        <w:rPr/>
        <w:t>Elementary</w:t>
      </w:r>
      <w:r>
        <w:rPr>
          <w:spacing w:val="-10"/>
        </w:rPr>
        <w:t> </w:t>
      </w:r>
      <w:r>
        <w:rPr/>
        <w:t>and</w:t>
      </w:r>
      <w:r>
        <w:rPr>
          <w:spacing w:val="-10"/>
        </w:rPr>
        <w:t> </w:t>
      </w:r>
      <w:r>
        <w:rPr/>
        <w:t>that there may be a need for Bus route changes as a</w:t>
      </w:r>
      <w:r>
        <w:rPr>
          <w:spacing w:val="-1"/>
        </w:rPr>
        <w:t> </w:t>
      </w:r>
      <w:r>
        <w:rPr/>
        <w:t>result.</w:t>
      </w:r>
    </w:p>
    <w:p>
      <w:pPr>
        <w:pStyle w:val="BodyText"/>
        <w:spacing w:before="9"/>
        <w:rPr>
          <w:sz w:val="25"/>
        </w:rPr>
      </w:pPr>
    </w:p>
    <w:p>
      <w:pPr>
        <w:pStyle w:val="BodyText"/>
        <w:spacing w:line="259" w:lineRule="auto" w:before="1"/>
        <w:ind w:left="667" w:right="1027"/>
      </w:pPr>
      <w:r>
        <w:rPr/>
        <w:t>Ms. Fitzgerald relayed her concerns about the training of drivers on the VIA system. Mr. Tuff informed everyone that Centro is currently working on additional training.</w:t>
      </w:r>
    </w:p>
    <w:p>
      <w:pPr>
        <w:pStyle w:val="BodyText"/>
        <w:rPr>
          <w:sz w:val="26"/>
        </w:rPr>
      </w:pPr>
    </w:p>
    <w:p>
      <w:pPr>
        <w:pStyle w:val="BodyText"/>
      </w:pPr>
    </w:p>
    <w:p>
      <w:pPr>
        <w:pStyle w:val="BodyText"/>
        <w:ind w:left="672" w:right="810"/>
        <w:jc w:val="center"/>
      </w:pPr>
      <w:r>
        <w:rPr>
          <w:u w:val="single"/>
        </w:rPr>
        <w:t>MANAGEMENT REPORT ON INTERNAL CONTROL</w:t>
      </w:r>
    </w:p>
    <w:p>
      <w:pPr>
        <w:pStyle w:val="BodyText"/>
        <w:spacing w:before="2"/>
        <w:rPr>
          <w:sz w:val="16"/>
        </w:rPr>
      </w:pPr>
    </w:p>
    <w:p>
      <w:pPr>
        <w:pStyle w:val="BodyText"/>
        <w:spacing w:before="90"/>
        <w:ind w:left="667" w:right="802"/>
        <w:jc w:val="both"/>
      </w:pPr>
      <w:r>
        <w:rPr/>
        <w:t>Mr. Tuff presented at the Governance Committee meeting the Management and Measurement Report on Internal Control for Fiscal Year ending March 31, 2025, along with the Strategic Planning Update. Committee Members received the reports prior to today’s meeting. The Authority is required to submit</w:t>
      </w:r>
      <w:r>
        <w:rPr>
          <w:spacing w:val="-31"/>
        </w:rPr>
        <w:t> </w:t>
      </w:r>
      <w:r>
        <w:rPr/>
        <w:t>the reports</w:t>
      </w:r>
      <w:r>
        <w:rPr>
          <w:spacing w:val="-5"/>
        </w:rPr>
        <w:t> </w:t>
      </w:r>
      <w:r>
        <w:rPr/>
        <w:t>annually,</w:t>
      </w:r>
      <w:r>
        <w:rPr>
          <w:spacing w:val="-4"/>
        </w:rPr>
        <w:t> </w:t>
      </w:r>
      <w:r>
        <w:rPr/>
        <w:t>certifying</w:t>
      </w:r>
      <w:r>
        <w:rPr>
          <w:spacing w:val="-4"/>
        </w:rPr>
        <w:t> </w:t>
      </w:r>
      <w:r>
        <w:rPr/>
        <w:t>that</w:t>
      </w:r>
      <w:r>
        <w:rPr>
          <w:spacing w:val="-4"/>
        </w:rPr>
        <w:t> </w:t>
      </w:r>
      <w:r>
        <w:rPr/>
        <w:t>it</w:t>
      </w:r>
      <w:r>
        <w:rPr>
          <w:spacing w:val="-3"/>
        </w:rPr>
        <w:t> </w:t>
      </w:r>
      <w:r>
        <w:rPr/>
        <w:t>followed</w:t>
      </w:r>
      <w:r>
        <w:rPr>
          <w:spacing w:val="-4"/>
        </w:rPr>
        <w:t> </w:t>
      </w:r>
      <w:r>
        <w:rPr/>
        <w:t>a</w:t>
      </w:r>
      <w:r>
        <w:rPr>
          <w:spacing w:val="-5"/>
        </w:rPr>
        <w:t> </w:t>
      </w:r>
      <w:r>
        <w:rPr/>
        <w:t>review</w:t>
      </w:r>
      <w:r>
        <w:rPr>
          <w:spacing w:val="-5"/>
        </w:rPr>
        <w:t> </w:t>
      </w:r>
      <w:r>
        <w:rPr/>
        <w:t>process</w:t>
      </w:r>
      <w:r>
        <w:rPr>
          <w:spacing w:val="-4"/>
        </w:rPr>
        <w:t> </w:t>
      </w:r>
      <w:r>
        <w:rPr/>
        <w:t>to</w:t>
      </w:r>
      <w:r>
        <w:rPr>
          <w:spacing w:val="-4"/>
        </w:rPr>
        <w:t> </w:t>
      </w:r>
      <w:r>
        <w:rPr/>
        <w:t>assess</w:t>
      </w:r>
      <w:r>
        <w:rPr>
          <w:spacing w:val="-4"/>
        </w:rPr>
        <w:t> </w:t>
      </w:r>
      <w:r>
        <w:rPr/>
        <w:t>the</w:t>
      </w:r>
      <w:r>
        <w:rPr>
          <w:spacing w:val="-6"/>
        </w:rPr>
        <w:t> </w:t>
      </w:r>
      <w:r>
        <w:rPr/>
        <w:t>adequacy</w:t>
      </w:r>
      <w:r>
        <w:rPr>
          <w:spacing w:val="-4"/>
        </w:rPr>
        <w:t> </w:t>
      </w:r>
      <w:r>
        <w:rPr/>
        <w:t>and</w:t>
      </w:r>
      <w:r>
        <w:rPr>
          <w:spacing w:val="-4"/>
        </w:rPr>
        <w:t> </w:t>
      </w:r>
      <w:r>
        <w:rPr/>
        <w:t>effectiveness</w:t>
      </w:r>
      <w:r>
        <w:rPr>
          <w:spacing w:val="-5"/>
        </w:rPr>
        <w:t> </w:t>
      </w:r>
      <w:r>
        <w:rPr/>
        <w:t>of</w:t>
      </w:r>
      <w:r>
        <w:rPr>
          <w:spacing w:val="-5"/>
        </w:rPr>
        <w:t> </w:t>
      </w:r>
      <w:r>
        <w:rPr/>
        <w:t>its internal control</w:t>
      </w:r>
      <w:r>
        <w:rPr>
          <w:spacing w:val="-1"/>
        </w:rPr>
        <w:t> </w:t>
      </w:r>
      <w:r>
        <w:rPr/>
        <w:t>system.</w:t>
      </w:r>
    </w:p>
    <w:p>
      <w:pPr>
        <w:pStyle w:val="BodyText"/>
        <w:rPr>
          <w:sz w:val="26"/>
        </w:rPr>
      </w:pPr>
    </w:p>
    <w:p>
      <w:pPr>
        <w:pStyle w:val="BodyText"/>
        <w:spacing w:before="9"/>
        <w:rPr>
          <w:sz w:val="25"/>
        </w:rPr>
      </w:pPr>
    </w:p>
    <w:p>
      <w:pPr>
        <w:pStyle w:val="BodyText"/>
        <w:ind w:left="668"/>
      </w:pPr>
      <w:r>
        <w:rPr>
          <w:u w:val="single"/>
        </w:rPr>
        <w:t>EXECUTIVE SESSION – MOTION NO. 2785</w:t>
      </w:r>
    </w:p>
    <w:p>
      <w:pPr>
        <w:pStyle w:val="BodyText"/>
        <w:spacing w:before="21"/>
        <w:ind w:left="668"/>
        <w:jc w:val="both"/>
      </w:pPr>
      <w:r>
        <w:rPr/>
        <w:t>A Motion to move the meeting into Executive Session to obtain advice from counsel was raised.</w:t>
      </w:r>
    </w:p>
    <w:p>
      <w:pPr>
        <w:pStyle w:val="BodyText"/>
        <w:spacing w:before="9"/>
        <w:rPr>
          <w:sz w:val="27"/>
        </w:rPr>
      </w:pPr>
    </w:p>
    <w:p>
      <w:pPr>
        <w:pStyle w:val="BodyText"/>
        <w:spacing w:line="259" w:lineRule="auto"/>
        <w:ind w:left="1387" w:right="7647"/>
      </w:pPr>
      <w:r>
        <w:rPr/>
        <w:t>Motion – Robert Cuculich Seconded – Tina Fitzgerald Carried Unanimously</w:t>
      </w:r>
    </w:p>
    <w:p>
      <w:pPr>
        <w:pStyle w:val="BodyText"/>
        <w:spacing w:before="198"/>
        <w:ind w:left="668"/>
        <w:jc w:val="both"/>
      </w:pPr>
      <w:r>
        <w:rPr/>
        <w:t>No action was taken in Executive Session.</w:t>
      </w:r>
    </w:p>
    <w:p>
      <w:pPr>
        <w:pStyle w:val="BodyText"/>
        <w:rPr>
          <w:sz w:val="26"/>
        </w:rPr>
      </w:pPr>
    </w:p>
    <w:p>
      <w:pPr>
        <w:pStyle w:val="BodyText"/>
        <w:spacing w:before="7"/>
        <w:rPr>
          <w:sz w:val="27"/>
        </w:rPr>
      </w:pPr>
    </w:p>
    <w:p>
      <w:pPr>
        <w:pStyle w:val="BodyText"/>
        <w:ind w:left="668"/>
      </w:pPr>
      <w:r>
        <w:rPr>
          <w:u w:val="single"/>
        </w:rPr>
        <w:t>ADJOURNED</w:t>
      </w:r>
    </w:p>
    <w:p>
      <w:pPr>
        <w:pStyle w:val="BodyText"/>
        <w:spacing w:line="261" w:lineRule="auto" w:before="22"/>
        <w:ind w:left="668" w:right="806"/>
        <w:jc w:val="both"/>
      </w:pPr>
      <w:r>
        <w:rPr/>
        <w:t>There</w:t>
      </w:r>
      <w:r>
        <w:rPr>
          <w:spacing w:val="-14"/>
        </w:rPr>
        <w:t> </w:t>
      </w:r>
      <w:r>
        <w:rPr/>
        <w:t>being</w:t>
      </w:r>
      <w:r>
        <w:rPr>
          <w:spacing w:val="-13"/>
        </w:rPr>
        <w:t> </w:t>
      </w:r>
      <w:r>
        <w:rPr/>
        <w:t>no</w:t>
      </w:r>
      <w:r>
        <w:rPr>
          <w:spacing w:val="-11"/>
        </w:rPr>
        <w:t> </w:t>
      </w:r>
      <w:r>
        <w:rPr/>
        <w:t>further</w:t>
      </w:r>
      <w:r>
        <w:rPr>
          <w:spacing w:val="-12"/>
        </w:rPr>
        <w:t> </w:t>
      </w:r>
      <w:r>
        <w:rPr/>
        <w:t>business</w:t>
      </w:r>
      <w:r>
        <w:rPr>
          <w:spacing w:val="-13"/>
        </w:rPr>
        <w:t> </w:t>
      </w:r>
      <w:r>
        <w:rPr/>
        <w:t>to</w:t>
      </w:r>
      <w:r>
        <w:rPr>
          <w:spacing w:val="-13"/>
        </w:rPr>
        <w:t> </w:t>
      </w:r>
      <w:r>
        <w:rPr/>
        <w:t>come</w:t>
      </w:r>
      <w:r>
        <w:rPr>
          <w:spacing w:val="-14"/>
        </w:rPr>
        <w:t> </w:t>
      </w:r>
      <w:r>
        <w:rPr/>
        <w:t>before</w:t>
      </w:r>
      <w:r>
        <w:rPr>
          <w:spacing w:val="-14"/>
        </w:rPr>
        <w:t> </w:t>
      </w:r>
      <w:r>
        <w:rPr/>
        <w:t>the</w:t>
      </w:r>
      <w:r>
        <w:rPr>
          <w:spacing w:val="-12"/>
        </w:rPr>
        <w:t> </w:t>
      </w:r>
      <w:r>
        <w:rPr/>
        <w:t>Board,</w:t>
      </w:r>
      <w:r>
        <w:rPr>
          <w:spacing w:val="-13"/>
        </w:rPr>
        <w:t> </w:t>
      </w:r>
      <w:r>
        <w:rPr/>
        <w:t>the</w:t>
      </w:r>
      <w:r>
        <w:rPr>
          <w:spacing w:val="-13"/>
        </w:rPr>
        <w:t> </w:t>
      </w:r>
      <w:r>
        <w:rPr/>
        <w:t>CNYRTA</w:t>
      </w:r>
      <w:r>
        <w:rPr>
          <w:spacing w:val="-12"/>
        </w:rPr>
        <w:t> </w:t>
      </w:r>
      <w:r>
        <w:rPr/>
        <w:t>and</w:t>
      </w:r>
      <w:r>
        <w:rPr>
          <w:spacing w:val="-11"/>
        </w:rPr>
        <w:t> </w:t>
      </w:r>
      <w:r>
        <w:rPr/>
        <w:t>its</w:t>
      </w:r>
      <w:r>
        <w:rPr>
          <w:spacing w:val="-13"/>
        </w:rPr>
        <w:t> </w:t>
      </w:r>
      <w:r>
        <w:rPr/>
        <w:t>Subsidiaries</w:t>
      </w:r>
      <w:r>
        <w:rPr>
          <w:spacing w:val="-13"/>
        </w:rPr>
        <w:t> </w:t>
      </w:r>
      <w:r>
        <w:rPr/>
        <w:t>Board</w:t>
      </w:r>
      <w:r>
        <w:rPr>
          <w:spacing w:val="-13"/>
        </w:rPr>
        <w:t> </w:t>
      </w:r>
      <w:r>
        <w:rPr/>
        <w:t>meeting was</w:t>
      </w:r>
      <w:r>
        <w:rPr>
          <w:spacing w:val="-1"/>
        </w:rPr>
        <w:t> </w:t>
      </w:r>
      <w:r>
        <w:rPr/>
        <w:t>adjourned.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r>
        <w:rPr/>
        <w:pict>
          <v:shape style="position:absolute;margin-left:302.399994pt;margin-top:16.929054pt;width:162pt;height:.1pt;mso-position-horizontal-relative:page;mso-position-vertical-relative:paragraph;z-index:-251651072;mso-wrap-distance-left:0;mso-wrap-distance-right:0" coordorigin="6048,339" coordsize="3240,0" path="m6048,339l9288,339e" filled="false" stroked="true" strokeweight=".48pt" strokecolor="#000000">
            <v:path arrowok="t"/>
            <v:stroke dashstyle="solid"/>
            <w10:wrap type="topAndBottom"/>
          </v:shape>
        </w:pict>
      </w:r>
    </w:p>
    <w:p>
      <w:pPr>
        <w:pStyle w:val="BodyText"/>
        <w:spacing w:line="268" w:lineRule="exact"/>
        <w:ind w:left="2911" w:right="811"/>
        <w:jc w:val="center"/>
      </w:pPr>
      <w:r>
        <w:rPr/>
        <w:t>Chairman</w:t>
      </w:r>
    </w:p>
    <w:p>
      <w:pPr>
        <w:pStyle w:val="BodyText"/>
        <w:rPr>
          <w:sz w:val="20"/>
        </w:rPr>
      </w:pPr>
    </w:p>
    <w:p>
      <w:pPr>
        <w:pStyle w:val="BodyText"/>
        <w:rPr>
          <w:sz w:val="26"/>
        </w:rPr>
      </w:pPr>
    </w:p>
    <w:p>
      <w:pPr>
        <w:pStyle w:val="BodyText"/>
        <w:spacing w:before="90"/>
        <w:ind w:left="667"/>
      </w:pPr>
      <w:r>
        <w:rPr/>
        <w:t>ATTEST: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pict>
          <v:shape style="position:absolute;margin-left:50.400002pt;margin-top:8.37363pt;width:150pt;height:.1pt;mso-position-horizontal-relative:page;mso-position-vertical-relative:paragraph;z-index:-251650048;mso-wrap-distance-left:0;mso-wrap-distance-right:0" coordorigin="1008,167" coordsize="3000,0" path="m1008,167l4008,167e" filled="false" stroked="true" strokeweight=".48pt" strokecolor="#000000">
            <v:path arrowok="t"/>
            <v:stroke dashstyle="solid"/>
            <w10:wrap type="topAndBottom"/>
          </v:shape>
        </w:pict>
      </w:r>
    </w:p>
    <w:p>
      <w:pPr>
        <w:pStyle w:val="BodyText"/>
        <w:spacing w:line="268" w:lineRule="exact"/>
        <w:ind w:left="668"/>
      </w:pPr>
      <w:r>
        <w:rPr/>
        <w:t>Secretary</w:t>
      </w:r>
    </w:p>
    <w:p>
      <w:pPr>
        <w:spacing w:after="0" w:line="268" w:lineRule="exact"/>
        <w:sectPr>
          <w:headerReference w:type="default" r:id="rId20"/>
          <w:pgSz w:w="12240" w:h="15840"/>
          <w:pgMar w:header="0" w:footer="0" w:top="1360" w:bottom="280" w:left="340" w:right="200"/>
        </w:sectPr>
      </w:pPr>
    </w:p>
    <w:p>
      <w:pPr>
        <w:tabs>
          <w:tab w:pos="4575" w:val="left" w:leader="none"/>
        </w:tabs>
        <w:spacing w:line="240" w:lineRule="auto"/>
        <w:ind w:left="872" w:right="0" w:firstLine="0"/>
        <w:rPr>
          <w:rFonts w:ascii="Times New Roman"/>
          <w:sz w:val="20"/>
        </w:rPr>
      </w:pPr>
      <w:r>
        <w:rPr>
          <w:rFonts w:ascii="Times New Roman"/>
          <w:position w:val="104"/>
          <w:sz w:val="20"/>
        </w:rPr>
        <w:pict>
          <v:shape style="width:134.25pt;height:5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4"/>
                  </w:tblGrid>
                  <w:tr>
                    <w:trPr>
                      <w:trHeight w:val="440" w:hRule="atLeast"/>
                    </w:trPr>
                    <w:tc>
                      <w:tcPr>
                        <w:tcW w:w="2684" w:type="dxa"/>
                      </w:tcPr>
                      <w:p>
                        <w:pPr>
                          <w:pStyle w:val="TableParagraph"/>
                          <w:spacing w:line="370" w:lineRule="exact"/>
                          <w:ind w:left="200"/>
                          <w:rPr>
                            <w:sz w:val="32"/>
                          </w:rPr>
                        </w:pPr>
                        <w:bookmarkStart w:name="CNY Centro, Inc. Investment Review as of" w:id="5"/>
                        <w:bookmarkEnd w:id="5"/>
                        <w:r>
                          <w:rPr/>
                        </w:r>
                        <w:bookmarkStart w:name="Slide 0" w:id="6"/>
                        <w:bookmarkEnd w:id="6"/>
                        <w:r>
                          <w:rPr/>
                        </w:r>
                        <w:r>
                          <w:rPr>
                            <w:w w:val="105"/>
                            <w:sz w:val="32"/>
                          </w:rPr>
                          <w:t>CNY Centro, Inc.</w:t>
                        </w:r>
                      </w:p>
                    </w:tc>
                  </w:tr>
                  <w:tr>
                    <w:trPr>
                      <w:trHeight w:val="658" w:hRule="atLeast"/>
                    </w:trPr>
                    <w:tc>
                      <w:tcPr>
                        <w:tcW w:w="2684" w:type="dxa"/>
                      </w:tcPr>
                      <w:p>
                        <w:pPr>
                          <w:pStyle w:val="TableParagraph"/>
                          <w:spacing w:before="65"/>
                          <w:ind w:left="222" w:right="223"/>
                          <w:jc w:val="center"/>
                          <w:rPr>
                            <w:sz w:val="26"/>
                          </w:rPr>
                        </w:pPr>
                        <w:r>
                          <w:rPr>
                            <w:w w:val="110"/>
                            <w:sz w:val="26"/>
                          </w:rPr>
                          <w:t>Investment Review</w:t>
                        </w:r>
                      </w:p>
                      <w:p>
                        <w:pPr>
                          <w:pStyle w:val="TableParagraph"/>
                          <w:spacing w:line="262" w:lineRule="exact" w:before="10"/>
                          <w:ind w:left="222" w:right="223"/>
                          <w:jc w:val="center"/>
                          <w:rPr>
                            <w:sz w:val="24"/>
                          </w:rPr>
                        </w:pPr>
                        <w:r>
                          <w:rPr>
                            <w:w w:val="115"/>
                            <w:sz w:val="24"/>
                          </w:rPr>
                          <w:t>As of</w:t>
                        </w:r>
                        <w:r>
                          <w:rPr>
                            <w:spacing w:val="-51"/>
                            <w:w w:val="115"/>
                            <w:sz w:val="24"/>
                          </w:rPr>
                          <w:t> </w:t>
                        </w:r>
                        <w:r>
                          <w:rPr>
                            <w:w w:val="115"/>
                            <w:sz w:val="24"/>
                          </w:rPr>
                          <w:t>6/30/2025</w:t>
                        </w:r>
                      </w:p>
                    </w:tc>
                  </w:tr>
                </w:tbl>
                <w:p>
                  <w:pPr>
                    <w:pStyle w:val="BodyText"/>
                  </w:pPr>
                </w:p>
              </w:txbxContent>
            </v:textbox>
          </v:shape>
        </w:pict>
      </w:r>
      <w:r>
        <w:rPr>
          <w:rFonts w:ascii="Times New Roman"/>
          <w:position w:val="104"/>
          <w:sz w:val="20"/>
        </w:rPr>
      </w:r>
      <w:r>
        <w:rPr>
          <w:rFonts w:ascii="Times New Roman"/>
          <w:position w:val="104"/>
          <w:sz w:val="20"/>
        </w:rPr>
        <w:tab/>
      </w:r>
      <w:r>
        <w:rPr>
          <w:rFonts w:ascii="Times New Roman"/>
          <w:sz w:val="20"/>
        </w:rPr>
        <w:pict>
          <v:group style="width:453.45pt;height:111.65pt;mso-position-horizontal-relative:char;mso-position-vertical-relative:line" coordorigin="0,0" coordsize="9069,2233">
            <v:shape style="position:absolute;left:0;top:0;width:9069;height:2233" coordorigin="0,0" coordsize="9069,2233" path="m9068,0l0,0,11,2232,5560,2232,6625,128,9068,128,9068,0xm9068,128l6625,128,7564,2232,9068,2232,9068,128xe" filled="true" fillcolor="#0d0d0d" stroked="false">
              <v:path arrowok="t"/>
              <v:fill opacity="12850f" type="solid"/>
            </v:shape>
          </v:group>
        </w:pict>
      </w:r>
      <w:r>
        <w:rPr>
          <w:rFonts w:ascii="Times New Roman"/>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r>
        <w:rPr/>
        <w:pict>
          <v:shape style="position:absolute;margin-left:229.751297pt;margin-top:11.188881pt;width:242.1pt;height:91.15pt;mso-position-horizontal-relative:page;mso-position-vertical-relative:paragraph;z-index:-251648000;mso-wrap-distance-left:0;mso-wrap-distance-right:0" coordorigin="4595,224" coordsize="4842,1823" path="m9437,224l4595,224,4595,2046,8620,2046,9437,224xe" filled="true" fillcolor="#0d0d0d" stroked="false">
            <v:path arrowok="t"/>
            <v:fill opacity="12850f" type="solid"/>
            <w10:wrap type="topAndBottom"/>
          </v:shape>
        </w:pict>
      </w:r>
      <w:r>
        <w:rPr/>
        <w:pict>
          <v:shape style="position:absolute;margin-left:643.671814pt;margin-top:11.188867pt;width:39.450pt;height:91.15pt;mso-position-horizontal-relative:page;mso-position-vertical-relative:paragraph;z-index:-251646976;mso-wrap-distance-left:0;mso-wrap-distance-right:0" coordorigin="12873,224" coordsize="789,1823" path="m13662,224l12873,224,13662,2046,13662,224xe" filled="true" fillcolor="#0d0d0d" stroked="false">
            <v:path arrowok="t"/>
            <v:fill opacity="12850f"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before="123"/>
        <w:ind w:left="634" w:right="0" w:firstLine="0"/>
        <w:jc w:val="left"/>
        <w:rPr>
          <w:rFonts w:ascii="Cambria"/>
          <w:b/>
          <w:sz w:val="40"/>
        </w:rPr>
      </w:pPr>
      <w:r>
        <w:rPr/>
        <w:pict>
          <v:shape style="position:absolute;margin-left:229.751312pt;margin-top:7.047215pt;width:165pt;height:100.8pt;mso-position-horizontal-relative:page;mso-position-vertical-relative:paragraph;z-index:251670528" coordorigin="4595,141" coordsize="3300,2016" path="m7895,141l4595,141,4595,2156,7025,2156,7895,141xe" filled="true" fillcolor="#0d0d0d" stroked="false">
            <v:path arrowok="t"/>
            <v:fill opacity="12850f" type="solid"/>
            <w10:wrap type="none"/>
          </v:shape>
        </w:pict>
      </w:r>
      <w:r>
        <w:rPr>
          <w:rFonts w:ascii="Cambria"/>
          <w:b/>
          <w:w w:val="105"/>
          <w:sz w:val="40"/>
        </w:rPr>
        <w:t>Alesco Advisors</w:t>
      </w:r>
    </w:p>
    <w:p>
      <w:pPr>
        <w:pStyle w:val="Heading6"/>
        <w:spacing w:line="302" w:lineRule="auto" w:before="61"/>
        <w:ind w:right="10308"/>
      </w:pPr>
      <w:r>
        <w:rPr>
          <w:w w:val="110"/>
        </w:rPr>
        <w:t>120 Office Park Way Pittsford NY 14534</w:t>
      </w:r>
    </w:p>
    <w:p>
      <w:pPr>
        <w:spacing w:line="300" w:lineRule="exact" w:before="0"/>
        <w:ind w:left="620" w:right="0" w:firstLine="0"/>
        <w:jc w:val="left"/>
        <w:rPr>
          <w:rFonts w:ascii="Gill Sans MT"/>
          <w:sz w:val="26"/>
        </w:rPr>
      </w:pPr>
      <w:r>
        <w:rPr>
          <w:rFonts w:ascii="Gill Sans MT"/>
          <w:w w:val="115"/>
          <w:sz w:val="26"/>
        </w:rPr>
        <w:t>585.586.0970</w:t>
      </w:r>
    </w:p>
    <w:p>
      <w:pPr>
        <w:spacing w:before="80"/>
        <w:ind w:left="620" w:right="0" w:firstLine="0"/>
        <w:jc w:val="left"/>
        <w:rPr>
          <w:rFonts w:ascii="Gill Sans MT"/>
          <w:sz w:val="26"/>
        </w:rPr>
      </w:pPr>
      <w:r>
        <w:rPr>
          <w:rFonts w:ascii="Gill Sans MT"/>
          <w:w w:val="115"/>
          <w:sz w:val="26"/>
        </w:rPr>
        <w:t>alescoadvisors.com</w:t>
      </w:r>
    </w:p>
    <w:p>
      <w:pPr>
        <w:spacing w:after="0"/>
        <w:jc w:val="left"/>
        <w:rPr>
          <w:rFonts w:ascii="Gill Sans MT"/>
          <w:sz w:val="26"/>
        </w:rPr>
        <w:sectPr>
          <w:headerReference w:type="default" r:id="rId21"/>
          <w:pgSz w:w="14400" w:h="10800" w:orient="landscape"/>
          <w:pgMar w:header="0" w:footer="0" w:top="760" w:bottom="280" w:left="20" w:right="40"/>
        </w:sectPr>
      </w:pPr>
    </w:p>
    <w:tbl>
      <w:tblPr>
        <w:tblW w:w="0" w:type="auto"/>
        <w:jc w:val="left"/>
        <w:tblInd w:w="8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7"/>
      </w:tblGrid>
      <w:tr>
        <w:trPr>
          <w:trHeight w:val="389" w:hRule="atLeast"/>
        </w:trPr>
        <w:tc>
          <w:tcPr>
            <w:tcW w:w="5067" w:type="dxa"/>
          </w:tcPr>
          <w:p>
            <w:pPr>
              <w:pStyle w:val="TableParagraph"/>
              <w:ind w:right="197"/>
              <w:jc w:val="right"/>
              <w:rPr>
                <w:sz w:val="28"/>
              </w:rPr>
            </w:pPr>
            <w:bookmarkStart w:name="Slide 1: Overall Portfolio" w:id="7"/>
            <w:bookmarkEnd w:id="7"/>
            <w:r>
              <w:rPr/>
            </w:r>
            <w:r>
              <w:rPr>
                <w:w w:val="105"/>
                <w:sz w:val="28"/>
              </w:rPr>
              <w:t>CNY Centro, Inc. Non-Salaried DB Plan</w:t>
            </w:r>
          </w:p>
        </w:tc>
      </w:tr>
      <w:tr>
        <w:trPr>
          <w:trHeight w:val="363" w:hRule="atLeast"/>
        </w:trPr>
        <w:tc>
          <w:tcPr>
            <w:tcW w:w="5067"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spacing w:before="9"/>
        <w:rPr>
          <w:rFonts w:ascii="Gill Sans MT"/>
          <w:sz w:val="17"/>
        </w:rPr>
      </w:pPr>
    </w:p>
    <w:p>
      <w:pPr>
        <w:spacing w:before="99"/>
        <w:ind w:left="6986" w:right="0" w:firstLine="0"/>
        <w:jc w:val="left"/>
        <w:rPr>
          <w:rFonts w:ascii="Gill Sans MT"/>
          <w:sz w:val="20"/>
        </w:rPr>
      </w:pPr>
      <w:r>
        <w:rPr>
          <w:rFonts w:ascii="Gill Sans MT"/>
          <w:w w:val="110"/>
          <w:sz w:val="20"/>
        </w:rPr>
        <w:t>Cash: 1.6%</w:t>
      </w:r>
    </w:p>
    <w:p>
      <w:pPr>
        <w:spacing w:before="28"/>
        <w:ind w:left="6940" w:right="0" w:firstLine="0"/>
        <w:jc w:val="left"/>
        <w:rPr>
          <w:rFonts w:ascii="Gill Sans MT"/>
          <w:sz w:val="20"/>
        </w:rPr>
      </w:pPr>
      <w:r>
        <w:rPr>
          <w:rFonts w:ascii="Gill Sans MT"/>
          <w:w w:val="110"/>
          <w:sz w:val="20"/>
        </w:rPr>
        <w:t>(IPS Range: 0%-12%)</w:t>
      </w:r>
    </w:p>
    <w:p>
      <w:pPr>
        <w:pStyle w:val="BodyText"/>
        <w:spacing w:before="1"/>
        <w:rPr>
          <w:rFonts w:ascii="Gill Sans MT"/>
          <w:sz w:val="19"/>
        </w:rPr>
      </w:pPr>
    </w:p>
    <w:p>
      <w:pPr>
        <w:spacing w:after="0"/>
        <w:rPr>
          <w:rFonts w:ascii="Gill Sans MT"/>
          <w:sz w:val="19"/>
        </w:rPr>
        <w:sectPr>
          <w:headerReference w:type="default" r:id="rId22"/>
          <w:footerReference w:type="default" r:id="rId23"/>
          <w:pgSz w:w="14400" w:h="10800" w:orient="landscape"/>
          <w:pgMar w:header="601" w:footer="1505" w:top="800" w:bottom="1700" w:left="20" w:right="40"/>
          <w:pgNumType w:start="1"/>
        </w:sectPr>
      </w:pPr>
    </w:p>
    <w:p>
      <w:pPr>
        <w:spacing w:before="99"/>
        <w:ind w:left="2481" w:right="0" w:firstLine="0"/>
        <w:jc w:val="left"/>
        <w:rPr>
          <w:rFonts w:ascii="Gill Sans MT"/>
          <w:sz w:val="20"/>
        </w:rPr>
      </w:pPr>
      <w:r>
        <w:rPr>
          <w:rFonts w:ascii="Gill Sans MT"/>
          <w:w w:val="110"/>
          <w:sz w:val="20"/>
        </w:rPr>
        <w:t>Fixed Income: 25.8%</w:t>
      </w:r>
    </w:p>
    <w:p>
      <w:pPr>
        <w:spacing w:before="5"/>
        <w:ind w:left="2407" w:right="0" w:firstLine="0"/>
        <w:jc w:val="left"/>
        <w:rPr>
          <w:rFonts w:ascii="Gill Sans MT"/>
          <w:sz w:val="20"/>
        </w:rPr>
      </w:pPr>
      <w:r>
        <w:rPr>
          <w:rFonts w:ascii="Gill Sans MT"/>
          <w:w w:val="110"/>
          <w:sz w:val="20"/>
        </w:rPr>
        <w:t>(IPS Range: 15%-35%)</w:t>
      </w:r>
    </w:p>
    <w:p>
      <w:pPr>
        <w:pStyle w:val="BodyText"/>
        <w:rPr>
          <w:rFonts w:ascii="Gill Sans MT"/>
          <w:sz w:val="22"/>
        </w:rPr>
      </w:pPr>
      <w:r>
        <w:rPr/>
        <w:br w:type="column"/>
      </w:r>
      <w:r>
        <w:rPr>
          <w:rFonts w:ascii="Gill Sans MT"/>
          <w:sz w:val="22"/>
        </w:rPr>
      </w:r>
    </w:p>
    <w:p>
      <w:pPr>
        <w:pStyle w:val="BodyText"/>
        <w:spacing w:before="10"/>
        <w:rPr>
          <w:rFonts w:ascii="Gill Sans MT"/>
          <w:sz w:val="23"/>
        </w:rPr>
      </w:pPr>
    </w:p>
    <w:p>
      <w:pPr>
        <w:spacing w:before="0"/>
        <w:ind w:left="2447" w:right="0" w:firstLine="0"/>
        <w:jc w:val="left"/>
        <w:rPr>
          <w:rFonts w:ascii="Gill Sans MT"/>
          <w:sz w:val="20"/>
        </w:rPr>
      </w:pPr>
      <w:r>
        <w:rPr/>
        <w:pict>
          <v:group style="position:absolute;margin-left:224.889999pt;margin-top:-32.138004pt;width:270.25pt;height:270.1pt;mso-position-horizontal-relative:page;mso-position-vertical-relative:paragraph;z-index:251671552" coordorigin="4498,-643" coordsize="5405,5402">
            <v:shape style="position:absolute;left:7201;top:-643;width:275;height:2680" coordorigin="7201,-643" coordsize="275,2680" path="m7201,-643l7201,2037,7476,-629,7408,-635,7339,-639,7270,-642,7201,-643xe" filled="true" fillcolor="#000000" stroked="false">
              <v:path arrowok="t"/>
              <v:fill type="solid"/>
            </v:shape>
            <v:shape style="position:absolute;left:4858;top:-587;width:5045;height:5347" coordorigin="4858,-587" coordsize="5045,5347" path="m7497,-587l7222,2079,4858,3341,4896,3410,4936,3477,4977,3543,5021,3607,5066,3670,5113,3732,5161,3792,5211,3851,5263,3907,5316,3963,5371,4017,5427,4069,5484,4119,5543,4168,5603,4215,5665,4260,5727,4303,5791,4345,5857,4385,5923,4423,5990,4459,6059,4493,6128,4526,6198,4556,6270,4584,6342,4610,6415,4635,6489,4657,6564,4677,6639,4695,6715,4711,6792,4724,6869,4736,6947,4745,7023,4752,7099,4756,7174,4759,7249,4759,7324,4757,7398,4754,7472,4748,7545,4740,7618,4730,7690,4719,7761,4705,7832,4689,7902,4672,7972,4653,8041,4632,8109,4609,8176,4584,8243,4558,8309,4530,8373,4500,8437,4468,8500,4435,8562,4400,8624,4364,8684,4326,8743,4286,8800,4245,8857,4203,8913,4159,8967,4113,9021,4066,9073,4018,9123,3968,9173,3917,9221,3865,9268,3811,9313,3756,9357,3700,9399,3643,9440,3584,9480,3524,9518,3464,9554,3402,9589,3338,9622,3274,9653,3209,9683,3143,9711,3076,9737,3007,9761,2938,9784,2868,9805,2797,9824,2725,9840,2653,9855,2579,9868,2505,9879,2430,9888,2354,9895,2278,9900,2202,9902,2127,9902,2052,9901,1977,9897,1903,9891,1830,9883,1756,9874,1684,9862,1612,9848,1540,9833,1469,9815,1399,9796,1329,9775,1260,9752,1192,9727,1125,9701,1058,9673,993,9643,928,9611,864,9578,801,9543,739,9507,678,9469,618,9429,559,9388,501,9346,444,9302,388,9256,334,9209,281,9161,229,9111,178,9060,128,9008,80,8954,34,8900,-12,8843,-56,8786,-98,8727,-139,8668,-179,8607,-216,8545,-253,8482,-288,8418,-321,8352,-352,8286,-382,8219,-410,8151,-436,8082,-460,8011,-483,7940,-504,7869,-522,7796,-539,7723,-554,7648,-567,7573,-578,7497,-587xe" filled="true" fillcolor="#014612" stroked="false">
              <v:path arrowok="t"/>
              <v:fill type="solid"/>
            </v:shape>
            <v:shape style="position:absolute;left:4497;top:2071;width:2677;height:1262" coordorigin="4498,2071" coordsize="2677,1262" path="m7174,2071l4498,2211,4503,2289,4511,2367,4520,2445,4532,2522,4547,2599,4563,2676,4582,2751,4603,2827,4626,2901,4651,2975,4679,3049,4708,3121,4740,3193,4774,3263,4810,3333,7174,2071xe" filled="true" fillcolor="#432a8d" stroked="false">
              <v:path arrowok="t"/>
              <v:fill type="solid"/>
            </v:shape>
            <v:shape style="position:absolute;left:4500;top:-635;width:2681;height:2820" coordorigin="4501,-635" coordsize="2681,2820" path="m7181,-635l7111,-634,7041,-631,6965,-626,6889,-619,6814,-609,6740,-598,6667,-585,6594,-570,6522,-553,6451,-534,6381,-513,6311,-490,6243,-466,6175,-440,6108,-411,6043,-382,5978,-350,5914,-317,5851,-282,5790,-246,5729,-208,5670,-168,5611,-127,5554,-85,5498,-41,5444,4,5390,51,5338,99,5287,149,5238,200,5189,252,5143,305,5097,360,5053,415,5011,472,4970,530,4930,590,4892,650,4856,711,4821,773,4788,836,4757,901,4727,966,4699,1032,4673,1099,4648,1166,4625,1235,4604,1304,4585,1374,4568,1445,4553,1516,4539,1589,4528,1661,4518,1735,4511,1808,4505,1883,4502,1958,4501,2033,4501,2109,4504,2185,7181,2046,7181,-635xe" filled="true" fillcolor="#001f5f" stroked="false">
              <v:path arrowok="t"/>
              <v:fill type="solid"/>
            </v:shape>
            <w10:wrap type="none"/>
          </v:group>
        </w:pict>
      </w:r>
      <w:r>
        <w:rPr>
          <w:rFonts w:ascii="Gill Sans MT"/>
          <w:w w:val="110"/>
          <w:sz w:val="20"/>
        </w:rPr>
        <w:t>Equity: 65.6%</w:t>
      </w:r>
    </w:p>
    <w:p>
      <w:pPr>
        <w:spacing w:before="31"/>
        <w:ind w:left="2407" w:right="0" w:firstLine="0"/>
        <w:jc w:val="left"/>
        <w:rPr>
          <w:rFonts w:ascii="Gill Sans MT"/>
          <w:sz w:val="20"/>
        </w:rPr>
      </w:pPr>
      <w:r>
        <w:rPr>
          <w:rFonts w:ascii="Gill Sans MT"/>
          <w:w w:val="110"/>
          <w:sz w:val="20"/>
        </w:rPr>
        <w:t>(IPS Range: 51%-71%)</w:t>
      </w:r>
    </w:p>
    <w:p>
      <w:pPr>
        <w:spacing w:after="0"/>
        <w:jc w:val="left"/>
        <w:rPr>
          <w:rFonts w:ascii="Gill Sans MT"/>
          <w:sz w:val="20"/>
        </w:rPr>
        <w:sectPr>
          <w:type w:val="continuous"/>
          <w:pgSz w:w="14400" w:h="10800" w:orient="landscape"/>
          <w:pgMar w:top="180" w:bottom="280" w:left="20" w:right="40"/>
          <w:cols w:num="2" w:equalWidth="0">
            <w:col w:w="4388" w:space="3204"/>
            <w:col w:w="6748"/>
          </w:cols>
        </w:sect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9"/>
        <w:rPr>
          <w:rFonts w:ascii="Gill Sans MT"/>
        </w:rPr>
      </w:pPr>
    </w:p>
    <w:p>
      <w:pPr>
        <w:spacing w:line="261" w:lineRule="auto" w:before="99"/>
        <w:ind w:left="2223" w:right="10199" w:hanging="438"/>
        <w:jc w:val="left"/>
        <w:rPr>
          <w:rFonts w:ascii="Gill Sans MT"/>
          <w:sz w:val="20"/>
        </w:rPr>
      </w:pPr>
      <w:r>
        <w:rPr>
          <w:rFonts w:ascii="Gill Sans MT"/>
          <w:w w:val="115"/>
          <w:sz w:val="20"/>
        </w:rPr>
        <w:t>Real Return Assets: 7.0% (IPS Range: 2%-22%)</w:t>
      </w:r>
    </w:p>
    <w:p>
      <w:pPr>
        <w:spacing w:after="0" w:line="261" w:lineRule="auto"/>
        <w:jc w:val="left"/>
        <w:rPr>
          <w:rFonts w:ascii="Gill Sans MT"/>
          <w:sz w:val="20"/>
        </w:rPr>
        <w:sectPr>
          <w:type w:val="continuous"/>
          <w:pgSz w:w="14400" w:h="10800" w:orient="landscape"/>
          <w:pgMar w:top="180" w:bottom="280" w:left="20" w:right="40"/>
        </w:sectPr>
      </w:pPr>
    </w:p>
    <w:tbl>
      <w:tblPr>
        <w:tblW w:w="0" w:type="auto"/>
        <w:jc w:val="left"/>
        <w:tblInd w:w="8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7"/>
      </w:tblGrid>
      <w:tr>
        <w:trPr>
          <w:trHeight w:val="389" w:hRule="atLeast"/>
        </w:trPr>
        <w:tc>
          <w:tcPr>
            <w:tcW w:w="5067" w:type="dxa"/>
          </w:tcPr>
          <w:p>
            <w:pPr>
              <w:pStyle w:val="TableParagraph"/>
              <w:ind w:right="197"/>
              <w:jc w:val="right"/>
              <w:rPr>
                <w:sz w:val="28"/>
              </w:rPr>
            </w:pPr>
            <w:bookmarkStart w:name="Slide 2: Equity" w:id="8"/>
            <w:bookmarkEnd w:id="8"/>
            <w:r>
              <w:rPr/>
            </w:r>
            <w:r>
              <w:rPr>
                <w:w w:val="105"/>
                <w:sz w:val="28"/>
              </w:rPr>
              <w:t>CNY Centro, Inc. Non-Salaried DB Plan</w:t>
            </w:r>
          </w:p>
        </w:tc>
      </w:tr>
      <w:tr>
        <w:trPr>
          <w:trHeight w:val="363" w:hRule="atLeast"/>
        </w:trPr>
        <w:tc>
          <w:tcPr>
            <w:tcW w:w="5067"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spacing w:after="0"/>
        <w:rPr>
          <w:rFonts w:ascii="Gill Sans MT"/>
          <w:sz w:val="20"/>
        </w:rPr>
        <w:sectPr>
          <w:headerReference w:type="default" r:id="rId24"/>
          <w:footerReference w:type="default" r:id="rId25"/>
          <w:pgSz w:w="14400" w:h="10800" w:orient="landscape"/>
          <w:pgMar w:header="601" w:footer="1505" w:top="800" w:bottom="1700" w:left="20" w:right="40"/>
          <w:pgNumType w:start="2"/>
        </w:sectPr>
      </w:pPr>
    </w:p>
    <w:p>
      <w:pPr>
        <w:pStyle w:val="BodyText"/>
        <w:spacing w:before="7"/>
        <w:rPr>
          <w:rFonts w:ascii="Gill Sans MT"/>
          <w:sz w:val="23"/>
        </w:rPr>
      </w:pPr>
    </w:p>
    <w:p>
      <w:pPr>
        <w:tabs>
          <w:tab w:pos="5877" w:val="left" w:leader="none"/>
        </w:tabs>
        <w:spacing w:before="0"/>
        <w:ind w:left="3540" w:right="0" w:firstLine="0"/>
        <w:jc w:val="left"/>
        <w:rPr>
          <w:rFonts w:ascii="Gill Sans MT"/>
          <w:sz w:val="18"/>
        </w:rPr>
      </w:pPr>
      <w:r>
        <w:rPr>
          <w:rFonts w:ascii="Gill Sans MT"/>
          <w:w w:val="110"/>
          <w:sz w:val="18"/>
        </w:rPr>
        <w:t>U.S. Mid</w:t>
      </w:r>
      <w:r>
        <w:rPr>
          <w:rFonts w:ascii="Gill Sans MT"/>
          <w:spacing w:val="-20"/>
          <w:w w:val="110"/>
          <w:sz w:val="18"/>
        </w:rPr>
        <w:t> </w:t>
      </w:r>
      <w:r>
        <w:rPr>
          <w:rFonts w:ascii="Gill Sans MT"/>
          <w:w w:val="110"/>
          <w:sz w:val="18"/>
        </w:rPr>
        <w:t>Blend:</w:t>
      </w:r>
      <w:r>
        <w:rPr>
          <w:rFonts w:ascii="Gill Sans MT"/>
          <w:spacing w:val="-9"/>
          <w:w w:val="110"/>
          <w:sz w:val="18"/>
        </w:rPr>
        <w:t> </w:t>
      </w:r>
      <w:r>
        <w:rPr>
          <w:rFonts w:ascii="Gill Sans MT"/>
          <w:w w:val="110"/>
          <w:sz w:val="18"/>
        </w:rPr>
        <w:t>8.9%</w:t>
        <w:tab/>
      </w:r>
      <w:r>
        <w:rPr>
          <w:rFonts w:ascii="Gill Sans MT"/>
          <w:w w:val="110"/>
          <w:position w:val="2"/>
          <w:sz w:val="18"/>
        </w:rPr>
        <w:t>U.S. Small Blend:</w:t>
      </w:r>
      <w:r>
        <w:rPr>
          <w:rFonts w:ascii="Gill Sans MT"/>
          <w:spacing w:val="-34"/>
          <w:w w:val="110"/>
          <w:position w:val="2"/>
          <w:sz w:val="18"/>
        </w:rPr>
        <w:t> </w:t>
      </w:r>
      <w:r>
        <w:rPr>
          <w:rFonts w:ascii="Gill Sans MT"/>
          <w:w w:val="110"/>
          <w:position w:val="2"/>
          <w:sz w:val="18"/>
        </w:rPr>
        <w:t>6.5%</w:t>
      </w:r>
    </w:p>
    <w:p>
      <w:pPr>
        <w:pStyle w:val="BodyText"/>
        <w:spacing w:before="6"/>
        <w:rPr>
          <w:rFonts w:ascii="Gill Sans MT"/>
          <w:sz w:val="18"/>
        </w:rPr>
      </w:pPr>
    </w:p>
    <w:p>
      <w:pPr>
        <w:spacing w:line="195" w:lineRule="exact" w:before="1"/>
        <w:ind w:left="0" w:right="0" w:firstLine="0"/>
        <w:jc w:val="right"/>
        <w:rPr>
          <w:rFonts w:ascii="Gill Sans MT"/>
          <w:sz w:val="18"/>
        </w:rPr>
      </w:pPr>
      <w:r>
        <w:rPr/>
        <w:pict>
          <v:group style="position:absolute;margin-left:158.526108pt;margin-top:-.767197pt;width:324.2pt;height:251.3pt;mso-position-horizontal-relative:page;mso-position-vertical-relative:paragraph;z-index:-267026432" coordorigin="3171,-15" coordsize="6484,5026">
            <v:shape style="position:absolute;left:7200;top:361;width:2447;height:4280" coordorigin="7200,362" coordsize="2447,4280" path="m7200,506l9646,362m7200,4497l9646,4641e" filled="false" stroked="true" strokeweight=".75pt" strokecolor="#0d0d0d">
              <v:path arrowok="t"/>
              <v:stroke dashstyle="solid"/>
            </v:shape>
            <v:shape style="position:absolute;left:3170;top:735;width:3986;height:4275" coordorigin="3171,735" coordsize="3986,4275" path="m3921,735l3867,789,3815,845,3765,901,3718,959,3672,1018,3628,1078,3586,1139,3546,1201,3508,1264,3472,1328,3438,1393,3406,1458,3376,1525,3348,1592,3323,1659,3299,1727,3277,1796,3257,1866,3239,1935,3224,2006,3210,2076,3198,2147,3189,2218,3181,2290,3175,2361,3172,2433,3171,2505,3171,2577,3174,2648,3179,2720,3186,2792,3194,2863,3205,2935,3219,3006,3234,3077,3251,3147,3270,3217,3292,3287,3315,3356,3341,3425,3369,3493,3399,3560,3431,3627,3465,3693,3501,3758,3540,3823,3580,3887,3623,3949,3668,4011,3714,4071,3762,4130,3812,4187,3863,4241,3915,4294,3968,4346,4023,4395,4079,4442,4136,4488,4194,4532,4253,4574,4314,4614,4375,4652,4437,4688,4500,4723,4564,4755,4628,4786,4694,4814,4760,4841,4827,4866,4894,4888,4962,4909,5030,4928,5099,4945,5168,4960,5238,4973,5308,4984,5378,4994,5449,5001,5520,5006,5590,5009,5661,5010,5732,5009,5803,5006,5874,5001,5945,4994,6016,4985,6087,4974,6157,4961,6227,4946,6297,4928,6367,4909,6436,4888,6504,4864,6572,4839,6640,4811,6707,4781,6774,4749,6839,4715,6904,4679,6969,4641,7032,4600,7095,4558,7156,4513,5663,2517,3921,735xe" filled="true" fillcolor="#12381b" stroked="false">
              <v:path arrowok="t"/>
              <v:fill type="solid"/>
            </v:shape>
            <v:shape style="position:absolute;left:3924;top:359;width:1742;height:2122" coordorigin="3924,360" coordsize="1742,2122" path="m4359,360l4292,402,4227,447,4163,494,4101,542,4041,593,3982,645,3924,699,5666,2482,4359,360xe" filled="true" fillcolor="#c5dfb4" stroked="false">
              <v:path arrowok="t"/>
              <v:fill type="solid"/>
            </v:shape>
            <v:shape style="position:absolute;left:4367;top:-15;width:1329;height:2493" coordorigin="4367,-15" coordsize="1329,2493" path="m5696,-15l5618,-14,5540,-11,5462,-6,5385,2,5308,12,5232,25,5156,40,5080,57,5005,77,4931,99,4858,123,4785,149,4713,178,4642,209,4572,242,4503,278,4434,316,4367,355,5675,2477,5696,-15xe" filled="true" fillcolor="#a9d08e" stroked="false">
              <v:path arrowok="t"/>
              <v:fill type="solid"/>
            </v:shape>
            <v:shape style="position:absolute;left:5687;top:-16;width:1015;height:2493" coordorigin="5687,-15" coordsize="1015,2493" path="m5708,-15l5687,2477,6702,200,6629,169,6555,141,6481,115,6406,91,6330,69,6254,50,6177,33,6100,19,6022,7,5944,-2,5865,-9,5787,-13,5708,-15xe" filled="true" fillcolor="#014612" stroked="false">
              <v:path arrowok="t"/>
              <v:fill type="solid"/>
            </v:shape>
            <v:shape style="position:absolute;left:5694;top:203;width:1494;height:2277" coordorigin="5694,203" coordsize="1494,2277" path="m6709,203l5694,2480,7188,484,7123,438,7058,393,6990,351,6922,311,6852,273,6781,237,6709,203xe" filled="true" fillcolor="#375522" stroked="false">
              <v:path arrowok="t"/>
              <v:fill type="solid"/>
            </v:shape>
            <v:shape style="position:absolute;left:5706;top:506;width:2493;height:3991" coordorigin="5707,506" coordsize="2493,3991" path="m7200,506l5707,2501,7200,4497,7263,4448,7324,4398,7383,4345,7441,4291,7497,4235,7551,4178,7603,4118,7653,4057,7702,3995,7747,3933,7789,3871,7830,3807,7868,3743,7904,3678,7938,3612,7970,3546,8000,3479,8028,3411,8053,3343,8077,3274,8098,3205,8118,3136,8135,3066,8150,2996,8163,2925,8174,2855,8183,2784,8190,2713,8195,2642,8198,2571,8199,2500,8198,2429,8195,2358,8190,2287,8183,2217,8174,2147,8162,2077,8149,2007,8134,1938,8117,1869,8098,1800,8078,1732,8055,1665,8030,1598,8003,1532,7975,1467,7944,1402,7912,1338,7877,1275,7841,1213,7803,1152,7763,1092,7721,1033,7677,974,7632,917,7584,861,7535,807,7484,753,7431,701,7376,650,7319,601,7261,553,7200,506xe" filled="true" fillcolor="#698a70" stroked="false">
              <v:path arrowok="t"/>
              <v:fill type="solid"/>
            </v:shape>
            <w10:wrap type="none"/>
          </v:group>
        </w:pict>
      </w:r>
      <w:r>
        <w:rPr>
          <w:rFonts w:ascii="Gill Sans MT"/>
          <w:w w:val="115"/>
          <w:sz w:val="18"/>
        </w:rPr>
        <w:t>U.S. Small Value: 3.6%</w:t>
      </w:r>
    </w:p>
    <w:p>
      <w:pPr>
        <w:pStyle w:val="BodyText"/>
        <w:rPr>
          <w:rFonts w:ascii="Gill Sans MT"/>
          <w:sz w:val="20"/>
        </w:rPr>
      </w:pPr>
      <w:r>
        <w:rPr/>
        <w:br w:type="column"/>
      </w:r>
      <w:r>
        <w:rPr>
          <w:rFonts w:ascii="Gill Sans MT"/>
          <w:sz w:val="20"/>
        </w:rPr>
      </w:r>
    </w:p>
    <w:p>
      <w:pPr>
        <w:pStyle w:val="BodyText"/>
        <w:rPr>
          <w:rFonts w:ascii="Gill Sans MT"/>
          <w:sz w:val="20"/>
        </w:rPr>
      </w:pPr>
    </w:p>
    <w:p>
      <w:pPr>
        <w:pStyle w:val="BodyText"/>
        <w:spacing w:before="10"/>
        <w:rPr>
          <w:rFonts w:ascii="Gill Sans MT"/>
          <w:sz w:val="26"/>
        </w:rPr>
      </w:pPr>
    </w:p>
    <w:p>
      <w:pPr>
        <w:spacing w:line="136" w:lineRule="exact" w:before="1"/>
        <w:ind w:left="736" w:right="0" w:firstLine="0"/>
        <w:jc w:val="left"/>
        <w:rPr>
          <w:rFonts w:ascii="Gill Sans MT"/>
          <w:sz w:val="18"/>
        </w:rPr>
      </w:pPr>
      <w:r>
        <w:rPr>
          <w:rFonts w:ascii="Gill Sans MT"/>
          <w:w w:val="110"/>
          <w:sz w:val="18"/>
        </w:rPr>
        <w:t>International Equity: 29.5%</w:t>
      </w:r>
    </w:p>
    <w:p>
      <w:pPr>
        <w:spacing w:after="0" w:line="136" w:lineRule="exact"/>
        <w:jc w:val="left"/>
        <w:rPr>
          <w:rFonts w:ascii="Gill Sans MT"/>
          <w:sz w:val="18"/>
        </w:rPr>
        <w:sectPr>
          <w:type w:val="continuous"/>
          <w:pgSz w:w="14400" w:h="10800" w:orient="landscape"/>
          <w:pgMar w:top="180" w:bottom="280" w:left="20" w:right="40"/>
          <w:cols w:num="2" w:equalWidth="0">
            <w:col w:w="8865" w:space="40"/>
            <w:col w:w="5435"/>
          </w:cols>
        </w:sectPr>
      </w:pPr>
    </w:p>
    <w:p>
      <w:pPr>
        <w:spacing w:line="208" w:lineRule="exact" w:before="0"/>
        <w:ind w:left="2164" w:right="0" w:firstLine="0"/>
        <w:jc w:val="left"/>
        <w:rPr>
          <w:rFonts w:ascii="Gill Sans MT"/>
          <w:sz w:val="18"/>
        </w:rPr>
      </w:pPr>
      <w:r>
        <w:rPr/>
        <w:pict>
          <v:shape style="position:absolute;margin-left:482.320007pt;margin-top:8.2925pt;width:107pt;height:214pt;mso-position-horizontal-relative:page;mso-position-vertical-relative:paragraph;z-index:25167360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0"/>
                  </w:tblGrid>
                  <w:tr>
                    <w:trPr>
                      <w:trHeight w:val="2736" w:hRule="atLeast"/>
                    </w:trPr>
                    <w:tc>
                      <w:tcPr>
                        <w:tcW w:w="2140" w:type="dxa"/>
                        <w:shd w:val="clear" w:color="auto" w:fill="698A70"/>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19"/>
                          </w:rPr>
                        </w:pPr>
                      </w:p>
                      <w:p>
                        <w:pPr>
                          <w:pStyle w:val="TableParagraph"/>
                          <w:spacing w:line="247" w:lineRule="auto"/>
                          <w:ind w:left="829" w:hanging="696"/>
                          <w:rPr>
                            <w:sz w:val="18"/>
                          </w:rPr>
                        </w:pPr>
                        <w:r>
                          <w:rPr>
                            <w:color w:val="FFFFFF"/>
                            <w:w w:val="110"/>
                            <w:sz w:val="18"/>
                          </w:rPr>
                          <w:t>Developed Large Blend: 18.9%</w:t>
                        </w:r>
                      </w:p>
                    </w:tc>
                  </w:tr>
                  <w:tr>
                    <w:trPr>
                      <w:trHeight w:val="296" w:hRule="atLeast"/>
                    </w:trPr>
                    <w:tc>
                      <w:tcPr>
                        <w:tcW w:w="2140" w:type="dxa"/>
                        <w:shd w:val="clear" w:color="auto" w:fill="09847D"/>
                      </w:tcPr>
                      <w:p>
                        <w:pPr>
                          <w:pStyle w:val="TableParagraph"/>
                          <w:spacing w:line="145" w:lineRule="exact"/>
                          <w:ind w:left="97" w:right="95"/>
                          <w:jc w:val="center"/>
                          <w:rPr>
                            <w:sz w:val="18"/>
                          </w:rPr>
                        </w:pPr>
                        <w:r>
                          <w:rPr>
                            <w:color w:val="FFFFFF"/>
                            <w:w w:val="110"/>
                            <w:sz w:val="18"/>
                          </w:rPr>
                          <w:t>Developed Large Value:</w:t>
                        </w:r>
                      </w:p>
                      <w:p>
                        <w:pPr>
                          <w:pStyle w:val="TableParagraph"/>
                          <w:spacing w:line="124" w:lineRule="exact" w:before="7"/>
                          <w:ind w:left="96" w:right="95"/>
                          <w:jc w:val="center"/>
                          <w:rPr>
                            <w:sz w:val="18"/>
                          </w:rPr>
                        </w:pPr>
                        <w:r>
                          <w:rPr>
                            <w:color w:val="FFFFFF"/>
                            <w:w w:val="115"/>
                            <w:sz w:val="18"/>
                          </w:rPr>
                          <w:t>2.0%</w:t>
                        </w:r>
                      </w:p>
                    </w:tc>
                  </w:tr>
                  <w:tr>
                    <w:trPr>
                      <w:trHeight w:val="970" w:hRule="atLeast"/>
                    </w:trPr>
                    <w:tc>
                      <w:tcPr>
                        <w:tcW w:w="2140" w:type="dxa"/>
                        <w:shd w:val="clear" w:color="auto" w:fill="39B664"/>
                      </w:tcPr>
                      <w:p>
                        <w:pPr>
                          <w:pStyle w:val="TableParagraph"/>
                          <w:spacing w:before="7"/>
                          <w:rPr>
                            <w:sz w:val="23"/>
                          </w:rPr>
                        </w:pPr>
                      </w:p>
                      <w:p>
                        <w:pPr>
                          <w:pStyle w:val="TableParagraph"/>
                          <w:spacing w:line="247" w:lineRule="auto"/>
                          <w:ind w:left="879" w:hanging="708"/>
                          <w:rPr>
                            <w:sz w:val="18"/>
                          </w:rPr>
                        </w:pPr>
                        <w:r>
                          <w:rPr>
                            <w:color w:val="FFFFFF"/>
                            <w:w w:val="110"/>
                            <w:sz w:val="18"/>
                          </w:rPr>
                          <w:t>Emerging Large Blend: 6.7%</w:t>
                        </w:r>
                      </w:p>
                      <w:p>
                        <w:pPr>
                          <w:pStyle w:val="TableParagraph"/>
                          <w:spacing w:line="154" w:lineRule="exact" w:before="93"/>
                          <w:ind w:left="172"/>
                          <w:rPr>
                            <w:sz w:val="18"/>
                          </w:rPr>
                        </w:pPr>
                        <w:r>
                          <w:rPr>
                            <w:color w:val="FFFFFF"/>
                            <w:w w:val="115"/>
                            <w:sz w:val="18"/>
                          </w:rPr>
                          <w:t>Emerging Large Value:</w:t>
                        </w:r>
                      </w:p>
                    </w:tc>
                  </w:tr>
                  <w:tr>
                    <w:trPr>
                      <w:trHeight w:val="274" w:hRule="atLeast"/>
                    </w:trPr>
                    <w:tc>
                      <w:tcPr>
                        <w:tcW w:w="2140" w:type="dxa"/>
                        <w:shd w:val="clear" w:color="auto" w:fill="009E7D"/>
                      </w:tcPr>
                      <w:p>
                        <w:pPr>
                          <w:pStyle w:val="TableParagraph"/>
                          <w:spacing w:before="42"/>
                          <w:ind w:left="97" w:right="95"/>
                          <w:jc w:val="center"/>
                          <w:rPr>
                            <w:sz w:val="18"/>
                          </w:rPr>
                        </w:pPr>
                        <w:r>
                          <w:rPr>
                            <w:color w:val="FFFFFF"/>
                            <w:w w:val="110"/>
                            <w:sz w:val="18"/>
                          </w:rPr>
                          <w:t>1.9%</w:t>
                        </w:r>
                      </w:p>
                    </w:tc>
                  </w:tr>
                </w:tbl>
                <w:p>
                  <w:pPr>
                    <w:pStyle w:val="BodyText"/>
                  </w:pPr>
                </w:p>
              </w:txbxContent>
            </v:textbox>
            <w10:wrap type="none"/>
          </v:shape>
        </w:pict>
      </w:r>
      <w:r>
        <w:rPr>
          <w:rFonts w:ascii="Gill Sans MT"/>
          <w:w w:val="115"/>
          <w:sz w:val="18"/>
        </w:rPr>
        <w:t>U.S. Large Value: 3.5%</w:t>
      </w: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11"/>
        <w:rPr>
          <w:rFonts w:ascii="Gill Sans MT"/>
          <w:sz w:val="28"/>
        </w:rPr>
      </w:pPr>
    </w:p>
    <w:p>
      <w:pPr>
        <w:spacing w:before="0"/>
        <w:ind w:left="1681" w:right="0" w:firstLine="0"/>
        <w:jc w:val="left"/>
        <w:rPr>
          <w:rFonts w:ascii="Gill Sans MT"/>
          <w:sz w:val="18"/>
        </w:rPr>
      </w:pPr>
      <w:r>
        <w:rPr>
          <w:rFonts w:ascii="Gill Sans MT"/>
          <w:w w:val="115"/>
          <w:sz w:val="18"/>
        </w:rPr>
        <w:t>U.S. Large Blend: 47.9%</w:t>
      </w:r>
    </w:p>
    <w:p>
      <w:pPr>
        <w:spacing w:after="0"/>
        <w:jc w:val="left"/>
        <w:rPr>
          <w:rFonts w:ascii="Gill Sans MT"/>
          <w:sz w:val="18"/>
        </w:rPr>
        <w:sectPr>
          <w:type w:val="continuous"/>
          <w:pgSz w:w="14400" w:h="10800" w:orient="landscape"/>
          <w:pgMar w:top="180" w:bottom="280" w:left="20" w:right="40"/>
        </w:sectPr>
      </w:pPr>
    </w:p>
    <w:tbl>
      <w:tblPr>
        <w:tblW w:w="0" w:type="auto"/>
        <w:jc w:val="left"/>
        <w:tblInd w:w="8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7"/>
      </w:tblGrid>
      <w:tr>
        <w:trPr>
          <w:trHeight w:val="389" w:hRule="atLeast"/>
        </w:trPr>
        <w:tc>
          <w:tcPr>
            <w:tcW w:w="5067" w:type="dxa"/>
          </w:tcPr>
          <w:p>
            <w:pPr>
              <w:pStyle w:val="TableParagraph"/>
              <w:ind w:right="197"/>
              <w:jc w:val="right"/>
              <w:rPr>
                <w:sz w:val="28"/>
              </w:rPr>
            </w:pPr>
            <w:bookmarkStart w:name="Slide 3: Fixed Income" w:id="9"/>
            <w:bookmarkEnd w:id="9"/>
            <w:r>
              <w:rPr/>
            </w:r>
            <w:r>
              <w:rPr>
                <w:w w:val="105"/>
                <w:sz w:val="28"/>
              </w:rPr>
              <w:t>CNY Centro, Inc. Non-Salaried DB Plan</w:t>
            </w:r>
          </w:p>
        </w:tc>
      </w:tr>
      <w:tr>
        <w:trPr>
          <w:trHeight w:val="363" w:hRule="atLeast"/>
        </w:trPr>
        <w:tc>
          <w:tcPr>
            <w:tcW w:w="5067"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5"/>
        <w:rPr>
          <w:rFonts w:ascii="Gill Sans MT"/>
          <w:sz w:val="23"/>
        </w:rPr>
      </w:pPr>
    </w:p>
    <w:p>
      <w:pPr>
        <w:spacing w:before="99"/>
        <w:ind w:left="3614" w:right="0" w:firstLine="0"/>
        <w:jc w:val="left"/>
        <w:rPr>
          <w:rFonts w:ascii="Gill Sans MT"/>
          <w:sz w:val="20"/>
        </w:rPr>
      </w:pPr>
      <w:r>
        <w:rPr/>
        <w:pict>
          <v:group style="position:absolute;margin-left:244.589996pt;margin-top:17.081999pt;width:235.25pt;height:239.85pt;mso-position-horizontal-relative:page;mso-position-vertical-relative:paragraph;z-index:-267024384" coordorigin="4892,342" coordsize="4705,4797">
            <v:shape style="position:absolute;left:4891;top:433;width:4705;height:4705" coordorigin="4892,433" coordsize="4705,4705" path="m5879,870l5816,917,5755,965,5695,1016,5638,1068,5582,1121,5528,1177,5476,1234,5426,1293,5379,1353,5333,1415,5289,1478,5248,1542,5208,1608,5171,1674,5136,1742,5103,1812,5073,1882,5044,1953,5018,2025,4995,2098,4973,2172,4954,2246,4938,2322,4924,2398,4912,2474,4903,2552,4897,2629,4893,2707,4892,2786,4893,2862,4897,2938,4903,3012,4911,3087,4921,3160,4934,3233,4949,3305,4966,3376,4986,3446,5007,3516,5031,3584,5056,3652,5084,3718,5113,3783,5145,3848,5178,3911,5213,3973,5250,4034,5289,4094,5329,4152,5371,4209,5415,4265,5460,4319,5507,4372,5556,4424,5606,4474,5658,4523,5711,4570,5765,4615,5821,4659,5878,4701,5936,4741,5996,4780,6057,4817,6119,4852,6182,4885,6247,4917,6312,4946,6379,4974,6446,4999,6515,5023,6584,5044,6654,5064,6725,5081,6797,5096,6870,5109,6944,5119,7018,5127,7093,5133,7168,5137,7244,5138,7321,5137,7396,5133,7471,5127,7545,5119,7619,5109,7691,5096,7763,5081,7835,5064,7905,5044,7974,5023,8043,4999,8110,4974,8177,4946,8242,4917,8306,4885,8370,4852,8432,4817,8493,4780,8552,4741,8611,4701,8668,4659,8724,4615,8778,4570,8831,4523,8883,4474,8933,4424,8981,4372,9028,4319,9074,4265,9117,4209,9160,4152,9200,4094,9239,4034,9276,3973,9311,3911,9344,3848,9375,3783,9405,3718,9432,3652,9458,3584,9481,3516,9503,3446,9522,3376,9539,3305,9554,3233,9567,3160,9578,3087,9586,3012,9592,2938,9596,2862,9597,2786,7244,2786,5879,870xm7244,433l7244,2786,9597,2786,9596,2710,9592,2634,9586,2559,9578,2485,9567,2412,9554,2339,9539,2267,9522,2196,9503,2125,9481,2056,9458,1988,9432,1920,9405,1854,9375,1788,9344,1724,9311,1661,9276,1599,9239,1538,9200,1478,9160,1420,9117,1362,9074,1307,9028,1252,8981,1199,8933,1148,8883,1098,8831,1049,8778,1002,8724,957,8668,913,8611,871,8552,830,8493,792,8432,755,8370,719,8306,686,8242,655,8177,625,8110,598,8043,572,7974,549,7905,527,7835,508,7763,491,7691,476,7619,463,7545,452,7471,444,7396,438,7321,435,7244,433xe" filled="true" fillcolor="#5f86d1" stroked="false">
              <v:path arrowok="t"/>
              <v:fill type="solid"/>
            </v:shape>
            <v:shape style="position:absolute;left:5850;top:343;width:1365;height:2353" coordorigin="5851,344" coordsize="1365,2353" path="m7216,344l7134,345,7053,349,6972,356,6892,366,6812,379,6733,394,6654,412,6576,432,6499,456,6423,482,6347,510,6273,541,6199,575,6127,611,6056,649,5986,691,5918,734,5851,780,7216,2696,7216,344xe" filled="true" fillcolor="#bcd6ed" stroked="false">
              <v:path arrowok="t"/>
              <v:fill type="solid"/>
            </v:shape>
            <v:line style="position:absolute" from="7230,342" to="7230,2694" stroked="true" strokeweight=".01pt" strokecolor="#00afef">
              <v:stroke dashstyle="solid"/>
            </v:line>
            <w10:wrap type="none"/>
          </v:group>
        </w:pict>
      </w:r>
      <w:r>
        <w:rPr>
          <w:rFonts w:ascii="Gill Sans MT"/>
          <w:w w:val="110"/>
          <w:sz w:val="20"/>
        </w:rPr>
        <w:t>Intermediate Government: 9.9%</w:t>
      </w:r>
    </w:p>
    <w:p>
      <w:pPr>
        <w:spacing w:before="181"/>
        <w:ind w:left="9079" w:right="0" w:firstLine="0"/>
        <w:jc w:val="left"/>
        <w:rPr>
          <w:rFonts w:ascii="Gill Sans MT"/>
          <w:sz w:val="20"/>
        </w:rPr>
      </w:pPr>
      <w:r>
        <w:rPr>
          <w:rFonts w:ascii="Gill Sans MT"/>
          <w:w w:val="110"/>
          <w:sz w:val="20"/>
        </w:rPr>
        <w:t>Intermediate Core Bond: 90.1%</w:t>
      </w:r>
    </w:p>
    <w:p>
      <w:pPr>
        <w:spacing w:after="0"/>
        <w:jc w:val="left"/>
        <w:rPr>
          <w:rFonts w:ascii="Gill Sans MT"/>
          <w:sz w:val="20"/>
        </w:rPr>
        <w:sectPr>
          <w:headerReference w:type="default" r:id="rId26"/>
          <w:footerReference w:type="default" r:id="rId27"/>
          <w:pgSz w:w="14400" w:h="10800" w:orient="landscape"/>
          <w:pgMar w:header="601" w:footer="1505" w:top="800" w:bottom="1700" w:left="20" w:right="40"/>
          <w:pgNumType w:start="3"/>
        </w:sectPr>
      </w:pPr>
    </w:p>
    <w:tbl>
      <w:tblPr>
        <w:tblW w:w="0" w:type="auto"/>
        <w:jc w:val="left"/>
        <w:tblInd w:w="8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7"/>
      </w:tblGrid>
      <w:tr>
        <w:trPr>
          <w:trHeight w:val="389" w:hRule="atLeast"/>
        </w:trPr>
        <w:tc>
          <w:tcPr>
            <w:tcW w:w="5067" w:type="dxa"/>
          </w:tcPr>
          <w:p>
            <w:pPr>
              <w:pStyle w:val="TableParagraph"/>
              <w:ind w:right="197"/>
              <w:jc w:val="right"/>
              <w:rPr>
                <w:sz w:val="28"/>
              </w:rPr>
            </w:pPr>
            <w:bookmarkStart w:name="Slide 4: Real Return" w:id="10"/>
            <w:bookmarkEnd w:id="10"/>
            <w:r>
              <w:rPr/>
            </w:r>
            <w:r>
              <w:rPr>
                <w:w w:val="105"/>
                <w:sz w:val="28"/>
              </w:rPr>
              <w:t>CNY Centro, Inc. Non-Salaried DB Plan</w:t>
            </w:r>
          </w:p>
        </w:tc>
      </w:tr>
      <w:tr>
        <w:trPr>
          <w:trHeight w:val="363" w:hRule="atLeast"/>
        </w:trPr>
        <w:tc>
          <w:tcPr>
            <w:tcW w:w="5067"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4"/>
        <w:rPr>
          <w:rFonts w:ascii="Gill Sans MT"/>
          <w:sz w:val="21"/>
        </w:rPr>
      </w:pPr>
    </w:p>
    <w:p>
      <w:pPr>
        <w:tabs>
          <w:tab w:pos="9571" w:val="left" w:leader="none"/>
        </w:tabs>
        <w:spacing w:before="97"/>
        <w:ind w:left="3431" w:right="0" w:firstLine="0"/>
        <w:jc w:val="left"/>
        <w:rPr>
          <w:rFonts w:ascii="Gill Sans MT"/>
          <w:sz w:val="20"/>
        </w:rPr>
      </w:pPr>
      <w:r>
        <w:rPr/>
        <w:pict>
          <v:group style="position:absolute;margin-left:241.764709pt;margin-top:-49.958pt;width:239.5pt;height:237.3pt;mso-position-horizontal-relative:page;mso-position-vertical-relative:paragraph;z-index:-267023360" coordorigin="4835,-999" coordsize="4790,4746">
            <v:shape style="position:absolute;left:7272;top:-1000;width:2353;height:3813" coordorigin="7272,-999" coordsize="2353,3813" path="m7272,-999l7272,1353,9116,2814,9165,2751,9211,2686,9254,2620,9296,2553,9335,2485,9371,2415,9406,2345,9438,2273,9467,2200,9494,2127,9519,2052,9541,1977,9560,1901,9577,1824,9592,1747,9604,1669,9613,1591,9619,1512,9623,1433,9625,1353,9624,1277,9620,1202,9614,1127,9606,1052,9595,979,9582,906,9567,834,9550,763,9531,693,9509,623,9486,555,9460,488,9433,421,9403,356,9372,291,9339,228,9304,166,9267,105,9228,45,9188,-13,9145,-70,9102,-126,9056,-180,9009,-233,8961,-285,8911,-335,8859,-384,8806,-431,8752,-476,8696,-520,8639,-562,8580,-602,8521,-641,8460,-678,8398,-713,8334,-746,8270,-778,8205,-807,8138,-835,8071,-860,8002,-884,7933,-905,7863,-925,7791,-942,7719,-957,7647,-970,7573,-980,7499,-988,7424,-994,7349,-998,7272,-999xe" filled="true" fillcolor="#66799f" stroked="false">
              <v:path arrowok="t"/>
              <v:fill type="solid"/>
            </v:shape>
            <v:shape style="position:absolute;left:4835;top:-959;width:4197;height:4705" coordorigin="4835,-958" coordsize="4197,4705" path="m7188,-958l7108,-957,7029,-953,6950,-946,6871,-937,6794,-925,6716,-911,6640,-894,6564,-874,6489,-852,6415,-828,6342,-801,6270,-772,6199,-740,6129,-706,6060,-670,5992,-632,5925,-591,5860,-548,5797,-503,5734,-456,5673,-406,5614,-355,5557,-301,5501,-245,5447,-188,5394,-128,5344,-67,5297,-6,5253,55,5211,118,5172,181,5134,245,5099,310,5066,376,5036,442,5007,509,4981,577,4957,645,4935,714,4915,783,4898,853,4882,923,4869,993,4858,1064,4849,1134,4843,1205,4838,1276,4836,1347,4835,1418,4837,1489,4841,1559,4847,1630,4855,1700,4866,1770,4878,1840,4892,1910,4909,1979,4927,2047,4948,2115,4971,2182,4996,2249,5023,2315,5052,2381,5082,2445,5115,2509,5150,2572,5188,2634,5227,2695,5268,2754,5311,2813,5356,2871,5403,2927,5452,2983,5503,3037,5556,3089,5611,3140,5668,3190,5727,3238,5787,3285,5849,3329,5911,3370,5975,3410,6039,3447,6104,3483,6169,3515,6236,3546,6303,3575,6371,3601,6439,3625,6508,3647,6577,3667,6646,3684,6716,3699,6787,3713,6857,3724,6928,3733,6999,3739,7069,3744,7140,3746,7211,3747,7282,3745,7353,3741,7423,3735,7494,3727,7564,3716,7634,3704,7703,3689,7772,3673,7840,3654,7908,3634,7976,3611,8043,3586,8109,3559,8174,3530,8239,3499,8302,3466,8365,3431,8427,3394,8488,3355,8548,3314,8607,3271,8664,3226,8721,3179,8776,3130,8830,3079,8882,3026,8934,2971,8983,2914,9032,2855,7188,1394,7188,-958xe" filled="true" fillcolor="#3b43d7" stroked="false">
              <v:path arrowok="t"/>
              <v:fill type="solid"/>
            </v:shape>
            <w10:wrap type="none"/>
          </v:group>
        </w:pict>
      </w:r>
      <w:r>
        <w:rPr>
          <w:rFonts w:ascii="Gill Sans MT"/>
          <w:w w:val="110"/>
          <w:sz w:val="20"/>
        </w:rPr>
        <w:t>TIPS:</w:t>
      </w:r>
      <w:r>
        <w:rPr>
          <w:rFonts w:ascii="Gill Sans MT"/>
          <w:spacing w:val="-7"/>
          <w:w w:val="110"/>
          <w:sz w:val="20"/>
        </w:rPr>
        <w:t> </w:t>
      </w:r>
      <w:r>
        <w:rPr>
          <w:rFonts w:ascii="Gill Sans MT"/>
          <w:w w:val="110"/>
          <w:sz w:val="20"/>
        </w:rPr>
        <w:t>64.3%</w:t>
        <w:tab/>
      </w:r>
      <w:r>
        <w:rPr>
          <w:rFonts w:ascii="Gill Sans MT"/>
          <w:w w:val="110"/>
          <w:position w:val="2"/>
          <w:sz w:val="20"/>
        </w:rPr>
        <w:t>Short-Term TIPS:</w:t>
      </w:r>
      <w:r>
        <w:rPr>
          <w:rFonts w:ascii="Gill Sans MT"/>
          <w:spacing w:val="-23"/>
          <w:w w:val="110"/>
          <w:position w:val="2"/>
          <w:sz w:val="20"/>
        </w:rPr>
        <w:t> </w:t>
      </w:r>
      <w:r>
        <w:rPr>
          <w:rFonts w:ascii="Gill Sans MT"/>
          <w:w w:val="110"/>
          <w:position w:val="2"/>
          <w:sz w:val="20"/>
        </w:rPr>
        <w:t>35.7%</w:t>
      </w:r>
    </w:p>
    <w:p>
      <w:pPr>
        <w:spacing w:after="0"/>
        <w:jc w:val="left"/>
        <w:rPr>
          <w:rFonts w:ascii="Gill Sans MT"/>
          <w:sz w:val="20"/>
        </w:rPr>
        <w:sectPr>
          <w:headerReference w:type="default" r:id="rId28"/>
          <w:footerReference w:type="default" r:id="rId29"/>
          <w:pgSz w:w="14400" w:h="10800" w:orient="landscape"/>
          <w:pgMar w:header="601" w:footer="1505" w:top="800" w:bottom="1700" w:left="20" w:right="40"/>
          <w:pgNumType w:start="4"/>
        </w:sectPr>
      </w:pPr>
    </w:p>
    <w:tbl>
      <w:tblPr>
        <w:tblW w:w="0" w:type="auto"/>
        <w:jc w:val="left"/>
        <w:tblInd w:w="8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7"/>
      </w:tblGrid>
      <w:tr>
        <w:trPr>
          <w:trHeight w:val="389" w:hRule="atLeast"/>
        </w:trPr>
        <w:tc>
          <w:tcPr>
            <w:tcW w:w="5067" w:type="dxa"/>
          </w:tcPr>
          <w:p>
            <w:pPr>
              <w:pStyle w:val="TableParagraph"/>
              <w:ind w:right="197"/>
              <w:jc w:val="right"/>
              <w:rPr>
                <w:sz w:val="28"/>
              </w:rPr>
            </w:pPr>
            <w:bookmarkStart w:name="Slide 5: Portfolio Activity" w:id="11"/>
            <w:bookmarkEnd w:id="11"/>
            <w:r>
              <w:rPr/>
            </w:r>
            <w:r>
              <w:rPr>
                <w:w w:val="105"/>
                <w:sz w:val="28"/>
              </w:rPr>
              <w:t>CNY Centro, Inc. Non-Salaried DB Plan</w:t>
            </w:r>
          </w:p>
        </w:tc>
      </w:tr>
      <w:tr>
        <w:trPr>
          <w:trHeight w:val="363" w:hRule="atLeast"/>
        </w:trPr>
        <w:tc>
          <w:tcPr>
            <w:tcW w:w="5067"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spacing w:before="2"/>
        <w:rPr>
          <w:rFonts w:ascii="Gill Sans MT"/>
          <w:sz w:val="28"/>
        </w:rPr>
      </w:pPr>
    </w:p>
    <w:tbl>
      <w:tblPr>
        <w:tblW w:w="0" w:type="auto"/>
        <w:jc w:val="left"/>
        <w:tblInd w:w="69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982"/>
        <w:gridCol w:w="1668"/>
        <w:gridCol w:w="1668"/>
        <w:gridCol w:w="1668"/>
        <w:gridCol w:w="1668"/>
        <w:gridCol w:w="1668"/>
        <w:gridCol w:w="1675"/>
      </w:tblGrid>
      <w:tr>
        <w:trPr>
          <w:trHeight w:val="248" w:hRule="atLeast"/>
        </w:trPr>
        <w:tc>
          <w:tcPr>
            <w:tcW w:w="12997" w:type="dxa"/>
            <w:gridSpan w:val="7"/>
            <w:tcBorders>
              <w:bottom w:val="single" w:sz="12" w:space="0" w:color="FFFFFF"/>
              <w:right w:val="nil"/>
            </w:tcBorders>
          </w:tcPr>
          <w:p>
            <w:pPr>
              <w:pStyle w:val="TableParagraph"/>
              <w:rPr>
                <w:rFonts w:ascii="Times New Roman"/>
                <w:sz w:val="18"/>
              </w:rPr>
            </w:pPr>
          </w:p>
        </w:tc>
      </w:tr>
      <w:tr>
        <w:trPr>
          <w:trHeight w:val="546" w:hRule="atLeast"/>
        </w:trPr>
        <w:tc>
          <w:tcPr>
            <w:tcW w:w="2982" w:type="dxa"/>
            <w:tcBorders>
              <w:top w:val="single" w:sz="12" w:space="0" w:color="FFFFFF"/>
              <w:bottom w:val="single" w:sz="12" w:space="0" w:color="E6E6E6"/>
              <w:right w:val="single" w:sz="4" w:space="0" w:color="D9D9D9"/>
            </w:tcBorders>
            <w:shd w:val="clear" w:color="auto" w:fill="014612"/>
          </w:tcPr>
          <w:p>
            <w:pPr>
              <w:pStyle w:val="TableParagraph"/>
              <w:spacing w:before="157"/>
              <w:ind w:left="94"/>
              <w:rPr>
                <w:sz w:val="20"/>
              </w:rPr>
            </w:pPr>
            <w:r>
              <w:rPr>
                <w:color w:val="FFFFFF"/>
                <w:w w:val="105"/>
                <w:sz w:val="20"/>
              </w:rPr>
              <w:t>Activity</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500"/>
              <w:rPr>
                <w:sz w:val="20"/>
              </w:rPr>
            </w:pPr>
            <w:r>
              <w:rPr>
                <w:color w:val="FFFFFF"/>
                <w:sz w:val="20"/>
              </w:rPr>
              <w:t>QTD ($)</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507"/>
              <w:rPr>
                <w:sz w:val="20"/>
              </w:rPr>
            </w:pPr>
            <w:r>
              <w:rPr>
                <w:color w:val="FFFFFF"/>
                <w:sz w:val="20"/>
              </w:rPr>
              <w:t>YTD ($)</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411"/>
              <w:rPr>
                <w:sz w:val="20"/>
              </w:rPr>
            </w:pPr>
            <w:r>
              <w:rPr>
                <w:color w:val="FFFFFF"/>
                <w:w w:val="105"/>
                <w:sz w:val="20"/>
              </w:rPr>
              <w:t>1 Year ($)</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411"/>
              <w:rPr>
                <w:sz w:val="20"/>
              </w:rPr>
            </w:pPr>
            <w:r>
              <w:rPr>
                <w:color w:val="FFFFFF"/>
                <w:w w:val="105"/>
                <w:sz w:val="20"/>
              </w:rPr>
              <w:t>3 Year ($)</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411"/>
              <w:rPr>
                <w:sz w:val="20"/>
              </w:rPr>
            </w:pPr>
            <w:r>
              <w:rPr>
                <w:color w:val="FFFFFF"/>
                <w:w w:val="105"/>
                <w:sz w:val="20"/>
              </w:rPr>
              <w:t>5 Year ($)</w:t>
            </w:r>
          </w:p>
        </w:tc>
        <w:tc>
          <w:tcPr>
            <w:tcW w:w="1675"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right="3"/>
              <w:jc w:val="right"/>
              <w:rPr>
                <w:sz w:val="20"/>
              </w:rPr>
            </w:pPr>
            <w:r>
              <w:rPr>
                <w:color w:val="FFFFFF"/>
                <w:w w:val="110"/>
                <w:sz w:val="20"/>
              </w:rPr>
              <w:t>Since Inception</w:t>
            </w:r>
            <w:r>
              <w:rPr>
                <w:color w:val="FFFFFF"/>
                <w:spacing w:val="-45"/>
                <w:w w:val="110"/>
                <w:sz w:val="20"/>
              </w:rPr>
              <w:t> </w:t>
            </w:r>
            <w:r>
              <w:rPr>
                <w:color w:val="FFFFFF"/>
                <w:w w:val="110"/>
                <w:sz w:val="20"/>
              </w:rPr>
              <w:t>($)</w:t>
            </w:r>
          </w:p>
        </w:tc>
      </w:tr>
      <w:tr>
        <w:trPr>
          <w:trHeight w:val="407" w:hRule="atLeast"/>
        </w:trPr>
        <w:tc>
          <w:tcPr>
            <w:tcW w:w="2982" w:type="dxa"/>
            <w:tcBorders>
              <w:top w:val="single" w:sz="12" w:space="0" w:color="E6E6E6"/>
              <w:right w:val="single" w:sz="4" w:space="0" w:color="D9D9D9"/>
            </w:tcBorders>
          </w:tcPr>
          <w:p>
            <w:pPr>
              <w:pStyle w:val="TableParagraph"/>
              <w:spacing w:before="85"/>
              <w:ind w:left="94"/>
              <w:rPr>
                <w:sz w:val="20"/>
              </w:rPr>
            </w:pPr>
            <w:r>
              <w:rPr>
                <w:w w:val="115"/>
                <w:sz w:val="20"/>
              </w:rPr>
              <w:t>Value at Beginning of Period</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38,806,812.72</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39,612,267.59</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38,826,553.55</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33,518,088.31</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31,305,676.46</w:t>
            </w:r>
          </w:p>
        </w:tc>
        <w:tc>
          <w:tcPr>
            <w:tcW w:w="1675"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32,148,532.90</w:t>
            </w:r>
          </w:p>
        </w:tc>
      </w:tr>
      <w:tr>
        <w:trPr>
          <w:trHeight w:val="411" w:hRule="atLeast"/>
        </w:trPr>
        <w:tc>
          <w:tcPr>
            <w:tcW w:w="2982" w:type="dxa"/>
            <w:tcBorders>
              <w:right w:val="single" w:sz="4" w:space="0" w:color="D9D9D9"/>
            </w:tcBorders>
            <w:shd w:val="clear" w:color="auto" w:fill="BEBEBE"/>
          </w:tcPr>
          <w:p>
            <w:pPr>
              <w:pStyle w:val="TableParagraph"/>
              <w:spacing w:before="90"/>
              <w:ind w:left="200"/>
              <w:rPr>
                <w:sz w:val="20"/>
              </w:rPr>
            </w:pPr>
            <w:r>
              <w:rPr>
                <w:w w:val="105"/>
                <w:sz w:val="20"/>
              </w:rPr>
              <w:t>Contributions</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761,891.42</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955,550.05</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1,691,436.36</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6,080,288.04</w:t>
            </w:r>
          </w:p>
        </w:tc>
        <w:tc>
          <w:tcPr>
            <w:tcW w:w="1668" w:type="dxa"/>
            <w:tcBorders>
              <w:left w:val="single" w:sz="4" w:space="0" w:color="D9D9D9"/>
              <w:right w:val="single" w:sz="4" w:space="0" w:color="D9D9D9"/>
            </w:tcBorders>
            <w:shd w:val="clear" w:color="auto" w:fill="BEBEBE"/>
          </w:tcPr>
          <w:p>
            <w:pPr>
              <w:pStyle w:val="TableParagraph"/>
              <w:spacing w:before="90"/>
              <w:ind w:right="81"/>
              <w:jc w:val="right"/>
              <w:rPr>
                <w:sz w:val="20"/>
              </w:rPr>
            </w:pPr>
            <w:r>
              <w:rPr>
                <w:w w:val="110"/>
                <w:sz w:val="20"/>
              </w:rPr>
              <w:t>10,780,448.22</w:t>
            </w:r>
          </w:p>
        </w:tc>
        <w:tc>
          <w:tcPr>
            <w:tcW w:w="1675" w:type="dxa"/>
            <w:tcBorders>
              <w:left w:val="single" w:sz="4" w:space="0" w:color="D9D9D9"/>
              <w:right w:val="single" w:sz="4" w:space="0" w:color="D9D9D9"/>
            </w:tcBorders>
            <w:shd w:val="clear" w:color="auto" w:fill="BEBEBE"/>
          </w:tcPr>
          <w:p>
            <w:pPr>
              <w:pStyle w:val="TableParagraph"/>
              <w:spacing w:before="90"/>
              <w:ind w:right="81"/>
              <w:jc w:val="right"/>
              <w:rPr>
                <w:sz w:val="20"/>
              </w:rPr>
            </w:pPr>
            <w:r>
              <w:rPr>
                <w:w w:val="110"/>
                <w:sz w:val="20"/>
              </w:rPr>
              <w:t>11,613,769.22</w:t>
            </w:r>
          </w:p>
        </w:tc>
      </w:tr>
      <w:tr>
        <w:trPr>
          <w:trHeight w:val="412" w:hRule="atLeast"/>
        </w:trPr>
        <w:tc>
          <w:tcPr>
            <w:tcW w:w="2982" w:type="dxa"/>
            <w:tcBorders>
              <w:right w:val="single" w:sz="4" w:space="0" w:color="D9D9D9"/>
            </w:tcBorders>
          </w:tcPr>
          <w:p>
            <w:pPr>
              <w:pStyle w:val="TableParagraph"/>
              <w:spacing w:before="90"/>
              <w:ind w:left="200"/>
              <w:rPr>
                <w:sz w:val="20"/>
              </w:rPr>
            </w:pPr>
            <w:r>
              <w:rPr>
                <w:w w:val="110"/>
                <w:sz w:val="20"/>
              </w:rPr>
              <w:t>Withdrawals</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-860,117.45</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-1,711,129.29</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-3,408,303.91</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-9,973,810.30</w:t>
            </w:r>
          </w:p>
        </w:tc>
        <w:tc>
          <w:tcPr>
            <w:tcW w:w="1668" w:type="dxa"/>
            <w:tcBorders>
              <w:left w:val="single" w:sz="4" w:space="0" w:color="D9D9D9"/>
              <w:right w:val="single" w:sz="4" w:space="0" w:color="D9D9D9"/>
            </w:tcBorders>
          </w:tcPr>
          <w:p>
            <w:pPr>
              <w:pStyle w:val="TableParagraph"/>
              <w:spacing w:before="90"/>
              <w:ind w:right="81"/>
              <w:jc w:val="right"/>
              <w:rPr>
                <w:sz w:val="20"/>
              </w:rPr>
            </w:pPr>
            <w:r>
              <w:rPr>
                <w:w w:val="105"/>
                <w:sz w:val="20"/>
              </w:rPr>
              <w:t>-16,445,611.86</w:t>
            </w:r>
          </w:p>
        </w:tc>
        <w:tc>
          <w:tcPr>
            <w:tcW w:w="1675" w:type="dxa"/>
            <w:tcBorders>
              <w:left w:val="single" w:sz="4" w:space="0" w:color="D9D9D9"/>
              <w:right w:val="single" w:sz="4" w:space="0" w:color="D9D9D9"/>
            </w:tcBorders>
          </w:tcPr>
          <w:p>
            <w:pPr>
              <w:pStyle w:val="TableParagraph"/>
              <w:spacing w:before="90"/>
              <w:ind w:right="81"/>
              <w:jc w:val="right"/>
              <w:rPr>
                <w:sz w:val="20"/>
              </w:rPr>
            </w:pPr>
            <w:r>
              <w:rPr>
                <w:w w:val="105"/>
                <w:sz w:val="20"/>
              </w:rPr>
              <w:t>-17,930,039.45</w:t>
            </w:r>
          </w:p>
        </w:tc>
      </w:tr>
      <w:tr>
        <w:trPr>
          <w:trHeight w:val="412" w:hRule="atLeast"/>
        </w:trPr>
        <w:tc>
          <w:tcPr>
            <w:tcW w:w="2982" w:type="dxa"/>
            <w:tcBorders>
              <w:right w:val="single" w:sz="4" w:space="0" w:color="D9D9D9"/>
            </w:tcBorders>
            <w:shd w:val="clear" w:color="auto" w:fill="BEBEBE"/>
          </w:tcPr>
          <w:p>
            <w:pPr>
              <w:pStyle w:val="TableParagraph"/>
              <w:spacing w:before="90"/>
              <w:ind w:left="200"/>
              <w:rPr>
                <w:sz w:val="20"/>
              </w:rPr>
            </w:pPr>
            <w:r>
              <w:rPr>
                <w:w w:val="110"/>
                <w:sz w:val="20"/>
              </w:rPr>
              <w:t>Income Received</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312,737.28</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418,784.38</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919,021.21</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2,458,279.90</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3,879,720.93</w:t>
            </w:r>
          </w:p>
        </w:tc>
        <w:tc>
          <w:tcPr>
            <w:tcW w:w="1675"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4,157,567.10</w:t>
            </w:r>
          </w:p>
        </w:tc>
      </w:tr>
      <w:tr>
        <w:trPr>
          <w:trHeight w:val="411" w:hRule="atLeast"/>
        </w:trPr>
        <w:tc>
          <w:tcPr>
            <w:tcW w:w="2982" w:type="dxa"/>
            <w:tcBorders>
              <w:bottom w:val="single" w:sz="8" w:space="0" w:color="000000"/>
              <w:right w:val="single" w:sz="4" w:space="0" w:color="D9D9D9"/>
            </w:tcBorders>
          </w:tcPr>
          <w:p>
            <w:pPr>
              <w:pStyle w:val="TableParagraph"/>
              <w:spacing w:before="90"/>
              <w:ind w:left="200"/>
              <w:rPr>
                <w:sz w:val="20"/>
              </w:rPr>
            </w:pPr>
            <w:r>
              <w:rPr>
                <w:w w:val="115"/>
                <w:sz w:val="20"/>
              </w:rPr>
              <w:t>Capital Gain/Loss</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05"/>
                <w:sz w:val="20"/>
              </w:rPr>
              <w:t>2,459,368.74</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05"/>
                <w:sz w:val="20"/>
              </w:rPr>
              <w:t>2,205,219.98</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05"/>
                <w:sz w:val="20"/>
              </w:rPr>
              <w:t>3,451,985.50</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05"/>
                <w:sz w:val="20"/>
              </w:rPr>
              <w:t>9,397,846.76</w:t>
            </w:r>
          </w:p>
        </w:tc>
        <w:tc>
          <w:tcPr>
            <w:tcW w:w="1668" w:type="dxa"/>
            <w:tcBorders>
              <w:left w:val="single" w:sz="4" w:space="0" w:color="D9D9D9"/>
              <w:bottom w:val="single" w:sz="8" w:space="0" w:color="000000"/>
              <w:right w:val="single" w:sz="4" w:space="0" w:color="D9D9D9"/>
            </w:tcBorders>
          </w:tcPr>
          <w:p>
            <w:pPr>
              <w:pStyle w:val="TableParagraph"/>
              <w:spacing w:before="90"/>
              <w:ind w:right="81"/>
              <w:jc w:val="right"/>
              <w:rPr>
                <w:sz w:val="20"/>
              </w:rPr>
            </w:pPr>
            <w:r>
              <w:rPr>
                <w:w w:val="110"/>
                <w:sz w:val="20"/>
              </w:rPr>
              <w:t>11,960,458.96</w:t>
            </w:r>
          </w:p>
        </w:tc>
        <w:tc>
          <w:tcPr>
            <w:tcW w:w="1675" w:type="dxa"/>
            <w:tcBorders>
              <w:left w:val="single" w:sz="4" w:space="0" w:color="D9D9D9"/>
              <w:bottom w:val="single" w:sz="8" w:space="0" w:color="000000"/>
              <w:right w:val="single" w:sz="4" w:space="0" w:color="D9D9D9"/>
            </w:tcBorders>
          </w:tcPr>
          <w:p>
            <w:pPr>
              <w:pStyle w:val="TableParagraph"/>
              <w:spacing w:before="90"/>
              <w:ind w:right="81"/>
              <w:jc w:val="right"/>
              <w:rPr>
                <w:sz w:val="20"/>
              </w:rPr>
            </w:pPr>
            <w:r>
              <w:rPr>
                <w:w w:val="110"/>
                <w:sz w:val="20"/>
              </w:rPr>
              <w:t>11,490,862.94</w:t>
            </w:r>
          </w:p>
        </w:tc>
      </w:tr>
      <w:tr>
        <w:trPr>
          <w:trHeight w:val="412" w:hRule="atLeast"/>
        </w:trPr>
        <w:tc>
          <w:tcPr>
            <w:tcW w:w="2982" w:type="dxa"/>
            <w:tcBorders>
              <w:top w:val="single" w:sz="8" w:space="0" w:color="000000"/>
              <w:bottom w:val="single" w:sz="8" w:space="0" w:color="000000"/>
              <w:right w:val="single" w:sz="4" w:space="0" w:color="D9D9D9"/>
            </w:tcBorders>
          </w:tcPr>
          <w:p>
            <w:pPr>
              <w:pStyle w:val="TableParagraph"/>
              <w:spacing w:before="90"/>
              <w:ind w:left="94"/>
              <w:rPr>
                <w:sz w:val="20"/>
              </w:rPr>
            </w:pPr>
            <w:r>
              <w:rPr>
                <w:w w:val="115"/>
                <w:sz w:val="20"/>
              </w:rPr>
              <w:t>Value at End of Period</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41,480,692.71</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41,480,692.71</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41,480,692.71</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41,480,692.71</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41,480,692.71</w:t>
            </w:r>
          </w:p>
        </w:tc>
        <w:tc>
          <w:tcPr>
            <w:tcW w:w="1675"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41,480,692.71</w:t>
            </w:r>
          </w:p>
        </w:tc>
      </w:tr>
      <w:tr>
        <w:trPr>
          <w:trHeight w:val="416" w:hRule="atLeast"/>
        </w:trPr>
        <w:tc>
          <w:tcPr>
            <w:tcW w:w="2982" w:type="dxa"/>
            <w:tcBorders>
              <w:top w:val="single" w:sz="8" w:space="0" w:color="000000"/>
              <w:bottom w:val="single" w:sz="4" w:space="0" w:color="7E7E7E"/>
              <w:right w:val="single" w:sz="4" w:space="0" w:color="D9D9D9"/>
            </w:tcBorders>
          </w:tcPr>
          <w:p>
            <w:pPr>
              <w:pStyle w:val="TableParagraph"/>
              <w:spacing w:before="90"/>
              <w:ind w:left="94"/>
              <w:rPr>
                <w:sz w:val="20"/>
              </w:rPr>
            </w:pPr>
            <w:r>
              <w:rPr>
                <w:w w:val="110"/>
                <w:sz w:val="20"/>
              </w:rPr>
              <w:t>Total</w:t>
            </w:r>
            <w:r>
              <w:rPr>
                <w:spacing w:val="-25"/>
                <w:w w:val="110"/>
                <w:sz w:val="20"/>
              </w:rPr>
              <w:t> </w:t>
            </w:r>
            <w:r>
              <w:rPr>
                <w:w w:val="110"/>
                <w:sz w:val="20"/>
              </w:rPr>
              <w:t>Investment</w:t>
            </w:r>
            <w:r>
              <w:rPr>
                <w:spacing w:val="-22"/>
                <w:w w:val="110"/>
                <w:sz w:val="20"/>
              </w:rPr>
              <w:t> </w:t>
            </w:r>
            <w:r>
              <w:rPr>
                <w:w w:val="110"/>
                <w:sz w:val="20"/>
              </w:rPr>
              <w:t>Gain</w:t>
            </w:r>
            <w:r>
              <w:rPr>
                <w:spacing w:val="-24"/>
                <w:w w:val="110"/>
                <w:sz w:val="20"/>
              </w:rPr>
              <w:t> </w:t>
            </w:r>
            <w:r>
              <w:rPr>
                <w:w w:val="110"/>
                <w:sz w:val="20"/>
              </w:rPr>
              <w:t>after</w:t>
            </w:r>
            <w:r>
              <w:rPr>
                <w:spacing w:val="-23"/>
                <w:w w:val="110"/>
                <w:sz w:val="20"/>
              </w:rPr>
              <w:t> </w:t>
            </w:r>
            <w:r>
              <w:rPr>
                <w:w w:val="110"/>
                <w:sz w:val="20"/>
              </w:rPr>
              <w:t>Fees</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7"/>
              <w:jc w:val="right"/>
              <w:rPr>
                <w:sz w:val="20"/>
              </w:rPr>
            </w:pPr>
            <w:r>
              <w:rPr>
                <w:w w:val="105"/>
                <w:sz w:val="20"/>
              </w:rPr>
              <w:t>2,772,106.02</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7"/>
              <w:jc w:val="right"/>
              <w:rPr>
                <w:sz w:val="20"/>
              </w:rPr>
            </w:pPr>
            <w:r>
              <w:rPr>
                <w:w w:val="105"/>
                <w:sz w:val="20"/>
              </w:rPr>
              <w:t>2,624,004.36</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7"/>
              <w:jc w:val="right"/>
              <w:rPr>
                <w:sz w:val="20"/>
              </w:rPr>
            </w:pPr>
            <w:r>
              <w:rPr>
                <w:w w:val="105"/>
                <w:sz w:val="20"/>
              </w:rPr>
              <w:t>4,371,006.71</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4"/>
              <w:jc w:val="right"/>
              <w:rPr>
                <w:sz w:val="20"/>
              </w:rPr>
            </w:pPr>
            <w:r>
              <w:rPr>
                <w:w w:val="105"/>
                <w:sz w:val="20"/>
              </w:rPr>
              <w:t>11,856,126.66</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4"/>
              <w:jc w:val="right"/>
              <w:rPr>
                <w:sz w:val="20"/>
              </w:rPr>
            </w:pPr>
            <w:r>
              <w:rPr>
                <w:w w:val="105"/>
                <w:sz w:val="20"/>
              </w:rPr>
              <w:t>15,840,179.89</w:t>
            </w:r>
          </w:p>
        </w:tc>
        <w:tc>
          <w:tcPr>
            <w:tcW w:w="1675" w:type="dxa"/>
            <w:tcBorders>
              <w:top w:val="single" w:sz="8" w:space="0" w:color="000000"/>
              <w:left w:val="single" w:sz="4" w:space="0" w:color="D9D9D9"/>
              <w:bottom w:val="single" w:sz="4" w:space="0" w:color="7E7E7E"/>
              <w:right w:val="single" w:sz="4" w:space="0" w:color="D9D9D9"/>
            </w:tcBorders>
          </w:tcPr>
          <w:p>
            <w:pPr>
              <w:pStyle w:val="TableParagraph"/>
              <w:spacing w:before="90"/>
              <w:ind w:right="74"/>
              <w:jc w:val="right"/>
              <w:rPr>
                <w:sz w:val="20"/>
              </w:rPr>
            </w:pPr>
            <w:r>
              <w:rPr>
                <w:w w:val="105"/>
                <w:sz w:val="20"/>
              </w:rPr>
              <w:t>15,648,430.04</w:t>
            </w:r>
          </w:p>
        </w:tc>
      </w:tr>
      <w:tr>
        <w:trPr>
          <w:trHeight w:val="411" w:hRule="atLeast"/>
        </w:trPr>
        <w:tc>
          <w:tcPr>
            <w:tcW w:w="12997" w:type="dxa"/>
            <w:gridSpan w:val="7"/>
            <w:tcBorders>
              <w:top w:val="single" w:sz="4" w:space="0" w:color="7E7E7E"/>
              <w:bottom w:val="single" w:sz="12" w:space="0" w:color="D9D9D9"/>
              <w:right w:val="nil"/>
            </w:tcBorders>
            <w:shd w:val="clear" w:color="auto" w:fill="014612"/>
          </w:tcPr>
          <w:p>
            <w:pPr>
              <w:pStyle w:val="TableParagraph"/>
              <w:spacing w:before="95"/>
              <w:ind w:left="94"/>
              <w:rPr>
                <w:sz w:val="20"/>
              </w:rPr>
            </w:pPr>
            <w:r>
              <w:rPr>
                <w:color w:val="FFFFFF"/>
                <w:w w:val="110"/>
                <w:sz w:val="20"/>
              </w:rPr>
              <w:t>Performance</w:t>
            </w:r>
          </w:p>
        </w:tc>
      </w:tr>
      <w:tr>
        <w:trPr>
          <w:trHeight w:val="401" w:hRule="atLeast"/>
        </w:trPr>
        <w:tc>
          <w:tcPr>
            <w:tcW w:w="2982" w:type="dxa"/>
            <w:tcBorders>
              <w:top w:val="single" w:sz="12" w:space="0" w:color="D9D9D9"/>
              <w:bottom w:val="single" w:sz="12" w:space="0" w:color="D9D9D9"/>
              <w:right w:val="single" w:sz="4" w:space="0" w:color="D9D9D9"/>
            </w:tcBorders>
          </w:tcPr>
          <w:p>
            <w:pPr>
              <w:pStyle w:val="TableParagraph"/>
              <w:spacing w:before="86"/>
              <w:ind w:left="94"/>
              <w:rPr>
                <w:sz w:val="20"/>
              </w:rPr>
            </w:pPr>
            <w:r>
              <w:rPr>
                <w:w w:val="105"/>
                <w:sz w:val="20"/>
              </w:rPr>
              <w:t>Portfolio Return</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7.09%</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6.65%</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11.45%</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11.21%</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9.10%</w:t>
            </w:r>
          </w:p>
        </w:tc>
        <w:tc>
          <w:tcPr>
            <w:tcW w:w="1675"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8"/>
              <w:jc w:val="right"/>
              <w:rPr>
                <w:sz w:val="20"/>
              </w:rPr>
            </w:pPr>
            <w:r>
              <w:rPr>
                <w:w w:val="110"/>
                <w:sz w:val="20"/>
              </w:rPr>
              <w:t>8.13%</w:t>
            </w:r>
          </w:p>
        </w:tc>
      </w:tr>
    </w:tbl>
    <w:p>
      <w:pPr>
        <w:spacing w:before="25"/>
        <w:ind w:left="776" w:right="0" w:firstLine="0"/>
        <w:jc w:val="left"/>
        <w:rPr>
          <w:rFonts w:ascii="Gill Sans MT"/>
          <w:sz w:val="14"/>
        </w:rPr>
      </w:pPr>
      <w:r>
        <w:rPr>
          <w:rFonts w:ascii="Gill Sans MT"/>
          <w:w w:val="110"/>
          <w:sz w:val="14"/>
        </w:rPr>
        <w:t>Inception Date: 1/1/2020</w:t>
      </w:r>
    </w:p>
    <w:p>
      <w:pPr>
        <w:spacing w:before="80"/>
        <w:ind w:left="776" w:right="0" w:firstLine="0"/>
        <w:jc w:val="left"/>
        <w:rPr>
          <w:rFonts w:ascii="Gill Sans MT"/>
          <w:sz w:val="14"/>
        </w:rPr>
      </w:pPr>
      <w:r>
        <w:rPr>
          <w:rFonts w:ascii="Gill Sans MT"/>
          <w:w w:val="110"/>
          <w:sz w:val="14"/>
        </w:rPr>
        <w:t>Portfolio Return is net of fees. Periods greater than 12 months are annualized.</w:t>
      </w:r>
    </w:p>
    <w:p>
      <w:pPr>
        <w:spacing w:after="0"/>
        <w:jc w:val="left"/>
        <w:rPr>
          <w:rFonts w:ascii="Gill Sans MT"/>
          <w:sz w:val="14"/>
        </w:rPr>
        <w:sectPr>
          <w:headerReference w:type="default" r:id="rId30"/>
          <w:footerReference w:type="default" r:id="rId31"/>
          <w:pgSz w:w="14400" w:h="10800" w:orient="landscape"/>
          <w:pgMar w:header="601" w:footer="1259" w:top="800" w:bottom="1440" w:left="20" w:right="40"/>
          <w:pgNumType w:start="5"/>
        </w:sectPr>
      </w:pPr>
    </w:p>
    <w:tbl>
      <w:tblPr>
        <w:tblW w:w="0" w:type="auto"/>
        <w:jc w:val="left"/>
        <w:tblInd w:w="8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7"/>
      </w:tblGrid>
      <w:tr>
        <w:trPr>
          <w:trHeight w:val="389" w:hRule="atLeast"/>
        </w:trPr>
        <w:tc>
          <w:tcPr>
            <w:tcW w:w="5067" w:type="dxa"/>
          </w:tcPr>
          <w:p>
            <w:pPr>
              <w:pStyle w:val="TableParagraph"/>
              <w:ind w:right="197"/>
              <w:jc w:val="right"/>
              <w:rPr>
                <w:sz w:val="28"/>
              </w:rPr>
            </w:pPr>
            <w:bookmarkStart w:name="Slide 6: Performance" w:id="12"/>
            <w:bookmarkEnd w:id="12"/>
            <w:r>
              <w:rPr/>
            </w:r>
            <w:r>
              <w:rPr>
                <w:w w:val="105"/>
                <w:sz w:val="28"/>
              </w:rPr>
              <w:t>CNY Centro, Inc. Non-Salaried DB Plan</w:t>
            </w:r>
          </w:p>
        </w:tc>
      </w:tr>
      <w:tr>
        <w:trPr>
          <w:trHeight w:val="363" w:hRule="atLeast"/>
        </w:trPr>
        <w:tc>
          <w:tcPr>
            <w:tcW w:w="5067"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spacing w:before="3" w:after="1"/>
        <w:rPr>
          <w:rFonts w:ascii="Gill Sans MT"/>
          <w:sz w:val="29"/>
        </w:rPr>
      </w:pPr>
    </w:p>
    <w:tbl>
      <w:tblPr>
        <w:tblW w:w="0" w:type="auto"/>
        <w:jc w:val="left"/>
        <w:tblInd w:w="99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709"/>
        <w:gridCol w:w="1613"/>
        <w:gridCol w:w="1613"/>
        <w:gridCol w:w="1613"/>
        <w:gridCol w:w="1613"/>
        <w:gridCol w:w="1613"/>
        <w:gridCol w:w="1613"/>
      </w:tblGrid>
      <w:tr>
        <w:trPr>
          <w:trHeight w:val="239" w:hRule="atLeast"/>
        </w:trPr>
        <w:tc>
          <w:tcPr>
            <w:tcW w:w="12387" w:type="dxa"/>
            <w:gridSpan w:val="7"/>
            <w:tcBorders>
              <w:bottom w:val="single" w:sz="12" w:space="0" w:color="FFFFFF"/>
              <w:right w:val="nil"/>
            </w:tcBorders>
          </w:tcPr>
          <w:p>
            <w:pPr>
              <w:pStyle w:val="TableParagraph"/>
              <w:rPr>
                <w:rFonts w:ascii="Times New Roman"/>
                <w:sz w:val="16"/>
              </w:rPr>
            </w:pPr>
          </w:p>
        </w:tc>
      </w:tr>
      <w:tr>
        <w:trPr>
          <w:trHeight w:val="546" w:hRule="atLeast"/>
        </w:trPr>
        <w:tc>
          <w:tcPr>
            <w:tcW w:w="2709" w:type="dxa"/>
            <w:tcBorders>
              <w:top w:val="single" w:sz="12" w:space="0" w:color="FFFFFF"/>
              <w:bottom w:val="single" w:sz="12" w:space="0" w:color="E6E6E6"/>
              <w:right w:val="single" w:sz="4" w:space="0" w:color="D9D9D9"/>
            </w:tcBorders>
            <w:shd w:val="clear" w:color="auto" w:fill="014612"/>
          </w:tcPr>
          <w:p>
            <w:pPr>
              <w:pStyle w:val="TableParagraph"/>
              <w:rPr>
                <w:rFonts w:ascii="Times New Roman"/>
                <w:sz w:val="20"/>
              </w:rPr>
            </w:pP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before="157"/>
              <w:ind w:left="573" w:right="554"/>
              <w:jc w:val="center"/>
              <w:rPr>
                <w:sz w:val="20"/>
              </w:rPr>
            </w:pPr>
            <w:r>
              <w:rPr>
                <w:color w:val="FFFFFF"/>
                <w:sz w:val="20"/>
              </w:rPr>
              <w:t>QTD</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before="157"/>
              <w:ind w:left="573" w:right="552"/>
              <w:jc w:val="center"/>
              <w:rPr>
                <w:sz w:val="20"/>
              </w:rPr>
            </w:pPr>
            <w:r>
              <w:rPr>
                <w:color w:val="FFFFFF"/>
                <w:sz w:val="20"/>
              </w:rPr>
              <w:t>YTD</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before="157"/>
              <w:ind w:left="530"/>
              <w:rPr>
                <w:sz w:val="20"/>
              </w:rPr>
            </w:pPr>
            <w:r>
              <w:rPr>
                <w:color w:val="FFFFFF"/>
                <w:w w:val="105"/>
                <w:sz w:val="20"/>
              </w:rPr>
              <w:t>1 Year</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line="247" w:lineRule="auto" w:before="37"/>
              <w:ind w:left="324" w:right="282" w:firstLine="206"/>
              <w:rPr>
                <w:sz w:val="20"/>
              </w:rPr>
            </w:pPr>
            <w:r>
              <w:rPr>
                <w:color w:val="FFFFFF"/>
                <w:w w:val="110"/>
                <w:sz w:val="20"/>
              </w:rPr>
              <w:t>3 Year Annualized</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line="247" w:lineRule="auto" w:before="37"/>
              <w:ind w:left="324" w:firstLine="206"/>
              <w:rPr>
                <w:sz w:val="20"/>
              </w:rPr>
            </w:pPr>
            <w:r>
              <w:rPr>
                <w:color w:val="FFFFFF"/>
                <w:w w:val="110"/>
                <w:sz w:val="20"/>
              </w:rPr>
              <w:t>5 Year Annualized</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line="247" w:lineRule="auto" w:before="37"/>
              <w:ind w:left="323" w:hanging="185"/>
              <w:rPr>
                <w:sz w:val="20"/>
              </w:rPr>
            </w:pPr>
            <w:r>
              <w:rPr>
                <w:color w:val="FFFFFF"/>
                <w:w w:val="110"/>
                <w:sz w:val="20"/>
              </w:rPr>
              <w:t>Since Inception Annualized</w:t>
            </w:r>
          </w:p>
        </w:tc>
      </w:tr>
      <w:tr>
        <w:trPr>
          <w:trHeight w:val="335" w:hRule="atLeast"/>
        </w:trPr>
        <w:tc>
          <w:tcPr>
            <w:tcW w:w="2709" w:type="dxa"/>
            <w:tcBorders>
              <w:top w:val="single" w:sz="12" w:space="0" w:color="E6E6E6"/>
              <w:right w:val="single" w:sz="4" w:space="0" w:color="D9D9D9"/>
            </w:tcBorders>
            <w:shd w:val="clear" w:color="auto" w:fill="BEBEBE"/>
          </w:tcPr>
          <w:p>
            <w:pPr>
              <w:pStyle w:val="TableParagraph"/>
              <w:spacing w:before="49"/>
              <w:ind w:left="91"/>
              <w:rPr>
                <w:sz w:val="20"/>
              </w:rPr>
            </w:pPr>
            <w:r>
              <w:rPr>
                <w:w w:val="110"/>
                <w:sz w:val="20"/>
              </w:rPr>
              <w:t>Equities</w:t>
            </w:r>
          </w:p>
        </w:tc>
        <w:tc>
          <w:tcPr>
            <w:tcW w:w="1613" w:type="dxa"/>
            <w:tcBorders>
              <w:left w:val="single" w:sz="4" w:space="0" w:color="D9D9D9"/>
              <w:right w:val="single" w:sz="4" w:space="0" w:color="D9D9D9"/>
            </w:tcBorders>
            <w:shd w:val="clear" w:color="auto" w:fill="BEBEBE"/>
          </w:tcPr>
          <w:p>
            <w:pPr>
              <w:pStyle w:val="TableParagraph"/>
              <w:spacing w:before="49"/>
              <w:ind w:right="77"/>
              <w:jc w:val="right"/>
              <w:rPr>
                <w:sz w:val="20"/>
              </w:rPr>
            </w:pPr>
            <w:r>
              <w:rPr>
                <w:w w:val="110"/>
                <w:sz w:val="20"/>
              </w:rPr>
              <w:t>10.11%</w:t>
            </w:r>
          </w:p>
        </w:tc>
        <w:tc>
          <w:tcPr>
            <w:tcW w:w="1613" w:type="dxa"/>
            <w:tcBorders>
              <w:left w:val="single" w:sz="4" w:space="0" w:color="D9D9D9"/>
              <w:right w:val="single" w:sz="4" w:space="0" w:color="D9D9D9"/>
            </w:tcBorders>
            <w:shd w:val="clear" w:color="auto" w:fill="BEBEBE"/>
          </w:tcPr>
          <w:p>
            <w:pPr>
              <w:pStyle w:val="TableParagraph"/>
              <w:spacing w:before="49"/>
              <w:ind w:right="77"/>
              <w:jc w:val="right"/>
              <w:rPr>
                <w:sz w:val="20"/>
              </w:rPr>
            </w:pPr>
            <w:r>
              <w:rPr>
                <w:w w:val="110"/>
                <w:sz w:val="20"/>
              </w:rPr>
              <w:t>8.08%</w:t>
            </w:r>
          </w:p>
        </w:tc>
        <w:tc>
          <w:tcPr>
            <w:tcW w:w="1613" w:type="dxa"/>
            <w:tcBorders>
              <w:left w:val="single" w:sz="4" w:space="0" w:color="D9D9D9"/>
              <w:right w:val="single" w:sz="4" w:space="0" w:color="D9D9D9"/>
            </w:tcBorders>
            <w:shd w:val="clear" w:color="auto" w:fill="BEBEBE"/>
          </w:tcPr>
          <w:p>
            <w:pPr>
              <w:pStyle w:val="TableParagraph"/>
              <w:spacing w:before="49"/>
              <w:ind w:right="77"/>
              <w:jc w:val="right"/>
              <w:rPr>
                <w:sz w:val="20"/>
              </w:rPr>
            </w:pPr>
            <w:r>
              <w:rPr>
                <w:w w:val="110"/>
                <w:sz w:val="20"/>
              </w:rPr>
              <w:t>14.50%</w:t>
            </w:r>
          </w:p>
        </w:tc>
        <w:tc>
          <w:tcPr>
            <w:tcW w:w="1613" w:type="dxa"/>
            <w:tcBorders>
              <w:left w:val="single" w:sz="4" w:space="0" w:color="D9D9D9"/>
              <w:right w:val="single" w:sz="4" w:space="0" w:color="D9D9D9"/>
            </w:tcBorders>
            <w:shd w:val="clear" w:color="auto" w:fill="BEBEBE"/>
          </w:tcPr>
          <w:p>
            <w:pPr>
              <w:pStyle w:val="TableParagraph"/>
              <w:spacing w:before="49"/>
              <w:ind w:right="77"/>
              <w:jc w:val="right"/>
              <w:rPr>
                <w:sz w:val="20"/>
              </w:rPr>
            </w:pPr>
            <w:r>
              <w:rPr>
                <w:w w:val="110"/>
                <w:sz w:val="20"/>
              </w:rPr>
              <w:t>16.15%</w:t>
            </w:r>
          </w:p>
        </w:tc>
        <w:tc>
          <w:tcPr>
            <w:tcW w:w="1613" w:type="dxa"/>
            <w:tcBorders>
              <w:left w:val="single" w:sz="4" w:space="0" w:color="D9D9D9"/>
              <w:right w:val="single" w:sz="4" w:space="0" w:color="D9D9D9"/>
            </w:tcBorders>
            <w:shd w:val="clear" w:color="auto" w:fill="BEBEBE"/>
          </w:tcPr>
          <w:p>
            <w:pPr>
              <w:pStyle w:val="TableParagraph"/>
              <w:spacing w:before="49"/>
              <w:ind w:right="78"/>
              <w:jc w:val="right"/>
              <w:rPr>
                <w:sz w:val="20"/>
              </w:rPr>
            </w:pPr>
            <w:r>
              <w:rPr>
                <w:w w:val="110"/>
                <w:sz w:val="20"/>
              </w:rPr>
              <w:t>14.22%</w:t>
            </w:r>
          </w:p>
        </w:tc>
        <w:tc>
          <w:tcPr>
            <w:tcW w:w="1613" w:type="dxa"/>
            <w:tcBorders>
              <w:left w:val="single" w:sz="4" w:space="0" w:color="D9D9D9"/>
              <w:right w:val="single" w:sz="4" w:space="0" w:color="D9D9D9"/>
            </w:tcBorders>
            <w:shd w:val="clear" w:color="auto" w:fill="BEBEBE"/>
          </w:tcPr>
          <w:p>
            <w:pPr>
              <w:pStyle w:val="TableParagraph"/>
              <w:spacing w:before="49"/>
              <w:ind w:right="78"/>
              <w:jc w:val="right"/>
              <w:rPr>
                <w:sz w:val="20"/>
              </w:rPr>
            </w:pPr>
            <w:r>
              <w:rPr>
                <w:w w:val="110"/>
                <w:sz w:val="20"/>
              </w:rPr>
              <w:t>10.95%</w:t>
            </w:r>
          </w:p>
        </w:tc>
      </w:tr>
      <w:tr>
        <w:trPr>
          <w:trHeight w:val="340" w:hRule="atLeast"/>
        </w:trPr>
        <w:tc>
          <w:tcPr>
            <w:tcW w:w="2709" w:type="dxa"/>
            <w:tcBorders>
              <w:right w:val="single" w:sz="4" w:space="0" w:color="D9D9D9"/>
            </w:tcBorders>
          </w:tcPr>
          <w:p>
            <w:pPr>
              <w:pStyle w:val="TableParagraph"/>
              <w:spacing w:before="54"/>
              <w:ind w:left="91"/>
              <w:rPr>
                <w:sz w:val="20"/>
              </w:rPr>
            </w:pPr>
            <w:r>
              <w:rPr>
                <w:w w:val="110"/>
                <w:sz w:val="20"/>
              </w:rPr>
              <w:t>S&amp;P 500 Large Cap</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10.94%</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6.20%</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15.16%</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19.70%</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16.64%</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14.37%</w:t>
            </w:r>
          </w:p>
        </w:tc>
      </w:tr>
      <w:tr>
        <w:trPr>
          <w:trHeight w:val="340" w:hRule="atLeast"/>
        </w:trPr>
        <w:tc>
          <w:tcPr>
            <w:tcW w:w="2709" w:type="dxa"/>
            <w:tcBorders>
              <w:right w:val="single" w:sz="4" w:space="0" w:color="D9D9D9"/>
            </w:tcBorders>
          </w:tcPr>
          <w:p>
            <w:pPr>
              <w:pStyle w:val="TableParagraph"/>
              <w:spacing w:before="54"/>
              <w:ind w:left="91"/>
              <w:rPr>
                <w:sz w:val="20"/>
              </w:rPr>
            </w:pPr>
            <w:r>
              <w:rPr>
                <w:w w:val="115"/>
                <w:sz w:val="20"/>
              </w:rPr>
              <w:t>S&amp;P 500 Value</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3.00%</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3.28%</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9.63%</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14.89%</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15.02%</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10.14%</w:t>
            </w:r>
          </w:p>
        </w:tc>
      </w:tr>
      <w:tr>
        <w:trPr>
          <w:trHeight w:val="340" w:hRule="atLeast"/>
        </w:trPr>
        <w:tc>
          <w:tcPr>
            <w:tcW w:w="2709" w:type="dxa"/>
            <w:tcBorders>
              <w:right w:val="single" w:sz="4" w:space="0" w:color="D9D9D9"/>
            </w:tcBorders>
          </w:tcPr>
          <w:p>
            <w:pPr>
              <w:pStyle w:val="TableParagraph"/>
              <w:spacing w:before="54"/>
              <w:ind w:left="91"/>
              <w:rPr>
                <w:sz w:val="20"/>
              </w:rPr>
            </w:pPr>
            <w:r>
              <w:rPr>
                <w:w w:val="110"/>
                <w:sz w:val="20"/>
              </w:rPr>
              <w:t>S&amp;P 400 Mid Cap</w:t>
            </w:r>
          </w:p>
        </w:tc>
        <w:tc>
          <w:tcPr>
            <w:tcW w:w="1613" w:type="dxa"/>
            <w:tcBorders>
              <w:left w:val="single" w:sz="4" w:space="0" w:color="D9D9D9"/>
              <w:right w:val="single" w:sz="4" w:space="0" w:color="D9D9D9"/>
            </w:tcBorders>
          </w:tcPr>
          <w:p>
            <w:pPr>
              <w:pStyle w:val="TableParagraph"/>
              <w:spacing w:before="54"/>
              <w:ind w:right="76"/>
              <w:jc w:val="right"/>
              <w:rPr>
                <w:sz w:val="20"/>
              </w:rPr>
            </w:pPr>
            <w:r>
              <w:rPr>
                <w:w w:val="110"/>
                <w:sz w:val="20"/>
              </w:rPr>
              <w:t>6.71%</w:t>
            </w:r>
          </w:p>
        </w:tc>
        <w:tc>
          <w:tcPr>
            <w:tcW w:w="1613" w:type="dxa"/>
            <w:tcBorders>
              <w:left w:val="single" w:sz="4" w:space="0" w:color="D9D9D9"/>
              <w:right w:val="single" w:sz="4" w:space="0" w:color="D9D9D9"/>
            </w:tcBorders>
          </w:tcPr>
          <w:p>
            <w:pPr>
              <w:pStyle w:val="TableParagraph"/>
              <w:spacing w:before="54"/>
              <w:ind w:right="76"/>
              <w:jc w:val="right"/>
              <w:rPr>
                <w:sz w:val="20"/>
              </w:rPr>
            </w:pPr>
            <w:r>
              <w:rPr>
                <w:w w:val="110"/>
                <w:sz w:val="20"/>
              </w:rPr>
              <w:t>0.20%</w:t>
            </w:r>
          </w:p>
        </w:tc>
        <w:tc>
          <w:tcPr>
            <w:tcW w:w="1613" w:type="dxa"/>
            <w:tcBorders>
              <w:left w:val="single" w:sz="4" w:space="0" w:color="D9D9D9"/>
              <w:right w:val="single" w:sz="4" w:space="0" w:color="D9D9D9"/>
            </w:tcBorders>
          </w:tcPr>
          <w:p>
            <w:pPr>
              <w:pStyle w:val="TableParagraph"/>
              <w:spacing w:before="54"/>
              <w:ind w:right="76"/>
              <w:jc w:val="right"/>
              <w:rPr>
                <w:sz w:val="20"/>
              </w:rPr>
            </w:pPr>
            <w:r>
              <w:rPr>
                <w:w w:val="110"/>
                <w:sz w:val="20"/>
              </w:rPr>
              <w:t>7.53%</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12.82%</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13.44%</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9.40%</w:t>
            </w:r>
          </w:p>
        </w:tc>
      </w:tr>
      <w:tr>
        <w:trPr>
          <w:trHeight w:val="340" w:hRule="atLeast"/>
        </w:trPr>
        <w:tc>
          <w:tcPr>
            <w:tcW w:w="2709" w:type="dxa"/>
            <w:tcBorders>
              <w:right w:val="single" w:sz="4" w:space="0" w:color="D9D9D9"/>
            </w:tcBorders>
          </w:tcPr>
          <w:p>
            <w:pPr>
              <w:pStyle w:val="TableParagraph"/>
              <w:spacing w:before="55"/>
              <w:ind w:left="91"/>
              <w:rPr>
                <w:sz w:val="20"/>
              </w:rPr>
            </w:pPr>
            <w:r>
              <w:rPr>
                <w:w w:val="115"/>
                <w:sz w:val="20"/>
              </w:rPr>
              <w:t>S&amp;P 600 Small Cap</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4.90%</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05"/>
                <w:sz w:val="20"/>
              </w:rPr>
              <w:t>-4.46%</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4.60%</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7.65%</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11.68%</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6.68%</w:t>
            </w:r>
          </w:p>
        </w:tc>
      </w:tr>
      <w:tr>
        <w:trPr>
          <w:trHeight w:val="340" w:hRule="atLeast"/>
        </w:trPr>
        <w:tc>
          <w:tcPr>
            <w:tcW w:w="2709" w:type="dxa"/>
            <w:tcBorders>
              <w:right w:val="single" w:sz="4" w:space="0" w:color="D9D9D9"/>
            </w:tcBorders>
          </w:tcPr>
          <w:p>
            <w:pPr>
              <w:pStyle w:val="TableParagraph"/>
              <w:spacing w:before="55"/>
              <w:ind w:left="91"/>
              <w:rPr>
                <w:sz w:val="20"/>
              </w:rPr>
            </w:pPr>
            <w:r>
              <w:rPr>
                <w:w w:val="110"/>
                <w:sz w:val="20"/>
              </w:rPr>
              <w:t>MSCI EAFE</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11.78%</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19.45%</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17.73%</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15.96%</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11.16%</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7.72%</w:t>
            </w:r>
          </w:p>
        </w:tc>
      </w:tr>
      <w:tr>
        <w:trPr>
          <w:trHeight w:val="340" w:hRule="atLeast"/>
        </w:trPr>
        <w:tc>
          <w:tcPr>
            <w:tcW w:w="2709" w:type="dxa"/>
            <w:tcBorders>
              <w:right w:val="single" w:sz="4" w:space="0" w:color="D9D9D9"/>
            </w:tcBorders>
          </w:tcPr>
          <w:p>
            <w:pPr>
              <w:pStyle w:val="TableParagraph"/>
              <w:spacing w:before="55"/>
              <w:ind w:left="91"/>
              <w:rPr>
                <w:sz w:val="20"/>
              </w:rPr>
            </w:pPr>
            <w:r>
              <w:rPr>
                <w:w w:val="110"/>
                <w:sz w:val="20"/>
              </w:rPr>
              <w:t>MSCI Emerging Markets</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11.99%</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15.27%</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15.29%</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9.70%</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6.81%</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4.20%</w:t>
            </w:r>
          </w:p>
        </w:tc>
      </w:tr>
      <w:tr>
        <w:trPr>
          <w:trHeight w:val="340" w:hRule="atLeast"/>
        </w:trPr>
        <w:tc>
          <w:tcPr>
            <w:tcW w:w="2709" w:type="dxa"/>
            <w:tcBorders>
              <w:right w:val="single" w:sz="4" w:space="0" w:color="D9D9D9"/>
            </w:tcBorders>
            <w:shd w:val="clear" w:color="auto" w:fill="BEBEBE"/>
          </w:tcPr>
          <w:p>
            <w:pPr>
              <w:pStyle w:val="TableParagraph"/>
              <w:spacing w:before="55"/>
              <w:ind w:left="91"/>
              <w:rPr>
                <w:sz w:val="20"/>
              </w:rPr>
            </w:pPr>
            <w:r>
              <w:rPr>
                <w:w w:val="110"/>
                <w:sz w:val="20"/>
              </w:rPr>
              <w:t>Fixed Income</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1.24%</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3.81%</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5.92%</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2.63%</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05"/>
                <w:sz w:val="20"/>
              </w:rPr>
              <w:t>-0.44%</w:t>
            </w:r>
          </w:p>
        </w:tc>
        <w:tc>
          <w:tcPr>
            <w:tcW w:w="1613" w:type="dxa"/>
            <w:tcBorders>
              <w:left w:val="single" w:sz="4" w:space="0" w:color="D9D9D9"/>
              <w:right w:val="single" w:sz="4" w:space="0" w:color="D9D9D9"/>
            </w:tcBorders>
            <w:shd w:val="clear" w:color="auto" w:fill="BEBEBE"/>
          </w:tcPr>
          <w:p>
            <w:pPr>
              <w:pStyle w:val="TableParagraph"/>
              <w:spacing w:before="55"/>
              <w:ind w:right="78"/>
              <w:jc w:val="right"/>
              <w:rPr>
                <w:sz w:val="20"/>
              </w:rPr>
            </w:pPr>
            <w:r>
              <w:rPr>
                <w:w w:val="110"/>
                <w:sz w:val="20"/>
              </w:rPr>
              <w:t>0.49%</w:t>
            </w:r>
          </w:p>
        </w:tc>
      </w:tr>
      <w:tr>
        <w:trPr>
          <w:trHeight w:val="340" w:hRule="atLeast"/>
        </w:trPr>
        <w:tc>
          <w:tcPr>
            <w:tcW w:w="2709" w:type="dxa"/>
            <w:tcBorders>
              <w:right w:val="single" w:sz="4" w:space="0" w:color="D9D9D9"/>
            </w:tcBorders>
          </w:tcPr>
          <w:p>
            <w:pPr>
              <w:pStyle w:val="TableParagraph"/>
              <w:spacing w:before="55"/>
              <w:ind w:left="91"/>
              <w:rPr>
                <w:sz w:val="20"/>
              </w:rPr>
            </w:pPr>
            <w:r>
              <w:rPr>
                <w:w w:val="110"/>
                <w:sz w:val="20"/>
              </w:rPr>
              <w:t>Bloomberg US Agg Bond</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1.21%</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4.02%</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6.08%</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2.55%</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05"/>
                <w:sz w:val="20"/>
              </w:rPr>
              <w:t>-0.73%</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0.42%</w:t>
            </w:r>
          </w:p>
        </w:tc>
      </w:tr>
      <w:tr>
        <w:trPr>
          <w:trHeight w:val="340" w:hRule="atLeast"/>
        </w:trPr>
        <w:tc>
          <w:tcPr>
            <w:tcW w:w="2709" w:type="dxa"/>
            <w:tcBorders>
              <w:right w:val="single" w:sz="4" w:space="0" w:color="D9D9D9"/>
            </w:tcBorders>
            <w:shd w:val="clear" w:color="auto" w:fill="BEBEBE"/>
          </w:tcPr>
          <w:p>
            <w:pPr>
              <w:pStyle w:val="TableParagraph"/>
              <w:spacing w:before="55"/>
              <w:ind w:left="91"/>
              <w:rPr>
                <w:sz w:val="20"/>
              </w:rPr>
            </w:pPr>
            <w:r>
              <w:rPr>
                <w:w w:val="110"/>
                <w:sz w:val="20"/>
              </w:rPr>
              <w:t>Real Return Assets</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0.65%</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4.45%</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6.14%</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2.88%</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2.33%</w:t>
            </w:r>
          </w:p>
        </w:tc>
        <w:tc>
          <w:tcPr>
            <w:tcW w:w="1613" w:type="dxa"/>
            <w:tcBorders>
              <w:left w:val="single" w:sz="4" w:space="0" w:color="D9D9D9"/>
              <w:right w:val="single" w:sz="4" w:space="0" w:color="D9D9D9"/>
            </w:tcBorders>
            <w:shd w:val="clear" w:color="auto" w:fill="BEBEBE"/>
          </w:tcPr>
          <w:p>
            <w:pPr>
              <w:pStyle w:val="TableParagraph"/>
              <w:spacing w:before="55"/>
              <w:ind w:right="78"/>
              <w:jc w:val="right"/>
              <w:rPr>
                <w:sz w:val="20"/>
              </w:rPr>
            </w:pPr>
            <w:r>
              <w:rPr>
                <w:w w:val="110"/>
                <w:sz w:val="20"/>
              </w:rPr>
              <w:t>3.73%</w:t>
            </w:r>
          </w:p>
        </w:tc>
      </w:tr>
      <w:tr>
        <w:trPr>
          <w:trHeight w:val="340" w:hRule="atLeast"/>
        </w:trPr>
        <w:tc>
          <w:tcPr>
            <w:tcW w:w="2709" w:type="dxa"/>
            <w:tcBorders>
              <w:right w:val="single" w:sz="4" w:space="0" w:color="D9D9D9"/>
            </w:tcBorders>
          </w:tcPr>
          <w:p>
            <w:pPr>
              <w:pStyle w:val="TableParagraph"/>
              <w:spacing w:before="55"/>
              <w:ind w:left="91"/>
              <w:rPr>
                <w:sz w:val="20"/>
              </w:rPr>
            </w:pPr>
            <w:r>
              <w:rPr>
                <w:w w:val="110"/>
                <w:sz w:val="20"/>
              </w:rPr>
              <w:t>Bloomberg</w:t>
            </w:r>
            <w:r>
              <w:rPr>
                <w:spacing w:val="-15"/>
                <w:w w:val="110"/>
                <w:sz w:val="20"/>
              </w:rPr>
              <w:t> </w:t>
            </w:r>
            <w:r>
              <w:rPr>
                <w:w w:val="110"/>
                <w:sz w:val="20"/>
              </w:rPr>
              <w:t>US</w:t>
            </w:r>
            <w:r>
              <w:rPr>
                <w:spacing w:val="-19"/>
                <w:w w:val="110"/>
                <w:sz w:val="20"/>
              </w:rPr>
              <w:t> </w:t>
            </w:r>
            <w:r>
              <w:rPr>
                <w:w w:val="110"/>
                <w:sz w:val="20"/>
              </w:rPr>
              <w:t>Treasury</w:t>
            </w:r>
            <w:r>
              <w:rPr>
                <w:spacing w:val="-17"/>
                <w:w w:val="110"/>
                <w:sz w:val="20"/>
              </w:rPr>
              <w:t> </w:t>
            </w:r>
            <w:r>
              <w:rPr>
                <w:w w:val="110"/>
                <w:sz w:val="20"/>
              </w:rPr>
              <w:t>TIPS</w:t>
            </w:r>
          </w:p>
        </w:tc>
        <w:tc>
          <w:tcPr>
            <w:tcW w:w="1613" w:type="dxa"/>
            <w:tcBorders>
              <w:left w:val="single" w:sz="4" w:space="0" w:color="D9D9D9"/>
              <w:right w:val="single" w:sz="4" w:space="0" w:color="D9D9D9"/>
            </w:tcBorders>
          </w:tcPr>
          <w:p>
            <w:pPr>
              <w:pStyle w:val="TableParagraph"/>
              <w:spacing w:before="55"/>
              <w:ind w:right="76"/>
              <w:jc w:val="right"/>
              <w:rPr>
                <w:sz w:val="20"/>
              </w:rPr>
            </w:pPr>
            <w:r>
              <w:rPr>
                <w:w w:val="110"/>
                <w:sz w:val="20"/>
              </w:rPr>
              <w:t>0.48%</w:t>
            </w:r>
          </w:p>
        </w:tc>
        <w:tc>
          <w:tcPr>
            <w:tcW w:w="1613" w:type="dxa"/>
            <w:tcBorders>
              <w:left w:val="single" w:sz="4" w:space="0" w:color="D9D9D9"/>
              <w:right w:val="single" w:sz="4" w:space="0" w:color="D9D9D9"/>
            </w:tcBorders>
          </w:tcPr>
          <w:p>
            <w:pPr>
              <w:pStyle w:val="TableParagraph"/>
              <w:spacing w:before="55"/>
              <w:ind w:right="76"/>
              <w:jc w:val="right"/>
              <w:rPr>
                <w:sz w:val="20"/>
              </w:rPr>
            </w:pPr>
            <w:r>
              <w:rPr>
                <w:w w:val="110"/>
                <w:sz w:val="20"/>
              </w:rPr>
              <w:t>4.67%</w:t>
            </w:r>
          </w:p>
        </w:tc>
        <w:tc>
          <w:tcPr>
            <w:tcW w:w="1613" w:type="dxa"/>
            <w:tcBorders>
              <w:left w:val="single" w:sz="4" w:space="0" w:color="D9D9D9"/>
              <w:right w:val="single" w:sz="4" w:space="0" w:color="D9D9D9"/>
            </w:tcBorders>
          </w:tcPr>
          <w:p>
            <w:pPr>
              <w:pStyle w:val="TableParagraph"/>
              <w:spacing w:before="55"/>
              <w:ind w:right="76"/>
              <w:jc w:val="right"/>
              <w:rPr>
                <w:sz w:val="20"/>
              </w:rPr>
            </w:pPr>
            <w:r>
              <w:rPr>
                <w:w w:val="110"/>
                <w:sz w:val="20"/>
              </w:rPr>
              <w:t>5.84%</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2.34%</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1.61%</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2.54%</w:t>
            </w:r>
          </w:p>
        </w:tc>
      </w:tr>
      <w:tr>
        <w:trPr>
          <w:trHeight w:val="340" w:hRule="atLeast"/>
        </w:trPr>
        <w:tc>
          <w:tcPr>
            <w:tcW w:w="2709" w:type="dxa"/>
            <w:tcBorders>
              <w:right w:val="single" w:sz="4" w:space="0" w:color="D9D9D9"/>
            </w:tcBorders>
          </w:tcPr>
          <w:p>
            <w:pPr>
              <w:pStyle w:val="TableParagraph"/>
              <w:spacing w:before="55"/>
              <w:ind w:left="91"/>
              <w:rPr>
                <w:sz w:val="20"/>
              </w:rPr>
            </w:pPr>
            <w:r>
              <w:rPr>
                <w:w w:val="105"/>
                <w:sz w:val="20"/>
              </w:rPr>
              <w:t>CPI</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0.30%</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0.94%</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2.38%</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2.80%</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4.52%</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3.98%</w:t>
            </w:r>
          </w:p>
        </w:tc>
      </w:tr>
      <w:tr>
        <w:trPr>
          <w:trHeight w:val="350" w:hRule="atLeast"/>
        </w:trPr>
        <w:tc>
          <w:tcPr>
            <w:tcW w:w="2709" w:type="dxa"/>
            <w:tcBorders>
              <w:bottom w:val="nil"/>
              <w:right w:val="single" w:sz="4" w:space="0" w:color="D9D9D9"/>
            </w:tcBorders>
            <w:shd w:val="clear" w:color="auto" w:fill="BEBEBE"/>
          </w:tcPr>
          <w:p>
            <w:pPr>
              <w:pStyle w:val="TableParagraph"/>
              <w:spacing w:before="55"/>
              <w:ind w:left="91"/>
              <w:rPr>
                <w:sz w:val="20"/>
              </w:rPr>
            </w:pPr>
            <w:r>
              <w:rPr>
                <w:w w:val="110"/>
                <w:sz w:val="20"/>
              </w:rPr>
              <w:t>Total Portfolio</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7.09%</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6.65%</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11.45%</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11.21%</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9.10%</w:t>
            </w:r>
          </w:p>
        </w:tc>
        <w:tc>
          <w:tcPr>
            <w:tcW w:w="1613" w:type="dxa"/>
            <w:tcBorders>
              <w:left w:val="single" w:sz="4" w:space="0" w:color="D9D9D9"/>
              <w:bottom w:val="nil"/>
              <w:right w:val="single" w:sz="4" w:space="0" w:color="D9D9D9"/>
            </w:tcBorders>
            <w:shd w:val="clear" w:color="auto" w:fill="BEBEBE"/>
          </w:tcPr>
          <w:p>
            <w:pPr>
              <w:pStyle w:val="TableParagraph"/>
              <w:spacing w:before="55"/>
              <w:ind w:right="78"/>
              <w:jc w:val="right"/>
              <w:rPr>
                <w:sz w:val="20"/>
              </w:rPr>
            </w:pPr>
            <w:r>
              <w:rPr>
                <w:w w:val="110"/>
                <w:sz w:val="20"/>
              </w:rPr>
              <w:t>8.13%</w:t>
            </w:r>
          </w:p>
        </w:tc>
      </w:tr>
    </w:tbl>
    <w:p>
      <w:pPr>
        <w:spacing w:before="36"/>
        <w:ind w:left="1079" w:right="0" w:firstLine="0"/>
        <w:jc w:val="left"/>
        <w:rPr>
          <w:rFonts w:ascii="Gill Sans MT"/>
          <w:sz w:val="14"/>
        </w:rPr>
      </w:pPr>
      <w:r>
        <w:rPr>
          <w:rFonts w:ascii="Gill Sans MT"/>
          <w:w w:val="110"/>
          <w:sz w:val="14"/>
        </w:rPr>
        <w:t>Inception Date: 1/1/2020</w:t>
      </w:r>
    </w:p>
    <w:p>
      <w:pPr>
        <w:spacing w:before="71"/>
        <w:ind w:left="1079" w:right="0" w:firstLine="0"/>
        <w:jc w:val="left"/>
        <w:rPr>
          <w:rFonts w:ascii="Gill Sans MT"/>
          <w:sz w:val="14"/>
        </w:rPr>
      </w:pPr>
      <w:r>
        <w:rPr>
          <w:rFonts w:ascii="Gill Sans MT"/>
          <w:w w:val="115"/>
          <w:sz w:val="14"/>
        </w:rPr>
        <w:t>Total Portfolio is net of fees. CPI as of May 2025.</w:t>
      </w:r>
    </w:p>
    <w:p>
      <w:pPr>
        <w:spacing w:after="0"/>
        <w:jc w:val="left"/>
        <w:rPr>
          <w:rFonts w:ascii="Gill Sans MT"/>
          <w:sz w:val="14"/>
        </w:rPr>
        <w:sectPr>
          <w:headerReference w:type="default" r:id="rId32"/>
          <w:footerReference w:type="default" r:id="rId33"/>
          <w:pgSz w:w="14400" w:h="10800" w:orient="landscape"/>
          <w:pgMar w:header="601" w:footer="1259" w:top="800" w:bottom="1440" w:left="20" w:right="40"/>
          <w:pgNumType w:start="6"/>
        </w:sectPr>
      </w:pPr>
    </w:p>
    <w:tbl>
      <w:tblPr>
        <w:tblW w:w="0" w:type="auto"/>
        <w:jc w:val="left"/>
        <w:tblInd w:w="8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7"/>
      </w:tblGrid>
      <w:tr>
        <w:trPr>
          <w:trHeight w:val="389" w:hRule="atLeast"/>
        </w:trPr>
        <w:tc>
          <w:tcPr>
            <w:tcW w:w="5067" w:type="dxa"/>
          </w:tcPr>
          <w:p>
            <w:pPr>
              <w:pStyle w:val="TableParagraph"/>
              <w:ind w:right="197"/>
              <w:jc w:val="right"/>
              <w:rPr>
                <w:sz w:val="28"/>
              </w:rPr>
            </w:pPr>
            <w:bookmarkStart w:name="Slide 7: Portfolio Holdings" w:id="13"/>
            <w:bookmarkEnd w:id="13"/>
            <w:r>
              <w:rPr/>
            </w:r>
            <w:r>
              <w:rPr>
                <w:w w:val="105"/>
                <w:sz w:val="28"/>
              </w:rPr>
              <w:t>CNY Centro, Inc. Non-Salaried DB Plan</w:t>
            </w:r>
          </w:p>
        </w:tc>
      </w:tr>
      <w:tr>
        <w:trPr>
          <w:trHeight w:val="363" w:hRule="atLeast"/>
        </w:trPr>
        <w:tc>
          <w:tcPr>
            <w:tcW w:w="5067"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3"/>
        <w:rPr>
          <w:rFonts w:ascii="Gill Sans MT"/>
          <w:sz w:val="20"/>
        </w:rPr>
      </w:pPr>
    </w:p>
    <w:tbl>
      <w:tblPr>
        <w:tblW w:w="0" w:type="auto"/>
        <w:jc w:val="left"/>
        <w:tblInd w:w="11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3097"/>
        <w:gridCol w:w="1244"/>
        <w:gridCol w:w="1544"/>
        <w:gridCol w:w="886"/>
        <w:gridCol w:w="1544"/>
        <w:gridCol w:w="886"/>
        <w:gridCol w:w="1544"/>
        <w:gridCol w:w="857"/>
      </w:tblGrid>
      <w:tr>
        <w:trPr>
          <w:trHeight w:val="429" w:hRule="atLeast"/>
        </w:trPr>
        <w:tc>
          <w:tcPr>
            <w:tcW w:w="3097" w:type="dxa"/>
            <w:tcBorders>
              <w:left w:val="single" w:sz="8" w:space="0" w:color="D9D9D9"/>
              <w:bottom w:val="single" w:sz="8" w:space="0" w:color="D9D9D9"/>
              <w:right w:val="single" w:sz="8" w:space="0" w:color="D9D9D9"/>
            </w:tcBorders>
            <w:shd w:val="clear" w:color="auto" w:fill="014612"/>
          </w:tcPr>
          <w:p>
            <w:pPr>
              <w:pStyle w:val="TableParagraph"/>
              <w:spacing w:before="119"/>
              <w:ind w:left="1244" w:right="1218"/>
              <w:jc w:val="center"/>
              <w:rPr>
                <w:sz w:val="16"/>
              </w:rPr>
            </w:pPr>
            <w:r>
              <w:rPr>
                <w:color w:val="FFFFFF"/>
                <w:w w:val="110"/>
                <w:sz w:val="16"/>
              </w:rPr>
              <w:t>Security</w:t>
            </w:r>
          </w:p>
        </w:tc>
        <w:tc>
          <w:tcPr>
            <w:tcW w:w="1244" w:type="dxa"/>
            <w:tcBorders>
              <w:left w:val="single" w:sz="8" w:space="0" w:color="D9D9D9"/>
              <w:bottom w:val="single" w:sz="8" w:space="0" w:color="D9D9D9"/>
              <w:right w:val="single" w:sz="8" w:space="0" w:color="D9D9D9"/>
            </w:tcBorders>
            <w:shd w:val="clear" w:color="auto" w:fill="014612"/>
          </w:tcPr>
          <w:p>
            <w:pPr>
              <w:pStyle w:val="TableParagraph"/>
              <w:spacing w:before="119"/>
              <w:ind w:left="359"/>
              <w:rPr>
                <w:sz w:val="16"/>
              </w:rPr>
            </w:pPr>
            <w:r>
              <w:rPr>
                <w:color w:val="FFFFFF"/>
                <w:w w:val="115"/>
                <w:sz w:val="16"/>
              </w:rPr>
              <w:t>Symbol</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477"/>
              <w:rPr>
                <w:sz w:val="16"/>
              </w:rPr>
            </w:pPr>
            <w:r>
              <w:rPr>
                <w:color w:val="FFFFFF"/>
                <w:w w:val="105"/>
                <w:sz w:val="16"/>
              </w:rPr>
              <w:t>Quantity</w:t>
            </w:r>
          </w:p>
        </w:tc>
        <w:tc>
          <w:tcPr>
            <w:tcW w:w="886" w:type="dxa"/>
            <w:tcBorders>
              <w:left w:val="single" w:sz="8" w:space="0" w:color="D9D9D9"/>
              <w:bottom w:val="single" w:sz="8" w:space="0" w:color="D9D9D9"/>
              <w:right w:val="single" w:sz="8" w:space="0" w:color="D9D9D9"/>
            </w:tcBorders>
            <w:shd w:val="clear" w:color="auto" w:fill="014612"/>
          </w:tcPr>
          <w:p>
            <w:pPr>
              <w:pStyle w:val="TableParagraph"/>
              <w:spacing w:before="119"/>
              <w:ind w:left="2" w:right="-29"/>
              <w:rPr>
                <w:sz w:val="16"/>
              </w:rPr>
            </w:pPr>
            <w:r>
              <w:rPr>
                <w:color w:val="FFFFFF"/>
                <w:w w:val="105"/>
                <w:sz w:val="16"/>
              </w:rPr>
              <w:t>Unit Cost</w:t>
            </w:r>
            <w:r>
              <w:rPr>
                <w:color w:val="FFFFFF"/>
                <w:spacing w:val="-39"/>
                <w:w w:val="105"/>
                <w:sz w:val="16"/>
              </w:rPr>
              <w:t> </w:t>
            </w:r>
            <w:r>
              <w:rPr>
                <w:color w:val="FFFFFF"/>
                <w:w w:val="105"/>
                <w:sz w:val="16"/>
              </w:rPr>
              <w:t>($)</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292"/>
              <w:rPr>
                <w:sz w:val="16"/>
              </w:rPr>
            </w:pPr>
            <w:r>
              <w:rPr>
                <w:color w:val="FFFFFF"/>
                <w:w w:val="105"/>
                <w:sz w:val="16"/>
              </w:rPr>
              <w:t>Total Cost ($)</w:t>
            </w:r>
          </w:p>
        </w:tc>
        <w:tc>
          <w:tcPr>
            <w:tcW w:w="886" w:type="dxa"/>
            <w:tcBorders>
              <w:left w:val="single" w:sz="8" w:space="0" w:color="D9D9D9"/>
              <w:bottom w:val="single" w:sz="8" w:space="0" w:color="D9D9D9"/>
              <w:right w:val="single" w:sz="8" w:space="0" w:color="D9D9D9"/>
            </w:tcBorders>
            <w:shd w:val="clear" w:color="auto" w:fill="014612"/>
          </w:tcPr>
          <w:p>
            <w:pPr>
              <w:pStyle w:val="TableParagraph"/>
              <w:spacing w:before="119"/>
              <w:ind w:right="117"/>
              <w:jc w:val="right"/>
              <w:rPr>
                <w:sz w:val="16"/>
              </w:rPr>
            </w:pPr>
            <w:r>
              <w:rPr>
                <w:color w:val="FFFFFF"/>
                <w:w w:val="110"/>
                <w:sz w:val="16"/>
              </w:rPr>
              <w:t>Price ($)</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459"/>
              <w:rPr>
                <w:sz w:val="16"/>
              </w:rPr>
            </w:pPr>
            <w:r>
              <w:rPr>
                <w:color w:val="FFFFFF"/>
                <w:w w:val="110"/>
                <w:sz w:val="16"/>
              </w:rPr>
              <w:t>Value ($)</w:t>
            </w:r>
          </w:p>
        </w:tc>
        <w:tc>
          <w:tcPr>
            <w:tcW w:w="857" w:type="dxa"/>
            <w:tcBorders>
              <w:left w:val="single" w:sz="8" w:space="0" w:color="D9D9D9"/>
              <w:bottom w:val="single" w:sz="8" w:space="0" w:color="D9D9D9"/>
              <w:right w:val="nil"/>
            </w:tcBorders>
            <w:shd w:val="clear" w:color="auto" w:fill="014612"/>
          </w:tcPr>
          <w:p>
            <w:pPr>
              <w:pStyle w:val="TableParagraph"/>
              <w:spacing w:line="247" w:lineRule="auto" w:before="23"/>
              <w:ind w:left="128" w:right="17" w:hanging="60"/>
              <w:rPr>
                <w:sz w:val="16"/>
              </w:rPr>
            </w:pPr>
            <w:r>
              <w:rPr>
                <w:color w:val="FFFFFF"/>
                <w:w w:val="110"/>
                <w:sz w:val="16"/>
              </w:rPr>
              <w:t>Percent of Portfolio</w:t>
            </w:r>
          </w:p>
        </w:tc>
      </w:tr>
      <w:tr>
        <w:trPr>
          <w:trHeight w:val="171" w:hRule="atLeast"/>
        </w:trPr>
        <w:tc>
          <w:tcPr>
            <w:tcW w:w="3097" w:type="dxa"/>
            <w:tcBorders>
              <w:top w:val="single" w:sz="8" w:space="0" w:color="D9D9D9"/>
              <w:left w:val="nil"/>
              <w:bottom w:val="single" w:sz="8" w:space="0" w:color="D9D9D9"/>
              <w:right w:val="single" w:sz="8" w:space="0" w:color="D9D9D9"/>
            </w:tcBorders>
          </w:tcPr>
          <w:p>
            <w:pPr>
              <w:pStyle w:val="TableParagraph"/>
              <w:rPr>
                <w:rFonts w:ascii="Times New Roman"/>
                <w:sz w:val="10"/>
              </w:rPr>
            </w:pPr>
          </w:p>
        </w:tc>
        <w:tc>
          <w:tcPr>
            <w:tcW w:w="12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57" w:type="dxa"/>
            <w:tcBorders>
              <w:top w:val="single" w:sz="8" w:space="0" w:color="D9D9D9"/>
              <w:left w:val="single" w:sz="8" w:space="0" w:color="D9D9D9"/>
              <w:bottom w:val="single" w:sz="8" w:space="0" w:color="D9D9D9"/>
              <w:right w:val="nil"/>
            </w:tcBorders>
          </w:tcPr>
          <w:p>
            <w:pPr>
              <w:pStyle w:val="TableParagraph"/>
              <w:rPr>
                <w:rFonts w:ascii="Times New Roman"/>
                <w:sz w:val="10"/>
              </w:rPr>
            </w:pPr>
          </w:p>
        </w:tc>
      </w:tr>
      <w:tr>
        <w:trPr>
          <w:trHeight w:val="341" w:hRule="atLeast"/>
        </w:trPr>
        <w:tc>
          <w:tcPr>
            <w:tcW w:w="11602" w:type="dxa"/>
            <w:gridSpan w:val="8"/>
            <w:tcBorders>
              <w:top w:val="single" w:sz="8" w:space="0" w:color="D9D9D9"/>
              <w:left w:val="nil"/>
              <w:bottom w:val="single" w:sz="8" w:space="0" w:color="D9D9D9"/>
              <w:right w:val="nil"/>
            </w:tcBorders>
            <w:shd w:val="clear" w:color="auto" w:fill="014612"/>
          </w:tcPr>
          <w:p>
            <w:pPr>
              <w:pStyle w:val="TableParagraph"/>
              <w:spacing w:before="78"/>
              <w:ind w:left="122"/>
              <w:rPr>
                <w:sz w:val="16"/>
              </w:rPr>
            </w:pPr>
            <w:r>
              <w:rPr>
                <w:color w:val="FFFFFF"/>
                <w:w w:val="115"/>
                <w:sz w:val="16"/>
              </w:rPr>
              <w:t>Cash</w:t>
            </w:r>
          </w:p>
        </w:tc>
      </w:tr>
      <w:tr>
        <w:trPr>
          <w:trHeight w:val="363" w:hRule="atLeast"/>
        </w:trPr>
        <w:tc>
          <w:tcPr>
            <w:tcW w:w="3097" w:type="dxa"/>
            <w:tcBorders>
              <w:top w:val="single" w:sz="8" w:space="0" w:color="D9D9D9"/>
              <w:left w:val="nil"/>
              <w:bottom w:val="single" w:sz="8" w:space="0" w:color="D9D9D9"/>
              <w:right w:val="single" w:sz="8" w:space="0" w:color="D9D9D9"/>
            </w:tcBorders>
          </w:tcPr>
          <w:p>
            <w:pPr>
              <w:pStyle w:val="TableParagraph"/>
              <w:spacing w:line="179" w:lineRule="exact"/>
              <w:ind w:left="122"/>
              <w:rPr>
                <w:sz w:val="16"/>
              </w:rPr>
            </w:pPr>
            <w:r>
              <w:rPr>
                <w:sz w:val="16"/>
              </w:rPr>
              <w:t>FEDERATED HERMES GOVERNMENT</w:t>
            </w:r>
          </w:p>
          <w:p>
            <w:pPr>
              <w:pStyle w:val="TableParagraph"/>
              <w:spacing w:line="159" w:lineRule="exact" w:before="6"/>
              <w:ind w:left="122"/>
              <w:rPr>
                <w:sz w:val="16"/>
              </w:rPr>
            </w:pPr>
            <w:r>
              <w:rPr>
                <w:sz w:val="16"/>
              </w:rPr>
              <w:t>OBLIGATIONS FUND PREMIER</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89"/>
              <w:ind w:left="105"/>
              <w:rPr>
                <w:sz w:val="16"/>
              </w:rPr>
            </w:pPr>
            <w:r>
              <w:rPr>
                <w:sz w:val="16"/>
              </w:rPr>
              <w:t>GOFXX</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3"/>
              <w:jc w:val="right"/>
              <w:rPr>
                <w:sz w:val="16"/>
              </w:rPr>
            </w:pPr>
            <w:r>
              <w:rPr>
                <w:w w:val="110"/>
                <w:sz w:val="16"/>
              </w:rPr>
              <w:t>678,791.78</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left="465"/>
              <w:rPr>
                <w:sz w:val="16"/>
              </w:rPr>
            </w:pPr>
            <w:r>
              <w:rPr>
                <w:w w:val="115"/>
                <w:sz w:val="16"/>
              </w:rPr>
              <w:t>1.00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1"/>
              <w:jc w:val="right"/>
              <w:rPr>
                <w:sz w:val="16"/>
              </w:rPr>
            </w:pPr>
            <w:r>
              <w:rPr>
                <w:w w:val="110"/>
                <w:sz w:val="16"/>
              </w:rPr>
              <w:t>678,791.78</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right="79"/>
              <w:jc w:val="right"/>
              <w:rPr>
                <w:sz w:val="16"/>
              </w:rPr>
            </w:pPr>
            <w:r>
              <w:rPr>
                <w:w w:val="110"/>
                <w:sz w:val="16"/>
              </w:rPr>
              <w:t>1.00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79"/>
              <w:jc w:val="right"/>
              <w:rPr>
                <w:sz w:val="16"/>
              </w:rPr>
            </w:pPr>
            <w:r>
              <w:rPr>
                <w:w w:val="110"/>
                <w:sz w:val="16"/>
              </w:rPr>
              <w:t>678,791.78</w:t>
            </w:r>
          </w:p>
        </w:tc>
        <w:tc>
          <w:tcPr>
            <w:tcW w:w="857" w:type="dxa"/>
            <w:tcBorders>
              <w:top w:val="single" w:sz="8" w:space="0" w:color="D9D9D9"/>
              <w:left w:val="single" w:sz="8" w:space="0" w:color="D9D9D9"/>
              <w:bottom w:val="single" w:sz="8" w:space="0" w:color="D9D9D9"/>
              <w:right w:val="nil"/>
            </w:tcBorders>
          </w:tcPr>
          <w:p>
            <w:pPr>
              <w:pStyle w:val="TableParagraph"/>
              <w:spacing w:before="89"/>
              <w:ind w:right="85"/>
              <w:jc w:val="right"/>
              <w:rPr>
                <w:sz w:val="16"/>
              </w:rPr>
            </w:pPr>
            <w:r>
              <w:rPr>
                <w:w w:val="110"/>
                <w:sz w:val="16"/>
              </w:rPr>
              <w:t>1.64%</w:t>
            </w: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5" w:lineRule="exact" w:before="19"/>
              <w:ind w:left="122"/>
              <w:rPr>
                <w:sz w:val="16"/>
              </w:rPr>
            </w:pPr>
            <w:r>
              <w:rPr>
                <w:sz w:val="16"/>
              </w:rPr>
              <w:t>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80"/>
              <w:jc w:val="right"/>
              <w:rPr>
                <w:sz w:val="16"/>
              </w:rPr>
            </w:pPr>
            <w:r>
              <w:rPr>
                <w:w w:val="110"/>
                <w:sz w:val="16"/>
              </w:rPr>
              <w:t>678,791.78</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78"/>
              <w:jc w:val="right"/>
              <w:rPr>
                <w:sz w:val="16"/>
              </w:rPr>
            </w:pPr>
            <w:r>
              <w:rPr>
                <w:w w:val="110"/>
                <w:sz w:val="16"/>
              </w:rPr>
              <w:t>678,791.78</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5" w:lineRule="exact" w:before="19"/>
              <w:ind w:right="82"/>
              <w:jc w:val="right"/>
              <w:rPr>
                <w:sz w:val="16"/>
              </w:rPr>
            </w:pPr>
            <w:r>
              <w:rPr>
                <w:w w:val="110"/>
                <w:sz w:val="16"/>
              </w:rPr>
              <w:t>1.64%</w:t>
            </w:r>
          </w:p>
        </w:tc>
      </w:tr>
      <w:tr>
        <w:trPr>
          <w:trHeight w:val="224" w:hRule="atLeast"/>
        </w:trPr>
        <w:tc>
          <w:tcPr>
            <w:tcW w:w="11602" w:type="dxa"/>
            <w:gridSpan w:val="8"/>
            <w:tcBorders>
              <w:top w:val="single" w:sz="8" w:space="0" w:color="D9D9D9"/>
              <w:left w:val="nil"/>
              <w:bottom w:val="single" w:sz="8" w:space="0" w:color="D9D9D9"/>
              <w:right w:val="nil"/>
            </w:tcBorders>
            <w:shd w:val="clear" w:color="auto" w:fill="014612"/>
          </w:tcPr>
          <w:p>
            <w:pPr>
              <w:pStyle w:val="TableParagraph"/>
              <w:spacing w:line="185" w:lineRule="exact" w:before="19"/>
              <w:ind w:left="122"/>
              <w:rPr>
                <w:sz w:val="16"/>
              </w:rPr>
            </w:pPr>
            <w:r>
              <w:rPr>
                <w:color w:val="FFFFFF"/>
                <w:w w:val="110"/>
                <w:sz w:val="16"/>
              </w:rPr>
              <w:t>Equity</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10"/>
                <w:sz w:val="16"/>
              </w:rPr>
              <w:t>ISHARES CORE S&amp;P 500</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05"/>
                <w:sz w:val="16"/>
              </w:rPr>
              <w:t>IVV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19,420.00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283"/>
              <w:rPr>
                <w:sz w:val="16"/>
              </w:rPr>
            </w:pPr>
            <w:r>
              <w:rPr>
                <w:w w:val="115"/>
                <w:sz w:val="16"/>
              </w:rPr>
              <w:t>310.31</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6,026,277.80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620.90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12,057,878.00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29.07%</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10"/>
                <w:sz w:val="16"/>
              </w:rPr>
              <w:t>ISHARES CORE MSCI INTL DEV MKTS</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05"/>
                <w:sz w:val="16"/>
              </w:rPr>
              <w:t>IDEV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67,585.00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63.74</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4,307,867.90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76.04</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5,139,163.40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12.39%</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10"/>
                <w:sz w:val="16"/>
              </w:rPr>
              <w:t>ISHARES CORE S&amp;P MID-CAP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25"/>
                <w:sz w:val="16"/>
              </w:rPr>
              <w:t>IJH</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39,120.00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39.13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1,530,880.74</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62.02</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2,426,222.40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5.85%</w:t>
            </w:r>
          </w:p>
        </w:tc>
      </w:tr>
      <w:tr>
        <w:trPr>
          <w:trHeight w:val="387" w:hRule="atLeast"/>
        </w:trPr>
        <w:tc>
          <w:tcPr>
            <w:tcW w:w="3097" w:type="dxa"/>
            <w:tcBorders>
              <w:top w:val="single" w:sz="8" w:space="0" w:color="D9D9D9"/>
              <w:left w:val="nil"/>
              <w:bottom w:val="single" w:sz="8" w:space="0" w:color="D9D9D9"/>
              <w:right w:val="single" w:sz="8" w:space="0" w:color="D9D9D9"/>
            </w:tcBorders>
          </w:tcPr>
          <w:p>
            <w:pPr>
              <w:pStyle w:val="TableParagraph"/>
              <w:spacing w:line="192" w:lineRule="exact" w:before="1"/>
              <w:ind w:left="122" w:right="554"/>
              <w:rPr>
                <w:sz w:val="16"/>
              </w:rPr>
            </w:pPr>
            <w:r>
              <w:rPr>
                <w:w w:val="105"/>
                <w:sz w:val="16"/>
              </w:rPr>
              <w:t>ISHARES CORE MSCI EMERGING MARKETS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101"/>
              <w:ind w:left="105"/>
              <w:rPr>
                <w:sz w:val="16"/>
              </w:rPr>
            </w:pPr>
            <w:r>
              <w:rPr>
                <w:w w:val="105"/>
                <w:sz w:val="16"/>
              </w:rPr>
              <w:t>IEMG</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5"/>
              <w:jc w:val="right"/>
              <w:rPr>
                <w:sz w:val="16"/>
              </w:rPr>
            </w:pPr>
            <w:r>
              <w:rPr>
                <w:w w:val="110"/>
                <w:sz w:val="16"/>
              </w:rPr>
              <w:t>30,370.00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left="374"/>
              <w:rPr>
                <w:sz w:val="16"/>
              </w:rPr>
            </w:pPr>
            <w:r>
              <w:rPr>
                <w:w w:val="115"/>
                <w:sz w:val="16"/>
              </w:rPr>
              <w:t>49.86</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1"/>
              <w:jc w:val="right"/>
              <w:rPr>
                <w:sz w:val="16"/>
              </w:rPr>
            </w:pPr>
            <w:r>
              <w:rPr>
                <w:w w:val="110"/>
                <w:sz w:val="16"/>
              </w:rPr>
              <w:t>1,514,233.88</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60.03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1,823,111.10</w:t>
            </w:r>
          </w:p>
        </w:tc>
        <w:tc>
          <w:tcPr>
            <w:tcW w:w="857" w:type="dxa"/>
            <w:tcBorders>
              <w:top w:val="single" w:sz="8" w:space="0" w:color="D9D9D9"/>
              <w:left w:val="single" w:sz="8" w:space="0" w:color="D9D9D9"/>
              <w:bottom w:val="single" w:sz="8" w:space="0" w:color="D9D9D9"/>
              <w:right w:val="nil"/>
            </w:tcBorders>
          </w:tcPr>
          <w:p>
            <w:pPr>
              <w:pStyle w:val="TableParagraph"/>
              <w:spacing w:before="101"/>
              <w:ind w:right="85"/>
              <w:jc w:val="right"/>
              <w:rPr>
                <w:sz w:val="16"/>
              </w:rPr>
            </w:pPr>
            <w:r>
              <w:rPr>
                <w:w w:val="110"/>
                <w:sz w:val="16"/>
              </w:rPr>
              <w:t>4.40%</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19"/>
              <w:ind w:left="122"/>
              <w:rPr>
                <w:sz w:val="16"/>
              </w:rPr>
            </w:pPr>
            <w:r>
              <w:rPr>
                <w:w w:val="105"/>
                <w:sz w:val="16"/>
              </w:rPr>
              <w:t>ISHARES CORE S&amp;P SMALL-CAP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left="105"/>
              <w:rPr>
                <w:sz w:val="16"/>
              </w:rPr>
            </w:pPr>
            <w:r>
              <w:rPr>
                <w:w w:val="130"/>
                <w:sz w:val="16"/>
              </w:rPr>
              <w:t>IJR</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5"/>
              <w:jc w:val="right"/>
              <w:rPr>
                <w:sz w:val="16"/>
              </w:rPr>
            </w:pPr>
            <w:r>
              <w:rPr>
                <w:w w:val="110"/>
                <w:sz w:val="16"/>
              </w:rPr>
              <w:t>16,275.00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left="374"/>
              <w:rPr>
                <w:sz w:val="16"/>
              </w:rPr>
            </w:pPr>
            <w:r>
              <w:rPr>
                <w:w w:val="115"/>
                <w:sz w:val="16"/>
              </w:rPr>
              <w:t>82.73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1"/>
              <w:jc w:val="right"/>
              <w:rPr>
                <w:sz w:val="16"/>
              </w:rPr>
            </w:pPr>
            <w:r>
              <w:rPr>
                <w:w w:val="110"/>
                <w:sz w:val="16"/>
              </w:rPr>
              <w:t>1,346,492.36</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1"/>
              <w:jc w:val="right"/>
              <w:rPr>
                <w:sz w:val="16"/>
              </w:rPr>
            </w:pPr>
            <w:r>
              <w:rPr>
                <w:w w:val="115"/>
                <w:sz w:val="16"/>
              </w:rPr>
              <w:t>109.29</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79"/>
              <w:jc w:val="right"/>
              <w:rPr>
                <w:sz w:val="16"/>
              </w:rPr>
            </w:pPr>
            <w:r>
              <w:rPr>
                <w:w w:val="110"/>
                <w:sz w:val="16"/>
              </w:rPr>
              <w:t>1,778,694.75</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19"/>
              <w:ind w:right="85"/>
              <w:jc w:val="right"/>
              <w:rPr>
                <w:sz w:val="16"/>
              </w:rPr>
            </w:pPr>
            <w:r>
              <w:rPr>
                <w:w w:val="110"/>
                <w:sz w:val="16"/>
              </w:rPr>
              <w:t>4.29%</w:t>
            </w:r>
          </w:p>
        </w:tc>
      </w:tr>
      <w:tr>
        <w:trPr>
          <w:trHeight w:val="364" w:hRule="atLeast"/>
        </w:trPr>
        <w:tc>
          <w:tcPr>
            <w:tcW w:w="3097" w:type="dxa"/>
            <w:tcBorders>
              <w:top w:val="single" w:sz="8" w:space="0" w:color="D9D9D9"/>
              <w:left w:val="nil"/>
              <w:bottom w:val="single" w:sz="8" w:space="0" w:color="D9D9D9"/>
              <w:right w:val="single" w:sz="8" w:space="0" w:color="D9D9D9"/>
            </w:tcBorders>
          </w:tcPr>
          <w:p>
            <w:pPr>
              <w:pStyle w:val="TableParagraph"/>
              <w:spacing w:line="179" w:lineRule="exact"/>
              <w:ind w:left="122"/>
              <w:rPr>
                <w:sz w:val="16"/>
              </w:rPr>
            </w:pPr>
            <w:r>
              <w:rPr>
                <w:w w:val="105"/>
                <w:sz w:val="16"/>
              </w:rPr>
              <w:t>DIMENSIONAL</w:t>
            </w:r>
            <w:r>
              <w:rPr>
                <w:spacing w:val="-29"/>
                <w:w w:val="105"/>
                <w:sz w:val="16"/>
              </w:rPr>
              <w:t> </w:t>
            </w:r>
            <w:r>
              <w:rPr>
                <w:w w:val="105"/>
                <w:sz w:val="16"/>
              </w:rPr>
              <w:t>US</w:t>
            </w:r>
            <w:r>
              <w:rPr>
                <w:spacing w:val="-23"/>
                <w:w w:val="105"/>
                <w:sz w:val="16"/>
              </w:rPr>
              <w:t> </w:t>
            </w:r>
            <w:r>
              <w:rPr>
                <w:w w:val="105"/>
                <w:sz w:val="16"/>
              </w:rPr>
              <w:t>HIGH</w:t>
            </w:r>
            <w:r>
              <w:rPr>
                <w:spacing w:val="-23"/>
                <w:w w:val="105"/>
                <w:sz w:val="16"/>
              </w:rPr>
              <w:t> </w:t>
            </w:r>
            <w:r>
              <w:rPr>
                <w:w w:val="105"/>
                <w:sz w:val="16"/>
              </w:rPr>
              <w:t>PROFITABILITY</w:t>
            </w:r>
          </w:p>
          <w:p>
            <w:pPr>
              <w:pStyle w:val="TableParagraph"/>
              <w:spacing w:line="158" w:lineRule="exact" w:before="7"/>
              <w:ind w:left="122"/>
              <w:rPr>
                <w:sz w:val="16"/>
              </w:rPr>
            </w:pPr>
            <w:r>
              <w:rPr>
                <w:w w:val="110"/>
                <w:sz w:val="16"/>
              </w:rPr>
              <w:t>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89"/>
              <w:ind w:left="105"/>
              <w:rPr>
                <w:sz w:val="16"/>
              </w:rPr>
            </w:pPr>
            <w:r>
              <w:rPr>
                <w:sz w:val="16"/>
              </w:rPr>
              <w:t>DUHP</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5"/>
              <w:jc w:val="right"/>
              <w:rPr>
                <w:sz w:val="16"/>
              </w:rPr>
            </w:pPr>
            <w:r>
              <w:rPr>
                <w:w w:val="110"/>
                <w:sz w:val="16"/>
              </w:rPr>
              <w:t>27,305.00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left="374"/>
              <w:rPr>
                <w:sz w:val="16"/>
              </w:rPr>
            </w:pPr>
            <w:r>
              <w:rPr>
                <w:w w:val="115"/>
                <w:sz w:val="16"/>
              </w:rPr>
              <w:t>27.43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1"/>
              <w:jc w:val="right"/>
              <w:rPr>
                <w:sz w:val="16"/>
              </w:rPr>
            </w:pPr>
            <w:r>
              <w:rPr>
                <w:w w:val="110"/>
                <w:sz w:val="16"/>
              </w:rPr>
              <w:t>749,053.22</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right="81"/>
              <w:jc w:val="right"/>
              <w:rPr>
                <w:sz w:val="16"/>
              </w:rPr>
            </w:pPr>
            <w:r>
              <w:rPr>
                <w:w w:val="115"/>
                <w:sz w:val="16"/>
              </w:rPr>
              <w:t>35.56</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79"/>
              <w:jc w:val="right"/>
              <w:rPr>
                <w:sz w:val="16"/>
              </w:rPr>
            </w:pPr>
            <w:r>
              <w:rPr>
                <w:w w:val="110"/>
                <w:sz w:val="16"/>
              </w:rPr>
              <w:t>970,965.80</w:t>
            </w:r>
          </w:p>
        </w:tc>
        <w:tc>
          <w:tcPr>
            <w:tcW w:w="857" w:type="dxa"/>
            <w:tcBorders>
              <w:top w:val="single" w:sz="8" w:space="0" w:color="D9D9D9"/>
              <w:left w:val="single" w:sz="8" w:space="0" w:color="D9D9D9"/>
              <w:bottom w:val="single" w:sz="8" w:space="0" w:color="D9D9D9"/>
              <w:right w:val="nil"/>
            </w:tcBorders>
          </w:tcPr>
          <w:p>
            <w:pPr>
              <w:pStyle w:val="TableParagraph"/>
              <w:spacing w:before="89"/>
              <w:ind w:right="85"/>
              <w:jc w:val="right"/>
              <w:rPr>
                <w:sz w:val="16"/>
              </w:rPr>
            </w:pPr>
            <w:r>
              <w:rPr>
                <w:w w:val="110"/>
                <w:sz w:val="16"/>
              </w:rPr>
              <w:t>2.34%</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05"/>
                <w:sz w:val="16"/>
              </w:rPr>
              <w:t>AVANTIS US SMALL CAP VALUE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sz w:val="16"/>
              </w:rPr>
              <w:t>AVUV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10,610.00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83.51</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885,995.62</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5"/>
                <w:sz w:val="16"/>
              </w:rPr>
              <w:t>91.10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966,571.00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2.33%</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05"/>
                <w:sz w:val="16"/>
              </w:rPr>
              <w:t>AVANTIS US LARGE CAP VALUE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05"/>
                <w:sz w:val="16"/>
              </w:rPr>
              <w:t>AVLV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14,060.00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55.20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776,070.88</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68.21</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959,032.60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2.31%</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10"/>
                <w:sz w:val="16"/>
              </w:rPr>
              <w:t>ISHARES MSCI EAFE VALUE</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10"/>
                <w:sz w:val="16"/>
              </w:rPr>
              <w:t>EFV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8,780.00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42.84</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376,155.80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63.48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557,354.40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1.34%</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4" w:lineRule="exact" w:before="20"/>
              <w:ind w:left="122"/>
              <w:rPr>
                <w:sz w:val="16"/>
              </w:rPr>
            </w:pPr>
            <w:r>
              <w:rPr>
                <w:w w:val="105"/>
                <w:sz w:val="16"/>
              </w:rPr>
              <w:t>DFA EMERGING MARKETS VALUE</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left="105"/>
              <w:rPr>
                <w:sz w:val="16"/>
              </w:rPr>
            </w:pPr>
            <w:r>
              <w:rPr>
                <w:sz w:val="16"/>
              </w:rPr>
              <w:t>DFEVX</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85"/>
              <w:jc w:val="right"/>
              <w:rPr>
                <w:sz w:val="16"/>
              </w:rPr>
            </w:pPr>
            <w:r>
              <w:rPr>
                <w:w w:val="110"/>
                <w:sz w:val="16"/>
              </w:rPr>
              <w:t>15,225.40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left="374"/>
              <w:rPr>
                <w:sz w:val="16"/>
              </w:rPr>
            </w:pPr>
            <w:r>
              <w:rPr>
                <w:w w:val="115"/>
                <w:sz w:val="16"/>
              </w:rPr>
              <w:t>25.09</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81"/>
              <w:jc w:val="right"/>
              <w:rPr>
                <w:sz w:val="16"/>
              </w:rPr>
            </w:pPr>
            <w:r>
              <w:rPr>
                <w:w w:val="110"/>
                <w:sz w:val="16"/>
              </w:rPr>
              <w:t>382,039.01</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79"/>
              <w:jc w:val="right"/>
              <w:rPr>
                <w:sz w:val="16"/>
              </w:rPr>
            </w:pPr>
            <w:r>
              <w:rPr>
                <w:w w:val="110"/>
                <w:sz w:val="16"/>
              </w:rPr>
              <w:t>33.87</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79"/>
              <w:jc w:val="right"/>
              <w:rPr>
                <w:sz w:val="16"/>
              </w:rPr>
            </w:pPr>
            <w:r>
              <w:rPr>
                <w:w w:val="110"/>
                <w:sz w:val="16"/>
              </w:rPr>
              <w:t>515,684.13</w:t>
            </w:r>
          </w:p>
        </w:tc>
        <w:tc>
          <w:tcPr>
            <w:tcW w:w="857" w:type="dxa"/>
            <w:tcBorders>
              <w:top w:val="single" w:sz="8" w:space="0" w:color="D9D9D9"/>
              <w:left w:val="single" w:sz="8" w:space="0" w:color="D9D9D9"/>
              <w:bottom w:val="single" w:sz="8" w:space="0" w:color="D9D9D9"/>
              <w:right w:val="nil"/>
            </w:tcBorders>
          </w:tcPr>
          <w:p>
            <w:pPr>
              <w:pStyle w:val="TableParagraph"/>
              <w:spacing w:line="184" w:lineRule="exact" w:before="20"/>
              <w:ind w:right="85"/>
              <w:jc w:val="right"/>
              <w:rPr>
                <w:sz w:val="16"/>
              </w:rPr>
            </w:pPr>
            <w:r>
              <w:rPr>
                <w:w w:val="110"/>
                <w:sz w:val="16"/>
              </w:rPr>
              <w:t>1.24%</w:t>
            </w: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4" w:lineRule="exact" w:before="20"/>
              <w:ind w:left="122"/>
              <w:rPr>
                <w:sz w:val="16"/>
              </w:rPr>
            </w:pPr>
            <w:r>
              <w:rPr>
                <w:sz w:val="16"/>
              </w:rPr>
              <w:t>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4" w:lineRule="exact" w:before="20"/>
              <w:ind w:right="78"/>
              <w:jc w:val="right"/>
              <w:rPr>
                <w:sz w:val="16"/>
              </w:rPr>
            </w:pPr>
            <w:r>
              <w:rPr>
                <w:w w:val="110"/>
                <w:sz w:val="16"/>
              </w:rPr>
              <w:t>17,895,067.21</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4" w:lineRule="exact" w:before="20"/>
              <w:ind w:right="75"/>
              <w:jc w:val="right"/>
              <w:rPr>
                <w:sz w:val="16"/>
              </w:rPr>
            </w:pPr>
            <w:r>
              <w:rPr>
                <w:w w:val="110"/>
                <w:sz w:val="16"/>
              </w:rPr>
              <w:t>27,194,677.58</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4" w:lineRule="exact" w:before="20"/>
              <w:ind w:right="80"/>
              <w:jc w:val="right"/>
              <w:rPr>
                <w:sz w:val="16"/>
              </w:rPr>
            </w:pPr>
            <w:r>
              <w:rPr>
                <w:w w:val="110"/>
                <w:sz w:val="16"/>
              </w:rPr>
              <w:t>65.56%</w:t>
            </w:r>
          </w:p>
        </w:tc>
      </w:tr>
      <w:tr>
        <w:trPr>
          <w:trHeight w:val="224" w:hRule="atLeast"/>
        </w:trPr>
        <w:tc>
          <w:tcPr>
            <w:tcW w:w="11602" w:type="dxa"/>
            <w:gridSpan w:val="8"/>
            <w:tcBorders>
              <w:top w:val="single" w:sz="8" w:space="0" w:color="D9D9D9"/>
              <w:left w:val="nil"/>
              <w:bottom w:val="single" w:sz="8" w:space="0" w:color="D9D9D9"/>
              <w:right w:val="nil"/>
            </w:tcBorders>
            <w:shd w:val="clear" w:color="auto" w:fill="014612"/>
          </w:tcPr>
          <w:p>
            <w:pPr>
              <w:pStyle w:val="TableParagraph"/>
              <w:spacing w:line="184" w:lineRule="exact" w:before="20"/>
              <w:ind w:left="122"/>
              <w:rPr>
                <w:sz w:val="16"/>
              </w:rPr>
            </w:pPr>
            <w:r>
              <w:rPr>
                <w:color w:val="FFFFFF"/>
                <w:w w:val="110"/>
                <w:sz w:val="16"/>
              </w:rPr>
              <w:t>Fixed Income</w:t>
            </w:r>
          </w:p>
        </w:tc>
      </w:tr>
      <w:tr>
        <w:trPr>
          <w:trHeight w:val="363" w:hRule="atLeast"/>
        </w:trPr>
        <w:tc>
          <w:tcPr>
            <w:tcW w:w="3097" w:type="dxa"/>
            <w:tcBorders>
              <w:top w:val="single" w:sz="8" w:space="0" w:color="D9D9D9"/>
              <w:left w:val="nil"/>
              <w:bottom w:val="single" w:sz="8" w:space="0" w:color="D9D9D9"/>
              <w:right w:val="single" w:sz="8" w:space="0" w:color="D9D9D9"/>
            </w:tcBorders>
          </w:tcPr>
          <w:p>
            <w:pPr>
              <w:pStyle w:val="TableParagraph"/>
              <w:spacing w:line="180" w:lineRule="exact"/>
              <w:ind w:left="122"/>
              <w:rPr>
                <w:sz w:val="16"/>
              </w:rPr>
            </w:pPr>
            <w:r>
              <w:rPr>
                <w:sz w:val="16"/>
              </w:rPr>
              <w:t>VANGUARD TOTAL BOND MARKET</w:t>
            </w:r>
          </w:p>
          <w:p>
            <w:pPr>
              <w:pStyle w:val="TableParagraph"/>
              <w:spacing w:line="158" w:lineRule="exact" w:before="6"/>
              <w:ind w:left="122"/>
              <w:rPr>
                <w:sz w:val="16"/>
              </w:rPr>
            </w:pPr>
            <w:r>
              <w:rPr>
                <w:sz w:val="16"/>
              </w:rPr>
              <w:t>INDEX I</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90"/>
              <w:ind w:left="105"/>
              <w:rPr>
                <w:sz w:val="16"/>
              </w:rPr>
            </w:pPr>
            <w:r>
              <w:rPr>
                <w:sz w:val="16"/>
              </w:rPr>
              <w:t>VBTIX</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90"/>
              <w:ind w:right="83"/>
              <w:jc w:val="right"/>
              <w:rPr>
                <w:sz w:val="16"/>
              </w:rPr>
            </w:pPr>
            <w:r>
              <w:rPr>
                <w:w w:val="110"/>
                <w:sz w:val="16"/>
              </w:rPr>
              <w:t>997,776.38</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90"/>
              <w:ind w:left="374"/>
              <w:rPr>
                <w:sz w:val="16"/>
              </w:rPr>
            </w:pPr>
            <w:r>
              <w:rPr>
                <w:w w:val="115"/>
                <w:sz w:val="16"/>
              </w:rPr>
              <w:t>10.49</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90"/>
              <w:ind w:right="84"/>
              <w:jc w:val="right"/>
              <w:rPr>
                <w:sz w:val="16"/>
              </w:rPr>
            </w:pPr>
            <w:r>
              <w:rPr>
                <w:w w:val="110"/>
                <w:sz w:val="16"/>
              </w:rPr>
              <w:t>10,468,944.68</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90"/>
              <w:ind w:right="79"/>
              <w:jc w:val="right"/>
              <w:rPr>
                <w:sz w:val="16"/>
              </w:rPr>
            </w:pPr>
            <w:r>
              <w:rPr>
                <w:w w:val="110"/>
                <w:sz w:val="16"/>
              </w:rPr>
              <w:t>9.68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90"/>
              <w:ind w:right="79"/>
              <w:jc w:val="right"/>
              <w:rPr>
                <w:sz w:val="16"/>
              </w:rPr>
            </w:pPr>
            <w:r>
              <w:rPr>
                <w:w w:val="110"/>
                <w:sz w:val="16"/>
              </w:rPr>
              <w:t>9,658,475.37</w:t>
            </w:r>
          </w:p>
        </w:tc>
        <w:tc>
          <w:tcPr>
            <w:tcW w:w="857" w:type="dxa"/>
            <w:tcBorders>
              <w:top w:val="single" w:sz="8" w:space="0" w:color="D9D9D9"/>
              <w:left w:val="single" w:sz="8" w:space="0" w:color="D9D9D9"/>
              <w:bottom w:val="single" w:sz="8" w:space="0" w:color="D9D9D9"/>
              <w:right w:val="nil"/>
            </w:tcBorders>
          </w:tcPr>
          <w:p>
            <w:pPr>
              <w:pStyle w:val="TableParagraph"/>
              <w:spacing w:before="90"/>
              <w:ind w:right="85"/>
              <w:jc w:val="right"/>
              <w:rPr>
                <w:sz w:val="16"/>
              </w:rPr>
            </w:pPr>
            <w:r>
              <w:rPr>
                <w:w w:val="110"/>
                <w:sz w:val="16"/>
              </w:rPr>
              <w:t>23.28%</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4" w:lineRule="exact" w:before="20"/>
              <w:ind w:left="122"/>
              <w:rPr>
                <w:sz w:val="16"/>
              </w:rPr>
            </w:pPr>
            <w:r>
              <w:rPr>
                <w:w w:val="105"/>
                <w:sz w:val="16"/>
              </w:rPr>
              <w:t>ISHARES US TREASURY BOND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left="105"/>
              <w:rPr>
                <w:sz w:val="16"/>
              </w:rPr>
            </w:pPr>
            <w:r>
              <w:rPr>
                <w:sz w:val="16"/>
              </w:rPr>
              <w:t>GOVT</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85"/>
              <w:jc w:val="right"/>
              <w:rPr>
                <w:sz w:val="16"/>
              </w:rPr>
            </w:pPr>
            <w:r>
              <w:rPr>
                <w:w w:val="110"/>
                <w:sz w:val="16"/>
              </w:rPr>
              <w:t>45,935.00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left="374"/>
              <w:rPr>
                <w:sz w:val="16"/>
              </w:rPr>
            </w:pPr>
            <w:r>
              <w:rPr>
                <w:w w:val="115"/>
                <w:sz w:val="16"/>
              </w:rPr>
              <w:t>23.11</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81"/>
              <w:jc w:val="right"/>
              <w:rPr>
                <w:sz w:val="16"/>
              </w:rPr>
            </w:pPr>
            <w:r>
              <w:rPr>
                <w:w w:val="110"/>
                <w:sz w:val="16"/>
              </w:rPr>
              <w:t>1,061,573.32</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79"/>
              <w:jc w:val="right"/>
              <w:rPr>
                <w:sz w:val="16"/>
              </w:rPr>
            </w:pPr>
            <w:r>
              <w:rPr>
                <w:w w:val="110"/>
                <w:sz w:val="16"/>
              </w:rPr>
              <w:t>22.98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79"/>
              <w:jc w:val="right"/>
              <w:rPr>
                <w:sz w:val="16"/>
              </w:rPr>
            </w:pPr>
            <w:r>
              <w:rPr>
                <w:w w:val="110"/>
                <w:sz w:val="16"/>
              </w:rPr>
              <w:t>1,055,586.30</w:t>
            </w:r>
          </w:p>
        </w:tc>
        <w:tc>
          <w:tcPr>
            <w:tcW w:w="857" w:type="dxa"/>
            <w:tcBorders>
              <w:top w:val="single" w:sz="8" w:space="0" w:color="D9D9D9"/>
              <w:left w:val="single" w:sz="8" w:space="0" w:color="D9D9D9"/>
              <w:bottom w:val="single" w:sz="8" w:space="0" w:color="D9D9D9"/>
              <w:right w:val="nil"/>
            </w:tcBorders>
          </w:tcPr>
          <w:p>
            <w:pPr>
              <w:pStyle w:val="TableParagraph"/>
              <w:spacing w:line="184" w:lineRule="exact" w:before="20"/>
              <w:ind w:right="85"/>
              <w:jc w:val="right"/>
              <w:rPr>
                <w:sz w:val="16"/>
              </w:rPr>
            </w:pPr>
            <w:r>
              <w:rPr>
                <w:w w:val="110"/>
                <w:sz w:val="16"/>
              </w:rPr>
              <w:t>2.54%</w:t>
            </w:r>
          </w:p>
        </w:tc>
      </w:tr>
    </w:tbl>
    <w:p>
      <w:pPr>
        <w:spacing w:after="0" w:line="184" w:lineRule="exact"/>
        <w:jc w:val="right"/>
        <w:rPr>
          <w:sz w:val="16"/>
        </w:rPr>
        <w:sectPr>
          <w:headerReference w:type="default" r:id="rId34"/>
          <w:footerReference w:type="default" r:id="rId35"/>
          <w:pgSz w:w="14400" w:h="10800" w:orient="landscape"/>
          <w:pgMar w:header="601" w:footer="1259" w:top="800" w:bottom="1440" w:left="20" w:right="40"/>
          <w:pgNumType w:start="7"/>
        </w:sectPr>
      </w:pPr>
    </w:p>
    <w:tbl>
      <w:tblPr>
        <w:tblW w:w="0" w:type="auto"/>
        <w:jc w:val="left"/>
        <w:tblInd w:w="8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7"/>
      </w:tblGrid>
      <w:tr>
        <w:trPr>
          <w:trHeight w:val="389" w:hRule="atLeast"/>
        </w:trPr>
        <w:tc>
          <w:tcPr>
            <w:tcW w:w="5067" w:type="dxa"/>
          </w:tcPr>
          <w:p>
            <w:pPr>
              <w:pStyle w:val="TableParagraph"/>
              <w:ind w:right="197"/>
              <w:jc w:val="right"/>
              <w:rPr>
                <w:sz w:val="28"/>
              </w:rPr>
            </w:pPr>
            <w:bookmarkStart w:name="Slide 8: Portfolio Holdings" w:id="14"/>
            <w:bookmarkEnd w:id="14"/>
            <w:r>
              <w:rPr/>
            </w:r>
            <w:r>
              <w:rPr>
                <w:w w:val="105"/>
                <w:sz w:val="28"/>
              </w:rPr>
              <w:t>CNY Centro, Inc. Non-Salaried DB Plan</w:t>
            </w:r>
          </w:p>
        </w:tc>
      </w:tr>
      <w:tr>
        <w:trPr>
          <w:trHeight w:val="363" w:hRule="atLeast"/>
        </w:trPr>
        <w:tc>
          <w:tcPr>
            <w:tcW w:w="5067"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3"/>
        <w:rPr>
          <w:rFonts w:ascii="Gill Sans MT"/>
          <w:sz w:val="20"/>
        </w:rPr>
      </w:pPr>
    </w:p>
    <w:tbl>
      <w:tblPr>
        <w:tblW w:w="0" w:type="auto"/>
        <w:jc w:val="left"/>
        <w:tblInd w:w="11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3097"/>
        <w:gridCol w:w="1244"/>
        <w:gridCol w:w="1544"/>
        <w:gridCol w:w="886"/>
        <w:gridCol w:w="1544"/>
        <w:gridCol w:w="886"/>
        <w:gridCol w:w="1544"/>
        <w:gridCol w:w="857"/>
      </w:tblGrid>
      <w:tr>
        <w:trPr>
          <w:trHeight w:val="429" w:hRule="atLeast"/>
        </w:trPr>
        <w:tc>
          <w:tcPr>
            <w:tcW w:w="3097" w:type="dxa"/>
            <w:tcBorders>
              <w:left w:val="single" w:sz="8" w:space="0" w:color="D9D9D9"/>
              <w:bottom w:val="single" w:sz="8" w:space="0" w:color="D9D9D9"/>
              <w:right w:val="single" w:sz="8" w:space="0" w:color="D9D9D9"/>
            </w:tcBorders>
            <w:shd w:val="clear" w:color="auto" w:fill="014612"/>
          </w:tcPr>
          <w:p>
            <w:pPr>
              <w:pStyle w:val="TableParagraph"/>
              <w:spacing w:before="119"/>
              <w:ind w:left="1244" w:right="1218"/>
              <w:jc w:val="center"/>
              <w:rPr>
                <w:sz w:val="16"/>
              </w:rPr>
            </w:pPr>
            <w:r>
              <w:rPr>
                <w:color w:val="FFFFFF"/>
                <w:w w:val="110"/>
                <w:sz w:val="16"/>
              </w:rPr>
              <w:t>Security</w:t>
            </w:r>
          </w:p>
        </w:tc>
        <w:tc>
          <w:tcPr>
            <w:tcW w:w="1244" w:type="dxa"/>
            <w:tcBorders>
              <w:left w:val="single" w:sz="8" w:space="0" w:color="D9D9D9"/>
              <w:bottom w:val="single" w:sz="8" w:space="0" w:color="D9D9D9"/>
              <w:right w:val="single" w:sz="8" w:space="0" w:color="D9D9D9"/>
            </w:tcBorders>
            <w:shd w:val="clear" w:color="auto" w:fill="014612"/>
          </w:tcPr>
          <w:p>
            <w:pPr>
              <w:pStyle w:val="TableParagraph"/>
              <w:spacing w:before="119"/>
              <w:ind w:left="359"/>
              <w:rPr>
                <w:sz w:val="16"/>
              </w:rPr>
            </w:pPr>
            <w:r>
              <w:rPr>
                <w:color w:val="FFFFFF"/>
                <w:w w:val="115"/>
                <w:sz w:val="16"/>
              </w:rPr>
              <w:t>Symbol</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477"/>
              <w:rPr>
                <w:sz w:val="16"/>
              </w:rPr>
            </w:pPr>
            <w:r>
              <w:rPr>
                <w:color w:val="FFFFFF"/>
                <w:w w:val="105"/>
                <w:sz w:val="16"/>
              </w:rPr>
              <w:t>Quantity</w:t>
            </w:r>
          </w:p>
        </w:tc>
        <w:tc>
          <w:tcPr>
            <w:tcW w:w="886" w:type="dxa"/>
            <w:tcBorders>
              <w:left w:val="single" w:sz="8" w:space="0" w:color="D9D9D9"/>
              <w:bottom w:val="single" w:sz="8" w:space="0" w:color="D9D9D9"/>
              <w:right w:val="single" w:sz="8" w:space="0" w:color="D9D9D9"/>
            </w:tcBorders>
            <w:shd w:val="clear" w:color="auto" w:fill="014612"/>
          </w:tcPr>
          <w:p>
            <w:pPr>
              <w:pStyle w:val="TableParagraph"/>
              <w:spacing w:before="119"/>
              <w:ind w:left="2" w:right="-29"/>
              <w:rPr>
                <w:sz w:val="16"/>
              </w:rPr>
            </w:pPr>
            <w:r>
              <w:rPr>
                <w:color w:val="FFFFFF"/>
                <w:w w:val="105"/>
                <w:sz w:val="16"/>
              </w:rPr>
              <w:t>Unit Cost</w:t>
            </w:r>
            <w:r>
              <w:rPr>
                <w:color w:val="FFFFFF"/>
                <w:spacing w:val="-39"/>
                <w:w w:val="105"/>
                <w:sz w:val="16"/>
              </w:rPr>
              <w:t> </w:t>
            </w:r>
            <w:r>
              <w:rPr>
                <w:color w:val="FFFFFF"/>
                <w:w w:val="105"/>
                <w:sz w:val="16"/>
              </w:rPr>
              <w:t>($)</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292"/>
              <w:rPr>
                <w:sz w:val="16"/>
              </w:rPr>
            </w:pPr>
            <w:r>
              <w:rPr>
                <w:color w:val="FFFFFF"/>
                <w:w w:val="105"/>
                <w:sz w:val="16"/>
              </w:rPr>
              <w:t>Total Cost ($)</w:t>
            </w:r>
          </w:p>
        </w:tc>
        <w:tc>
          <w:tcPr>
            <w:tcW w:w="886" w:type="dxa"/>
            <w:tcBorders>
              <w:left w:val="single" w:sz="8" w:space="0" w:color="D9D9D9"/>
              <w:bottom w:val="single" w:sz="8" w:space="0" w:color="D9D9D9"/>
              <w:right w:val="single" w:sz="8" w:space="0" w:color="D9D9D9"/>
            </w:tcBorders>
            <w:shd w:val="clear" w:color="auto" w:fill="014612"/>
          </w:tcPr>
          <w:p>
            <w:pPr>
              <w:pStyle w:val="TableParagraph"/>
              <w:spacing w:before="119"/>
              <w:ind w:right="117"/>
              <w:jc w:val="right"/>
              <w:rPr>
                <w:sz w:val="16"/>
              </w:rPr>
            </w:pPr>
            <w:r>
              <w:rPr>
                <w:color w:val="FFFFFF"/>
                <w:w w:val="110"/>
                <w:sz w:val="16"/>
              </w:rPr>
              <w:t>Price ($)</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459"/>
              <w:rPr>
                <w:sz w:val="16"/>
              </w:rPr>
            </w:pPr>
            <w:r>
              <w:rPr>
                <w:color w:val="FFFFFF"/>
                <w:w w:val="110"/>
                <w:sz w:val="16"/>
              </w:rPr>
              <w:t>Value ($)</w:t>
            </w:r>
          </w:p>
        </w:tc>
        <w:tc>
          <w:tcPr>
            <w:tcW w:w="857" w:type="dxa"/>
            <w:tcBorders>
              <w:left w:val="single" w:sz="8" w:space="0" w:color="D9D9D9"/>
              <w:bottom w:val="single" w:sz="8" w:space="0" w:color="D9D9D9"/>
              <w:right w:val="nil"/>
            </w:tcBorders>
            <w:shd w:val="clear" w:color="auto" w:fill="014612"/>
          </w:tcPr>
          <w:p>
            <w:pPr>
              <w:pStyle w:val="TableParagraph"/>
              <w:spacing w:line="247" w:lineRule="auto" w:before="23"/>
              <w:ind w:left="128" w:right="17" w:hanging="60"/>
              <w:rPr>
                <w:sz w:val="16"/>
              </w:rPr>
            </w:pPr>
            <w:r>
              <w:rPr>
                <w:color w:val="FFFFFF"/>
                <w:w w:val="110"/>
                <w:sz w:val="16"/>
              </w:rPr>
              <w:t>Percent of Portfolio</w:t>
            </w:r>
          </w:p>
        </w:tc>
      </w:tr>
      <w:tr>
        <w:trPr>
          <w:trHeight w:val="171" w:hRule="atLeast"/>
        </w:trPr>
        <w:tc>
          <w:tcPr>
            <w:tcW w:w="3097" w:type="dxa"/>
            <w:tcBorders>
              <w:top w:val="single" w:sz="8" w:space="0" w:color="D9D9D9"/>
              <w:left w:val="nil"/>
              <w:bottom w:val="single" w:sz="8" w:space="0" w:color="D9D9D9"/>
              <w:right w:val="single" w:sz="8" w:space="0" w:color="D9D9D9"/>
            </w:tcBorders>
          </w:tcPr>
          <w:p>
            <w:pPr>
              <w:pStyle w:val="TableParagraph"/>
              <w:rPr>
                <w:rFonts w:ascii="Times New Roman"/>
                <w:sz w:val="10"/>
              </w:rPr>
            </w:pPr>
          </w:p>
        </w:tc>
        <w:tc>
          <w:tcPr>
            <w:tcW w:w="12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57" w:type="dxa"/>
            <w:tcBorders>
              <w:top w:val="single" w:sz="8" w:space="0" w:color="D9D9D9"/>
              <w:left w:val="single" w:sz="8" w:space="0" w:color="D9D9D9"/>
              <w:bottom w:val="single" w:sz="8" w:space="0" w:color="D9D9D9"/>
              <w:right w:val="nil"/>
            </w:tcBorders>
          </w:tcPr>
          <w:p>
            <w:pPr>
              <w:pStyle w:val="TableParagraph"/>
              <w:rPr>
                <w:rFonts w:ascii="Times New Roman"/>
                <w:sz w:val="10"/>
              </w:rPr>
            </w:pPr>
          </w:p>
        </w:tc>
      </w:tr>
      <w:tr>
        <w:trPr>
          <w:trHeight w:val="387" w:hRule="atLeast"/>
        </w:trPr>
        <w:tc>
          <w:tcPr>
            <w:tcW w:w="3097" w:type="dxa"/>
            <w:tcBorders>
              <w:top w:val="single" w:sz="8" w:space="0" w:color="D9D9D9"/>
              <w:left w:val="nil"/>
              <w:bottom w:val="single" w:sz="8" w:space="0" w:color="D9D9D9"/>
              <w:right w:val="single" w:sz="8" w:space="0" w:color="D9D9D9"/>
            </w:tcBorders>
          </w:tcPr>
          <w:p>
            <w:pPr>
              <w:pStyle w:val="TableParagraph"/>
              <w:spacing w:line="192" w:lineRule="exact"/>
              <w:ind w:left="122" w:right="639"/>
              <w:rPr>
                <w:sz w:val="16"/>
              </w:rPr>
            </w:pPr>
            <w:r>
              <w:rPr>
                <w:sz w:val="16"/>
              </w:rPr>
              <w:t>LEHMAN BROTHERS HOLDINGS </w:t>
            </w:r>
            <w:r>
              <w:rPr>
                <w:w w:val="105"/>
                <w:sz w:val="16"/>
              </w:rPr>
              <w:t>ESCROW 3.95% 12/29/2050</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101"/>
              <w:ind w:left="105"/>
              <w:rPr>
                <w:sz w:val="16"/>
              </w:rPr>
            </w:pPr>
            <w:r>
              <w:rPr>
                <w:w w:val="112"/>
                <w:sz w:val="16"/>
              </w:rPr>
              <w:t>525</w:t>
            </w:r>
            <w:r>
              <w:rPr>
                <w:spacing w:val="-1"/>
                <w:w w:val="121"/>
                <w:sz w:val="16"/>
              </w:rPr>
              <w:t>E</w:t>
            </w:r>
            <w:r>
              <w:rPr>
                <w:w w:val="121"/>
                <w:sz w:val="16"/>
              </w:rPr>
              <w:t>S</w:t>
            </w:r>
            <w:r>
              <w:rPr>
                <w:w w:val="92"/>
                <w:sz w:val="16"/>
              </w:rPr>
              <w:t>C</w:t>
            </w:r>
            <w:r>
              <w:rPr>
                <w:w w:val="112"/>
                <w:sz w:val="16"/>
              </w:rPr>
              <w:t>6</w:t>
            </w:r>
            <w:r>
              <w:rPr>
                <w:spacing w:val="-3"/>
                <w:w w:val="221"/>
                <w:sz w:val="16"/>
              </w:rPr>
              <w:t>J</w:t>
            </w:r>
            <w:r>
              <w:rPr>
                <w:w w:val="112"/>
                <w:sz w:val="16"/>
              </w:rPr>
              <w:t>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3"/>
              <w:jc w:val="right"/>
              <w:rPr>
                <w:sz w:val="16"/>
              </w:rPr>
            </w:pPr>
            <w:r>
              <w:rPr>
                <w:w w:val="110"/>
                <w:sz w:val="16"/>
              </w:rPr>
              <w:t>200,000.00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left="465"/>
              <w:rPr>
                <w:sz w:val="16"/>
              </w:rPr>
            </w:pPr>
            <w:r>
              <w:rPr>
                <w:w w:val="115"/>
                <w:sz w:val="16"/>
              </w:rPr>
              <w:t>0.52</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1"/>
              <w:jc w:val="right"/>
              <w:rPr>
                <w:sz w:val="16"/>
              </w:rPr>
            </w:pPr>
            <w:r>
              <w:rPr>
                <w:w w:val="110"/>
                <w:sz w:val="16"/>
              </w:rPr>
              <w:t>103,634.40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0.00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90.00</w:t>
            </w:r>
          </w:p>
        </w:tc>
        <w:tc>
          <w:tcPr>
            <w:tcW w:w="857" w:type="dxa"/>
            <w:tcBorders>
              <w:top w:val="single" w:sz="8" w:space="0" w:color="D9D9D9"/>
              <w:left w:val="single" w:sz="8" w:space="0" w:color="D9D9D9"/>
              <w:bottom w:val="single" w:sz="8" w:space="0" w:color="D9D9D9"/>
              <w:right w:val="nil"/>
            </w:tcBorders>
          </w:tcPr>
          <w:p>
            <w:pPr>
              <w:pStyle w:val="TableParagraph"/>
              <w:spacing w:before="101"/>
              <w:ind w:right="85"/>
              <w:jc w:val="right"/>
              <w:rPr>
                <w:sz w:val="16"/>
              </w:rPr>
            </w:pPr>
            <w:r>
              <w:rPr>
                <w:w w:val="110"/>
                <w:sz w:val="16"/>
              </w:rPr>
              <w:t>0.00%</w:t>
            </w: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5" w:lineRule="exact" w:before="19"/>
              <w:ind w:left="122"/>
              <w:rPr>
                <w:sz w:val="16"/>
              </w:rPr>
            </w:pPr>
            <w:r>
              <w:rPr>
                <w:sz w:val="16"/>
              </w:rPr>
              <w:t>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78"/>
              <w:jc w:val="right"/>
              <w:rPr>
                <w:sz w:val="16"/>
              </w:rPr>
            </w:pPr>
            <w:r>
              <w:rPr>
                <w:w w:val="110"/>
                <w:sz w:val="16"/>
              </w:rPr>
              <w:t>11,634,152.40</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75"/>
              <w:jc w:val="right"/>
              <w:rPr>
                <w:sz w:val="16"/>
              </w:rPr>
            </w:pPr>
            <w:r>
              <w:rPr>
                <w:w w:val="110"/>
                <w:sz w:val="16"/>
              </w:rPr>
              <w:t>10,714,151.67</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5" w:lineRule="exact" w:before="19"/>
              <w:ind w:right="80"/>
              <w:jc w:val="right"/>
              <w:rPr>
                <w:sz w:val="16"/>
              </w:rPr>
            </w:pPr>
            <w:r>
              <w:rPr>
                <w:w w:val="110"/>
                <w:sz w:val="16"/>
              </w:rPr>
              <w:t>25.83%</w:t>
            </w:r>
          </w:p>
        </w:tc>
      </w:tr>
      <w:tr>
        <w:trPr>
          <w:trHeight w:val="224" w:hRule="atLeast"/>
        </w:trPr>
        <w:tc>
          <w:tcPr>
            <w:tcW w:w="11602" w:type="dxa"/>
            <w:gridSpan w:val="8"/>
            <w:tcBorders>
              <w:top w:val="single" w:sz="8" w:space="0" w:color="D9D9D9"/>
              <w:left w:val="nil"/>
              <w:bottom w:val="single" w:sz="8" w:space="0" w:color="D9D9D9"/>
              <w:right w:val="nil"/>
            </w:tcBorders>
            <w:shd w:val="clear" w:color="auto" w:fill="014612"/>
          </w:tcPr>
          <w:p>
            <w:pPr>
              <w:pStyle w:val="TableParagraph"/>
              <w:spacing w:line="185" w:lineRule="exact" w:before="19"/>
              <w:ind w:left="122"/>
              <w:rPr>
                <w:sz w:val="16"/>
              </w:rPr>
            </w:pPr>
            <w:r>
              <w:rPr>
                <w:color w:val="FFFFFF"/>
                <w:w w:val="110"/>
                <w:sz w:val="16"/>
              </w:rPr>
              <w:t>Real Return</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19"/>
              <w:ind w:left="122"/>
              <w:rPr>
                <w:sz w:val="16"/>
              </w:rPr>
            </w:pPr>
            <w:r>
              <w:rPr>
                <w:w w:val="105"/>
                <w:sz w:val="16"/>
              </w:rPr>
              <w:t>SCHWAB US TIPS</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left="105"/>
              <w:rPr>
                <w:sz w:val="16"/>
              </w:rPr>
            </w:pPr>
            <w:r>
              <w:rPr>
                <w:w w:val="110"/>
                <w:sz w:val="16"/>
              </w:rPr>
              <w:t>SCHP</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5"/>
              <w:jc w:val="right"/>
              <w:rPr>
                <w:sz w:val="16"/>
              </w:rPr>
            </w:pPr>
            <w:r>
              <w:rPr>
                <w:w w:val="110"/>
                <w:sz w:val="16"/>
              </w:rPr>
              <w:t>69,765.00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left="374"/>
              <w:rPr>
                <w:sz w:val="16"/>
              </w:rPr>
            </w:pPr>
            <w:r>
              <w:rPr>
                <w:w w:val="115"/>
                <w:sz w:val="16"/>
              </w:rPr>
              <w:t>28.22</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1"/>
              <w:jc w:val="right"/>
              <w:rPr>
                <w:sz w:val="16"/>
              </w:rPr>
            </w:pPr>
            <w:r>
              <w:rPr>
                <w:w w:val="110"/>
                <w:sz w:val="16"/>
              </w:rPr>
              <w:t>1,968,685.61</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79"/>
              <w:jc w:val="right"/>
              <w:rPr>
                <w:sz w:val="16"/>
              </w:rPr>
            </w:pPr>
            <w:r>
              <w:rPr>
                <w:w w:val="110"/>
                <w:sz w:val="16"/>
              </w:rPr>
              <w:t>26.68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79"/>
              <w:jc w:val="right"/>
              <w:rPr>
                <w:sz w:val="16"/>
              </w:rPr>
            </w:pPr>
            <w:r>
              <w:rPr>
                <w:w w:val="110"/>
                <w:sz w:val="16"/>
              </w:rPr>
              <w:t>1,861,330.20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19"/>
              <w:ind w:right="85"/>
              <w:jc w:val="right"/>
              <w:rPr>
                <w:sz w:val="16"/>
              </w:rPr>
            </w:pPr>
            <w:r>
              <w:rPr>
                <w:w w:val="110"/>
                <w:sz w:val="16"/>
              </w:rPr>
              <w:t>4.49%</w:t>
            </w:r>
          </w:p>
        </w:tc>
      </w:tr>
      <w:tr>
        <w:trPr>
          <w:trHeight w:val="387" w:hRule="atLeast"/>
        </w:trPr>
        <w:tc>
          <w:tcPr>
            <w:tcW w:w="3097" w:type="dxa"/>
            <w:tcBorders>
              <w:top w:val="single" w:sz="8" w:space="0" w:color="D9D9D9"/>
              <w:left w:val="nil"/>
              <w:bottom w:val="single" w:sz="8" w:space="0" w:color="D9D9D9"/>
              <w:right w:val="single" w:sz="8" w:space="0" w:color="D9D9D9"/>
            </w:tcBorders>
          </w:tcPr>
          <w:p>
            <w:pPr>
              <w:pStyle w:val="TableParagraph"/>
              <w:spacing w:line="192" w:lineRule="exact"/>
              <w:ind w:left="122" w:right="189"/>
              <w:rPr>
                <w:sz w:val="16"/>
              </w:rPr>
            </w:pPr>
            <w:r>
              <w:rPr>
                <w:sz w:val="16"/>
              </w:rPr>
              <w:t>VANGUARD SHORT-TERM INFLATION </w:t>
            </w:r>
            <w:r>
              <w:rPr>
                <w:w w:val="105"/>
                <w:sz w:val="16"/>
              </w:rPr>
              <w:t>PROTECTED SECS</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101"/>
              <w:ind w:left="105"/>
              <w:rPr>
                <w:sz w:val="16"/>
              </w:rPr>
            </w:pPr>
            <w:r>
              <w:rPr>
                <w:w w:val="110"/>
                <w:sz w:val="16"/>
              </w:rPr>
              <w:t>VTIP</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5"/>
              <w:jc w:val="right"/>
              <w:rPr>
                <w:sz w:val="16"/>
              </w:rPr>
            </w:pPr>
            <w:r>
              <w:rPr>
                <w:w w:val="110"/>
                <w:sz w:val="16"/>
              </w:rPr>
              <w:t>20,524.00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left="374"/>
              <w:rPr>
                <w:sz w:val="16"/>
              </w:rPr>
            </w:pPr>
            <w:r>
              <w:rPr>
                <w:w w:val="115"/>
                <w:sz w:val="16"/>
              </w:rPr>
              <w:t>48.96</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1"/>
              <w:jc w:val="right"/>
              <w:rPr>
                <w:sz w:val="16"/>
              </w:rPr>
            </w:pPr>
            <w:r>
              <w:rPr>
                <w:w w:val="110"/>
                <w:sz w:val="16"/>
              </w:rPr>
              <w:t>1,004,884.34</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50.27</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1,031,741.48</w:t>
            </w:r>
          </w:p>
        </w:tc>
        <w:tc>
          <w:tcPr>
            <w:tcW w:w="857" w:type="dxa"/>
            <w:tcBorders>
              <w:top w:val="single" w:sz="8" w:space="0" w:color="D9D9D9"/>
              <w:left w:val="single" w:sz="8" w:space="0" w:color="D9D9D9"/>
              <w:bottom w:val="single" w:sz="8" w:space="0" w:color="D9D9D9"/>
              <w:right w:val="nil"/>
            </w:tcBorders>
          </w:tcPr>
          <w:p>
            <w:pPr>
              <w:pStyle w:val="TableParagraph"/>
              <w:spacing w:before="101"/>
              <w:ind w:right="85"/>
              <w:jc w:val="right"/>
              <w:rPr>
                <w:sz w:val="16"/>
              </w:rPr>
            </w:pPr>
            <w:r>
              <w:rPr>
                <w:w w:val="110"/>
                <w:sz w:val="16"/>
              </w:rPr>
              <w:t>2.49%</w:t>
            </w: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5" w:lineRule="exact" w:before="20"/>
              <w:ind w:left="122"/>
              <w:rPr>
                <w:sz w:val="16"/>
              </w:rPr>
            </w:pPr>
            <w:r>
              <w:rPr>
                <w:sz w:val="16"/>
              </w:rPr>
              <w:t>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20"/>
              <w:ind w:right="80"/>
              <w:jc w:val="right"/>
              <w:rPr>
                <w:sz w:val="16"/>
              </w:rPr>
            </w:pPr>
            <w:r>
              <w:rPr>
                <w:w w:val="110"/>
                <w:sz w:val="16"/>
              </w:rPr>
              <w:t>2,973,569.95</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20"/>
              <w:ind w:right="78"/>
              <w:jc w:val="right"/>
              <w:rPr>
                <w:sz w:val="16"/>
              </w:rPr>
            </w:pPr>
            <w:r>
              <w:rPr>
                <w:w w:val="110"/>
                <w:sz w:val="16"/>
              </w:rPr>
              <w:t>2,893,071.68</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5" w:lineRule="exact" w:before="20"/>
              <w:ind w:right="82"/>
              <w:jc w:val="right"/>
              <w:rPr>
                <w:sz w:val="16"/>
              </w:rPr>
            </w:pPr>
            <w:r>
              <w:rPr>
                <w:w w:val="110"/>
                <w:sz w:val="16"/>
              </w:rPr>
              <w:t>6.97%</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rPr>
                <w:rFonts w:ascii="Times New Roman"/>
                <w:sz w:val="16"/>
              </w:rPr>
            </w:pPr>
          </w:p>
        </w:tc>
        <w:tc>
          <w:tcPr>
            <w:tcW w:w="12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857" w:type="dxa"/>
            <w:tcBorders>
              <w:top w:val="single" w:sz="8" w:space="0" w:color="D9D9D9"/>
              <w:left w:val="single" w:sz="8" w:space="0" w:color="D9D9D9"/>
              <w:bottom w:val="single" w:sz="8" w:space="0" w:color="D9D9D9"/>
              <w:right w:val="nil"/>
            </w:tcBorders>
          </w:tcPr>
          <w:p>
            <w:pPr>
              <w:pStyle w:val="TableParagraph"/>
              <w:rPr>
                <w:rFonts w:ascii="Times New Roman"/>
                <w:sz w:val="16"/>
              </w:rPr>
            </w:pP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5" w:lineRule="exact" w:before="19"/>
              <w:ind w:left="122"/>
              <w:rPr>
                <w:sz w:val="16"/>
              </w:rPr>
            </w:pPr>
            <w:r>
              <w:rPr>
                <w:sz w:val="16"/>
              </w:rPr>
              <w:t>GRAND 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78"/>
              <w:jc w:val="right"/>
              <w:rPr>
                <w:sz w:val="16"/>
              </w:rPr>
            </w:pPr>
            <w:r>
              <w:rPr>
                <w:w w:val="110"/>
                <w:sz w:val="16"/>
              </w:rPr>
              <w:t>33,181,581.34</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75"/>
              <w:jc w:val="right"/>
              <w:rPr>
                <w:sz w:val="16"/>
              </w:rPr>
            </w:pPr>
            <w:r>
              <w:rPr>
                <w:w w:val="110"/>
                <w:sz w:val="16"/>
              </w:rPr>
              <w:t>41,480,692.71</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5" w:lineRule="exact" w:before="19"/>
              <w:ind w:right="82"/>
              <w:jc w:val="right"/>
              <w:rPr>
                <w:sz w:val="16"/>
              </w:rPr>
            </w:pPr>
            <w:r>
              <w:rPr>
                <w:w w:val="110"/>
                <w:sz w:val="16"/>
              </w:rPr>
              <w:t>100.00%</w:t>
            </w:r>
          </w:p>
        </w:tc>
      </w:tr>
    </w:tbl>
    <w:p>
      <w:pPr>
        <w:spacing w:after="0" w:line="185" w:lineRule="exact"/>
        <w:jc w:val="right"/>
        <w:rPr>
          <w:sz w:val="16"/>
        </w:rPr>
        <w:sectPr>
          <w:pgSz w:w="14400" w:h="10800" w:orient="landscape"/>
          <w:pgMar w:header="601" w:footer="1259" w:top="800" w:bottom="1440" w:left="20" w:right="40"/>
        </w:sectPr>
      </w:pPr>
    </w:p>
    <w:tbl>
      <w:tblPr>
        <w:tblW w:w="0" w:type="auto"/>
        <w:jc w:val="left"/>
        <w:tblInd w:w="8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6"/>
      </w:tblGrid>
      <w:tr>
        <w:trPr>
          <w:trHeight w:val="389" w:hRule="atLeast"/>
        </w:trPr>
        <w:tc>
          <w:tcPr>
            <w:tcW w:w="4486" w:type="dxa"/>
          </w:tcPr>
          <w:p>
            <w:pPr>
              <w:pStyle w:val="TableParagraph"/>
              <w:ind w:right="198"/>
              <w:jc w:val="right"/>
              <w:rPr>
                <w:sz w:val="28"/>
              </w:rPr>
            </w:pPr>
            <w:bookmarkStart w:name="Slide 9: Overall Portfolio" w:id="15"/>
            <w:bookmarkEnd w:id="15"/>
            <w:r>
              <w:rPr/>
            </w:r>
            <w:r>
              <w:rPr>
                <w:w w:val="110"/>
                <w:sz w:val="28"/>
              </w:rPr>
              <w:t>CNY</w:t>
            </w:r>
            <w:r>
              <w:rPr>
                <w:spacing w:val="-60"/>
                <w:w w:val="110"/>
                <w:sz w:val="28"/>
              </w:rPr>
              <w:t> </w:t>
            </w:r>
            <w:r>
              <w:rPr>
                <w:w w:val="110"/>
                <w:sz w:val="28"/>
              </w:rPr>
              <w:t>Centro,</w:t>
            </w:r>
            <w:r>
              <w:rPr>
                <w:spacing w:val="-57"/>
                <w:w w:val="110"/>
                <w:sz w:val="28"/>
              </w:rPr>
              <w:t> </w:t>
            </w:r>
            <w:r>
              <w:rPr>
                <w:w w:val="110"/>
                <w:sz w:val="28"/>
              </w:rPr>
              <w:t>Inc.</w:t>
            </w:r>
            <w:r>
              <w:rPr>
                <w:spacing w:val="-58"/>
                <w:w w:val="110"/>
                <w:sz w:val="28"/>
              </w:rPr>
              <w:t> </w:t>
            </w:r>
            <w:r>
              <w:rPr>
                <w:w w:val="110"/>
                <w:sz w:val="28"/>
              </w:rPr>
              <w:t>Salaried</w:t>
            </w:r>
            <w:r>
              <w:rPr>
                <w:spacing w:val="-59"/>
                <w:w w:val="110"/>
                <w:sz w:val="28"/>
              </w:rPr>
              <w:t> </w:t>
            </w:r>
            <w:r>
              <w:rPr>
                <w:w w:val="110"/>
                <w:sz w:val="28"/>
              </w:rPr>
              <w:t>DB</w:t>
            </w:r>
            <w:r>
              <w:rPr>
                <w:spacing w:val="-57"/>
                <w:w w:val="110"/>
                <w:sz w:val="28"/>
              </w:rPr>
              <w:t> </w:t>
            </w:r>
            <w:r>
              <w:rPr>
                <w:w w:val="110"/>
                <w:sz w:val="28"/>
              </w:rPr>
              <w:t>Plan</w:t>
            </w:r>
          </w:p>
        </w:tc>
      </w:tr>
      <w:tr>
        <w:trPr>
          <w:trHeight w:val="363" w:hRule="atLeast"/>
        </w:trPr>
        <w:tc>
          <w:tcPr>
            <w:tcW w:w="4486"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spacing w:before="8"/>
        <w:rPr>
          <w:rFonts w:ascii="Gill Sans MT"/>
          <w:sz w:val="18"/>
        </w:rPr>
      </w:pPr>
    </w:p>
    <w:p>
      <w:pPr>
        <w:spacing w:before="100"/>
        <w:ind w:left="7051" w:right="0" w:firstLine="0"/>
        <w:jc w:val="left"/>
        <w:rPr>
          <w:rFonts w:ascii="Gill Sans MT"/>
          <w:sz w:val="20"/>
        </w:rPr>
      </w:pPr>
      <w:r>
        <w:rPr>
          <w:rFonts w:ascii="Gill Sans MT"/>
          <w:w w:val="115"/>
          <w:sz w:val="20"/>
        </w:rPr>
        <w:t>Cash: 1.7%</w:t>
      </w:r>
    </w:p>
    <w:p>
      <w:pPr>
        <w:spacing w:before="6"/>
        <w:ind w:left="7002" w:right="0" w:firstLine="0"/>
        <w:jc w:val="left"/>
        <w:rPr>
          <w:rFonts w:ascii="Gill Sans MT"/>
          <w:sz w:val="20"/>
        </w:rPr>
      </w:pPr>
      <w:r>
        <w:rPr>
          <w:rFonts w:ascii="Gill Sans MT"/>
          <w:w w:val="110"/>
          <w:sz w:val="20"/>
        </w:rPr>
        <w:t>(IPS Range: 0%-12%)</w:t>
      </w:r>
    </w:p>
    <w:p>
      <w:pPr>
        <w:pStyle w:val="BodyText"/>
        <w:spacing w:before="8"/>
        <w:rPr>
          <w:rFonts w:ascii="Gill Sans MT"/>
          <w:sz w:val="18"/>
        </w:rPr>
      </w:pPr>
    </w:p>
    <w:p>
      <w:pPr>
        <w:spacing w:after="0"/>
        <w:rPr>
          <w:rFonts w:ascii="Gill Sans MT"/>
          <w:sz w:val="18"/>
        </w:rPr>
        <w:sectPr>
          <w:headerReference w:type="default" r:id="rId36"/>
          <w:footerReference w:type="default" r:id="rId37"/>
          <w:pgSz w:w="14400" w:h="10800" w:orient="landscape"/>
          <w:pgMar w:header="601" w:footer="1505" w:top="800" w:bottom="1700" w:left="20" w:right="40"/>
          <w:pgNumType w:start="9"/>
        </w:sectPr>
      </w:pPr>
    </w:p>
    <w:p>
      <w:pPr>
        <w:spacing w:line="230" w:lineRule="exact" w:before="99"/>
        <w:ind w:left="2477" w:right="0" w:firstLine="0"/>
        <w:jc w:val="left"/>
        <w:rPr>
          <w:rFonts w:ascii="Gill Sans MT"/>
          <w:sz w:val="20"/>
        </w:rPr>
      </w:pPr>
      <w:r>
        <w:rPr>
          <w:rFonts w:ascii="Gill Sans MT"/>
          <w:w w:val="110"/>
          <w:sz w:val="20"/>
        </w:rPr>
        <w:t>Fixed Income: 25.9%</w:t>
      </w:r>
    </w:p>
    <w:p>
      <w:pPr>
        <w:spacing w:line="230" w:lineRule="exact" w:before="0"/>
        <w:ind w:left="2430" w:right="0" w:firstLine="0"/>
        <w:jc w:val="left"/>
        <w:rPr>
          <w:rFonts w:ascii="Gill Sans MT"/>
          <w:sz w:val="20"/>
        </w:rPr>
      </w:pPr>
      <w:r>
        <w:rPr>
          <w:rFonts w:ascii="Gill Sans MT"/>
          <w:w w:val="110"/>
          <w:sz w:val="20"/>
        </w:rPr>
        <w:t>(IPS Range: 15%-35%)</w:t>
      </w:r>
    </w:p>
    <w:p>
      <w:pPr>
        <w:pStyle w:val="BodyText"/>
        <w:rPr>
          <w:rFonts w:ascii="Gill Sans MT"/>
          <w:sz w:val="22"/>
        </w:rPr>
      </w:pPr>
      <w:r>
        <w:rPr/>
        <w:br w:type="column"/>
      </w:r>
      <w:r>
        <w:rPr>
          <w:rFonts w:ascii="Gill Sans MT"/>
          <w:sz w:val="22"/>
        </w:rPr>
      </w:r>
    </w:p>
    <w:p>
      <w:pPr>
        <w:pStyle w:val="BodyText"/>
        <w:spacing w:before="10"/>
        <w:rPr>
          <w:rFonts w:ascii="Gill Sans MT"/>
          <w:sz w:val="17"/>
        </w:rPr>
      </w:pPr>
    </w:p>
    <w:p>
      <w:pPr>
        <w:spacing w:before="0"/>
        <w:ind w:left="2464" w:right="0" w:firstLine="0"/>
        <w:jc w:val="left"/>
        <w:rPr>
          <w:rFonts w:ascii="Gill Sans MT"/>
          <w:sz w:val="20"/>
        </w:rPr>
      </w:pPr>
      <w:r>
        <w:rPr/>
        <w:pict>
          <v:group style="position:absolute;margin-left:224.919998pt;margin-top:-27.907993pt;width:270.25pt;height:270.1pt;mso-position-horizontal-relative:page;mso-position-vertical-relative:paragraph;z-index:251676672" coordorigin="4498,-558" coordsize="5405,5402">
            <v:shape style="position:absolute;left:7201;top:-559;width:281;height:2680" coordorigin="7201,-558" coordsize="281,2680" path="m7201,-558l7201,2122,7482,-543,7412,-550,7342,-555,7272,-557,7201,-558xe" filled="true" fillcolor="#000000" stroked="false">
              <v:path arrowok="t"/>
              <v:fill type="solid"/>
            </v:shape>
            <v:shape style="position:absolute;left:4865;top:-502;width:5038;height:5346" coordorigin="4865,-502" coordsize="5038,5346" path="m7503,-502l7222,2164,4865,3439,4903,3507,4943,3573,4984,3638,5028,3702,5073,3764,5120,3825,5168,3885,5218,3942,5269,3999,5322,4053,5376,4107,5432,4158,5489,4208,5548,4256,5608,4303,5669,4348,5731,4391,5795,4432,5860,4471,5925,4509,5992,4545,6060,4578,6129,4610,6199,4641,6270,4669,6341,4695,6414,4719,6487,4741,6561,4761,6636,4779,6711,4794,6787,4808,6864,4820,6941,4829,7017,4836,7093,4841,7168,4843,7243,4844,7318,4842,7392,4839,7466,4833,7539,4825,7612,4816,7684,4804,7756,4791,7826,4775,7897,4758,7966,4739,8035,4718,8103,4695,8171,4671,8237,4644,8303,4616,8368,4587,8432,4555,8495,4522,8557,4488,8619,4451,8679,4414,8738,4374,8796,4333,8853,4291,8908,4247,8963,4201,9016,4155,9068,4107,9119,4057,9169,4006,9217,3954,9264,3900,9309,3845,9353,3789,9396,3732,9437,3674,9477,3614,9515,3553,9551,3491,9586,3428,9619,3364,9651,3299,9681,3233,9709,3166,9735,3097,9760,3028,9782,2958,9803,2887,9822,2816,9839,2743,9854,2669,9867,2595,9879,2520,9888,2444,9895,2368,9899,2293,9902,2217,9903,2142,9901,2068,9897,1994,9892,1920,9884,1847,9875,1774,9863,1702,9850,1630,9834,1559,9817,1489,9798,1419,9777,1351,9754,1282,9730,1215,9703,1148,9675,1083,9646,1018,9614,954,9581,891,9546,828,9510,767,9472,707,9433,648,9392,590,9350,533,9306,478,9260,423,9213,370,9165,318,9116,267,9065,217,9013,169,8959,122,8904,77,8848,32,8791,-10,8732,-51,8673,-91,8612,-129,8550,-165,8487,-200,8423,-233,8358,-265,8291,-295,8224,-323,8156,-349,8087,-374,8017,-396,7946,-417,7874,-436,7802,-453,7728,-468,7654,-482,7579,-493,7503,-502xe" filled="true" fillcolor="#014612" stroked="false">
              <v:path arrowok="t"/>
              <v:fill type="solid"/>
            </v:shape>
            <v:shape style="position:absolute;left:4498;top:2156;width:2676;height:1275" coordorigin="4498,2156" coordsize="2676,1275" path="m7174,2156l4498,2307,4504,2385,4512,2464,4522,2542,4534,2619,4549,2696,4566,2773,4585,2849,4607,2924,4630,2999,4656,3073,4684,3146,4714,3219,4746,3290,4781,3361,4817,3431,7174,2156xe" filled="true" fillcolor="#432a8d" stroked="false">
              <v:path arrowok="t"/>
              <v:fill type="solid"/>
            </v:shape>
            <v:shape style="position:absolute;left:4500;top:-550;width:2681;height:2831" coordorigin="4500,-550" coordsize="2681,2831" path="m7181,-550l7105,-549,7030,-546,6953,-540,6878,-533,6803,-523,6729,-512,6656,-498,6583,-483,6511,-465,6440,-446,6370,-425,6301,-402,6232,-377,6165,-351,6098,-322,6032,-292,5968,-260,5904,-227,5842,-192,5780,-155,5720,-117,5660,-77,5602,-36,5545,7,5489,51,5435,97,5382,144,5330,192,5279,242,5230,293,5182,345,5135,398,5090,453,5046,509,5004,566,4963,624,4924,684,4887,744,4850,806,4816,868,4783,931,4752,996,4722,1061,4695,1127,4669,1194,4644,1262,4622,1330,4601,1400,4582,1470,4565,1541,4550,1612,4537,1684,4526,1757,4517,1830,4510,1904,4505,1979,4501,2054,4500,2129,4502,2205,4505,2281,7181,2130,7181,-550xe" filled="true" fillcolor="#001f5f" stroked="false">
              <v:path arrowok="t"/>
              <v:fill type="solid"/>
            </v:shape>
            <w10:wrap type="none"/>
          </v:group>
        </w:pict>
      </w:r>
      <w:r>
        <w:rPr>
          <w:rFonts w:ascii="Gill Sans MT"/>
          <w:w w:val="110"/>
          <w:sz w:val="20"/>
        </w:rPr>
        <w:t>Equity: 65.4%</w:t>
      </w:r>
    </w:p>
    <w:p>
      <w:pPr>
        <w:spacing w:before="16"/>
        <w:ind w:left="2430" w:right="0" w:firstLine="0"/>
        <w:jc w:val="left"/>
        <w:rPr>
          <w:rFonts w:ascii="Gill Sans MT"/>
          <w:sz w:val="20"/>
        </w:rPr>
      </w:pPr>
      <w:r>
        <w:rPr>
          <w:rFonts w:ascii="Gill Sans MT"/>
          <w:w w:val="110"/>
          <w:sz w:val="20"/>
        </w:rPr>
        <w:t>(IPS Range: 51%-71%)</w:t>
      </w:r>
    </w:p>
    <w:p>
      <w:pPr>
        <w:spacing w:after="0"/>
        <w:jc w:val="left"/>
        <w:rPr>
          <w:rFonts w:ascii="Gill Sans MT"/>
          <w:sz w:val="20"/>
        </w:rPr>
        <w:sectPr>
          <w:type w:val="continuous"/>
          <w:pgSz w:w="14400" w:h="10800" w:orient="landscape"/>
          <w:pgMar w:top="180" w:bottom="280" w:left="20" w:right="40"/>
          <w:cols w:num="2" w:equalWidth="0">
            <w:col w:w="4411" w:space="3027"/>
            <w:col w:w="6902"/>
          </w:cols>
        </w:sect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8"/>
        <w:rPr>
          <w:rFonts w:ascii="Gill Sans MT"/>
          <w:sz w:val="27"/>
        </w:rPr>
      </w:pPr>
    </w:p>
    <w:p>
      <w:pPr>
        <w:spacing w:line="252" w:lineRule="auto" w:before="99"/>
        <w:ind w:left="2226" w:right="10196" w:hanging="437"/>
        <w:jc w:val="left"/>
        <w:rPr>
          <w:rFonts w:ascii="Gill Sans MT"/>
          <w:sz w:val="20"/>
        </w:rPr>
      </w:pPr>
      <w:r>
        <w:rPr>
          <w:rFonts w:ascii="Gill Sans MT"/>
          <w:w w:val="115"/>
          <w:sz w:val="20"/>
        </w:rPr>
        <w:t>Real Return Assets: 7.0% (IPS Range: 2%-22%)</w:t>
      </w:r>
    </w:p>
    <w:p>
      <w:pPr>
        <w:spacing w:after="0" w:line="252" w:lineRule="auto"/>
        <w:jc w:val="left"/>
        <w:rPr>
          <w:rFonts w:ascii="Gill Sans MT"/>
          <w:sz w:val="20"/>
        </w:rPr>
        <w:sectPr>
          <w:type w:val="continuous"/>
          <w:pgSz w:w="14400" w:h="10800" w:orient="landscape"/>
          <w:pgMar w:top="180" w:bottom="280" w:left="20" w:right="40"/>
        </w:sectPr>
      </w:pPr>
    </w:p>
    <w:tbl>
      <w:tblPr>
        <w:tblW w:w="0" w:type="auto"/>
        <w:jc w:val="left"/>
        <w:tblInd w:w="8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6"/>
      </w:tblGrid>
      <w:tr>
        <w:trPr>
          <w:trHeight w:val="389" w:hRule="atLeast"/>
        </w:trPr>
        <w:tc>
          <w:tcPr>
            <w:tcW w:w="4486" w:type="dxa"/>
          </w:tcPr>
          <w:p>
            <w:pPr>
              <w:pStyle w:val="TableParagraph"/>
              <w:ind w:right="198"/>
              <w:jc w:val="right"/>
              <w:rPr>
                <w:sz w:val="28"/>
              </w:rPr>
            </w:pPr>
            <w:bookmarkStart w:name="Slide 10: Equity" w:id="16"/>
            <w:bookmarkEnd w:id="16"/>
            <w:r>
              <w:rPr/>
            </w:r>
            <w:r>
              <w:rPr>
                <w:w w:val="110"/>
                <w:sz w:val="28"/>
              </w:rPr>
              <w:t>CNY</w:t>
            </w:r>
            <w:r>
              <w:rPr>
                <w:spacing w:val="-60"/>
                <w:w w:val="110"/>
                <w:sz w:val="28"/>
              </w:rPr>
              <w:t> </w:t>
            </w:r>
            <w:r>
              <w:rPr>
                <w:w w:val="110"/>
                <w:sz w:val="28"/>
              </w:rPr>
              <w:t>Centro,</w:t>
            </w:r>
            <w:r>
              <w:rPr>
                <w:spacing w:val="-57"/>
                <w:w w:val="110"/>
                <w:sz w:val="28"/>
              </w:rPr>
              <w:t> </w:t>
            </w:r>
            <w:r>
              <w:rPr>
                <w:w w:val="110"/>
                <w:sz w:val="28"/>
              </w:rPr>
              <w:t>Inc.</w:t>
            </w:r>
            <w:r>
              <w:rPr>
                <w:spacing w:val="-58"/>
                <w:w w:val="110"/>
                <w:sz w:val="28"/>
              </w:rPr>
              <w:t> </w:t>
            </w:r>
            <w:r>
              <w:rPr>
                <w:w w:val="110"/>
                <w:sz w:val="28"/>
              </w:rPr>
              <w:t>Salaried</w:t>
            </w:r>
            <w:r>
              <w:rPr>
                <w:spacing w:val="-59"/>
                <w:w w:val="110"/>
                <w:sz w:val="28"/>
              </w:rPr>
              <w:t> </w:t>
            </w:r>
            <w:r>
              <w:rPr>
                <w:w w:val="110"/>
                <w:sz w:val="28"/>
              </w:rPr>
              <w:t>DB</w:t>
            </w:r>
            <w:r>
              <w:rPr>
                <w:spacing w:val="-57"/>
                <w:w w:val="110"/>
                <w:sz w:val="28"/>
              </w:rPr>
              <w:t> </w:t>
            </w:r>
            <w:r>
              <w:rPr>
                <w:w w:val="110"/>
                <w:sz w:val="28"/>
              </w:rPr>
              <w:t>Plan</w:t>
            </w:r>
          </w:p>
        </w:tc>
      </w:tr>
      <w:tr>
        <w:trPr>
          <w:trHeight w:val="363" w:hRule="atLeast"/>
        </w:trPr>
        <w:tc>
          <w:tcPr>
            <w:tcW w:w="4486"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2"/>
        <w:rPr>
          <w:rFonts w:ascii="Gill Sans MT"/>
        </w:rPr>
      </w:pPr>
    </w:p>
    <w:p>
      <w:pPr>
        <w:tabs>
          <w:tab w:pos="5877" w:val="left" w:leader="none"/>
        </w:tabs>
        <w:spacing w:before="0"/>
        <w:ind w:left="3686" w:right="0" w:firstLine="0"/>
        <w:jc w:val="left"/>
        <w:rPr>
          <w:rFonts w:ascii="Gill Sans MT"/>
          <w:sz w:val="18"/>
        </w:rPr>
      </w:pPr>
      <w:r>
        <w:rPr/>
        <w:pict>
          <v:group style="position:absolute;margin-left:158.523285pt;margin-top:21.072807pt;width:430.8pt;height:251.3pt;mso-position-horizontal-relative:page;mso-position-vertical-relative:paragraph;z-index:-267021312" coordorigin="3170,421" coordsize="8616,5026">
            <v:shape style="position:absolute;left:7196;top:798;width:2450;height:4280" coordorigin="7197,798" coordsize="2450,4280" path="m7197,940l9646,798m7197,4936l9646,5077e" filled="false" stroked="true" strokeweight=".75pt" strokecolor="#0d0d0d">
              <v:path arrowok="t"/>
              <v:stroke dashstyle="solid"/>
            </v:shape>
            <v:shape style="position:absolute;left:3170;top:1163;width:3983;height:4283" coordorigin="3170,1164" coordsize="3983,4283" path="m3929,1164l3875,1218,3823,1273,3773,1330,3724,1387,3678,1446,3634,1506,3592,1567,3551,1629,3513,1692,3477,1756,3443,1821,3410,1886,3380,1952,3352,2019,3326,2087,3302,2155,3279,2224,3259,2294,3241,2364,3225,2434,3211,2504,3199,2575,3189,2647,3182,2718,3176,2790,3172,2862,3170,2934,3171,3006,3173,3078,3178,3150,3185,3221,3193,3293,3204,3365,3217,3436,3232,3507,3249,3578,3269,3648,3290,3718,3313,3787,3339,3856,3367,3924,3396,3992,3428,4059,3462,4125,3499,4191,3537,4255,3577,4319,3620,4382,3665,4444,3711,4504,3759,4563,3809,4620,3859,4675,3911,4728,3965,4779,4019,4829,4075,4876,4132,4922,4190,4966,4250,5008,4310,5048,4371,5086,4433,5123,4496,5157,4560,5190,4624,5220,4690,5249,4756,5276,4822,5301,4890,5324,4958,5345,5026,5364,5095,5381,5164,5396,5234,5409,5304,5420,5374,5430,5444,5437,5515,5442,5586,5445,5657,5446,5728,5446,5799,5443,5870,5438,5941,5431,6012,5422,6082,5411,6153,5398,6223,5383,6293,5366,6362,5347,6432,5326,6500,5302,6568,5277,6636,5249,6703,5219,6770,5188,6835,5154,6901,5118,6965,5079,7028,5039,7091,4996,7153,4952,5663,2954,3929,1164xe" filled="true" fillcolor="#12381b" stroked="false">
              <v:path arrowok="t"/>
              <v:fill type="solid"/>
            </v:shape>
            <v:shape style="position:absolute;left:3932;top:790;width:1734;height:2128" coordorigin="3933,791" coordsize="1734,2128" path="m4368,791l4301,833,4236,877,4172,923,4110,972,4049,1022,3990,1074,3933,1128,5666,2918,4368,791xe" filled="true" fillcolor="#c5dfb4" stroked="false">
              <v:path arrowok="t"/>
              <v:fill type="solid"/>
            </v:shape>
            <v:shape style="position:absolute;left:4376;top:421;width:1333;height:2492" coordorigin="4377,422" coordsize="1333,2492" path="m5709,422l5631,422,5553,425,5475,430,5398,437,5321,447,5244,459,5168,474,5092,491,5017,510,4943,532,4869,556,4796,582,4724,610,4652,641,4582,674,4512,709,4444,747,4377,786,5675,2914,5709,422xe" filled="true" fillcolor="#a9d08e" stroked="false">
              <v:path arrowok="t"/>
              <v:fill type="solid"/>
            </v:shape>
            <v:shape style="position:absolute;left:5687;top:421;width:1018;height:2492" coordorigin="5687,421" coordsize="1018,2492" path="m5721,421l5687,2913,6705,639,6633,608,6561,579,6487,553,6413,529,6338,508,6262,489,6186,472,6109,457,6032,445,5955,436,5877,428,5799,424,5721,421xe" filled="true" fillcolor="#014612" stroked="false">
              <v:path arrowok="t"/>
              <v:fill type="solid"/>
            </v:shape>
            <v:shape style="position:absolute;left:5694;top:641;width:1490;height:2275" coordorigin="5694,641" coordsize="1490,2275" path="m6712,641l5694,2916,7184,918,7121,873,7056,829,6990,787,6922,747,6853,710,6783,675,6712,641xe" filled="true" fillcolor="#375522" stroked="false">
              <v:path arrowok="t"/>
              <v:fill type="solid"/>
            </v:shape>
            <v:shape style="position:absolute;left:5706;top:798;width:6080;height:4138" coordorigin="5707,798" coordsize="6080,4138" path="m8199,2932l8198,2861,8195,2790,8189,2720,8182,2649,8173,2579,8162,2509,8149,2439,8133,2370,8116,2301,8097,2233,8076,2165,8053,2098,8028,2031,8002,1965,7973,1899,7942,1835,7910,1771,7875,1708,7839,1646,7801,1585,7760,1525,7718,1466,7674,1407,7629,1351,7581,1295,7532,1240,7480,1187,7427,1135,7372,1084,7316,1034,7257,987,7197,940,5707,2938,7197,4936,7260,4887,7322,4836,7382,4783,7440,4728,7497,4672,7552,4613,7605,4553,7656,4491,7705,4428,7749,4366,7792,4303,7832,4240,7870,4176,7906,4111,7940,4045,7972,3978,8002,3911,8029,3844,8055,3775,8078,3707,8099,3638,8119,3568,8136,3498,8151,3428,8164,3358,8175,3287,8184,3216,8191,3145,8195,3074,8198,3003,8199,2932m11786,798l9646,798,9646,3538,11786,3538,11786,798e" filled="true" fillcolor="#698a70" stroked="false">
              <v:path arrowok="t"/>
              <v:fill type="solid"/>
            </v:shape>
            <w10:wrap type="none"/>
          </v:group>
        </w:pict>
      </w:r>
      <w:r>
        <w:rPr>
          <w:rFonts w:ascii="Gill Sans MT"/>
          <w:w w:val="110"/>
          <w:sz w:val="18"/>
        </w:rPr>
        <w:t>U.S. Mid</w:t>
      </w:r>
      <w:r>
        <w:rPr>
          <w:rFonts w:ascii="Gill Sans MT"/>
          <w:spacing w:val="-20"/>
          <w:w w:val="110"/>
          <w:sz w:val="18"/>
        </w:rPr>
        <w:t> </w:t>
      </w:r>
      <w:r>
        <w:rPr>
          <w:rFonts w:ascii="Gill Sans MT"/>
          <w:w w:val="110"/>
          <w:sz w:val="18"/>
        </w:rPr>
        <w:t>Blend:</w:t>
      </w:r>
      <w:r>
        <w:rPr>
          <w:rFonts w:ascii="Gill Sans MT"/>
          <w:spacing w:val="-9"/>
          <w:w w:val="110"/>
          <w:sz w:val="18"/>
        </w:rPr>
        <w:t> </w:t>
      </w:r>
      <w:r>
        <w:rPr>
          <w:rFonts w:ascii="Gill Sans MT"/>
          <w:w w:val="110"/>
          <w:sz w:val="18"/>
        </w:rPr>
        <w:t>8.9%</w:t>
        <w:tab/>
      </w:r>
      <w:r>
        <w:rPr>
          <w:rFonts w:ascii="Gill Sans MT"/>
          <w:w w:val="110"/>
          <w:position w:val="1"/>
          <w:sz w:val="18"/>
        </w:rPr>
        <w:t>U.S. Small Blend:</w:t>
      </w:r>
      <w:r>
        <w:rPr>
          <w:rFonts w:ascii="Gill Sans MT"/>
          <w:spacing w:val="-38"/>
          <w:w w:val="110"/>
          <w:position w:val="1"/>
          <w:sz w:val="18"/>
        </w:rPr>
        <w:t> </w:t>
      </w:r>
      <w:r>
        <w:rPr>
          <w:rFonts w:ascii="Gill Sans MT"/>
          <w:w w:val="110"/>
          <w:position w:val="1"/>
          <w:sz w:val="18"/>
        </w:rPr>
        <w:t>6.5%</w:t>
      </w:r>
    </w:p>
    <w:p>
      <w:pPr>
        <w:spacing w:after="0"/>
        <w:jc w:val="left"/>
        <w:rPr>
          <w:rFonts w:ascii="Gill Sans MT"/>
          <w:sz w:val="18"/>
        </w:rPr>
        <w:sectPr>
          <w:headerReference w:type="default" r:id="rId38"/>
          <w:footerReference w:type="default" r:id="rId39"/>
          <w:pgSz w:w="14400" w:h="10800" w:orient="landscape"/>
          <w:pgMar w:header="601" w:footer="1505" w:top="800" w:bottom="1700" w:left="20" w:right="40"/>
          <w:pgNumType w:start="10"/>
        </w:sectPr>
      </w:pPr>
    </w:p>
    <w:p>
      <w:pPr>
        <w:pStyle w:val="BodyText"/>
        <w:rPr>
          <w:rFonts w:ascii="Gill Sans MT"/>
          <w:sz w:val="20"/>
        </w:rPr>
      </w:pPr>
    </w:p>
    <w:p>
      <w:pPr>
        <w:spacing w:before="174"/>
        <w:ind w:left="2173" w:right="0" w:firstLine="0"/>
        <w:jc w:val="left"/>
        <w:rPr>
          <w:rFonts w:ascii="Gill Sans MT"/>
          <w:sz w:val="18"/>
        </w:rPr>
      </w:pPr>
      <w:r>
        <w:rPr>
          <w:rFonts w:ascii="Gill Sans MT"/>
          <w:w w:val="115"/>
          <w:sz w:val="18"/>
        </w:rPr>
        <w:t>U.S.</w:t>
      </w:r>
      <w:r>
        <w:rPr>
          <w:rFonts w:ascii="Gill Sans MT"/>
          <w:spacing w:val="-28"/>
          <w:w w:val="115"/>
          <w:sz w:val="18"/>
        </w:rPr>
        <w:t> </w:t>
      </w:r>
      <w:r>
        <w:rPr>
          <w:rFonts w:ascii="Gill Sans MT"/>
          <w:w w:val="115"/>
          <w:sz w:val="18"/>
        </w:rPr>
        <w:t>Large</w:t>
      </w:r>
      <w:r>
        <w:rPr>
          <w:rFonts w:ascii="Gill Sans MT"/>
          <w:spacing w:val="-24"/>
          <w:w w:val="115"/>
          <w:sz w:val="18"/>
        </w:rPr>
        <w:t> </w:t>
      </w:r>
      <w:r>
        <w:rPr>
          <w:rFonts w:ascii="Gill Sans MT"/>
          <w:w w:val="115"/>
          <w:sz w:val="18"/>
        </w:rPr>
        <w:t>Value:</w:t>
      </w:r>
      <w:r>
        <w:rPr>
          <w:rFonts w:ascii="Gill Sans MT"/>
          <w:spacing w:val="-25"/>
          <w:w w:val="115"/>
          <w:sz w:val="18"/>
        </w:rPr>
        <w:t> </w:t>
      </w:r>
      <w:r>
        <w:rPr>
          <w:rFonts w:ascii="Gill Sans MT"/>
          <w:w w:val="115"/>
          <w:sz w:val="18"/>
        </w:rPr>
        <w:t>3.5%</w:t>
      </w:r>
    </w:p>
    <w:p>
      <w:pPr>
        <w:spacing w:before="119"/>
        <w:ind w:left="2173" w:right="0" w:firstLine="0"/>
        <w:jc w:val="left"/>
        <w:rPr>
          <w:rFonts w:ascii="Gill Sans MT"/>
          <w:sz w:val="18"/>
        </w:rPr>
      </w:pPr>
      <w:r>
        <w:rPr/>
        <w:br w:type="column"/>
      </w:r>
      <w:r>
        <w:rPr>
          <w:rFonts w:ascii="Gill Sans MT"/>
          <w:w w:val="115"/>
          <w:sz w:val="18"/>
        </w:rPr>
        <w:t>U.S.</w:t>
      </w:r>
      <w:r>
        <w:rPr>
          <w:rFonts w:ascii="Gill Sans MT"/>
          <w:spacing w:val="-22"/>
          <w:w w:val="115"/>
          <w:sz w:val="18"/>
        </w:rPr>
        <w:t> </w:t>
      </w:r>
      <w:r>
        <w:rPr>
          <w:rFonts w:ascii="Gill Sans MT"/>
          <w:w w:val="115"/>
          <w:sz w:val="18"/>
        </w:rPr>
        <w:t>Small</w:t>
      </w:r>
      <w:r>
        <w:rPr>
          <w:rFonts w:ascii="Gill Sans MT"/>
          <w:spacing w:val="-21"/>
          <w:w w:val="115"/>
          <w:sz w:val="18"/>
        </w:rPr>
        <w:t> </w:t>
      </w:r>
      <w:r>
        <w:rPr>
          <w:rFonts w:ascii="Gill Sans MT"/>
          <w:w w:val="115"/>
          <w:sz w:val="18"/>
        </w:rPr>
        <w:t>Value:</w:t>
      </w:r>
      <w:r>
        <w:rPr>
          <w:rFonts w:ascii="Gill Sans MT"/>
          <w:spacing w:val="-19"/>
          <w:w w:val="115"/>
          <w:sz w:val="18"/>
        </w:rPr>
        <w:t> </w:t>
      </w:r>
      <w:r>
        <w:rPr>
          <w:rFonts w:ascii="Gill Sans MT"/>
          <w:spacing w:val="-4"/>
          <w:w w:val="115"/>
          <w:sz w:val="18"/>
        </w:rPr>
        <w:t>3.5%</w:t>
      </w:r>
    </w:p>
    <w:p>
      <w:pPr>
        <w:pStyle w:val="BodyText"/>
        <w:spacing w:before="10"/>
        <w:rPr>
          <w:rFonts w:ascii="Gill Sans MT"/>
          <w:sz w:val="23"/>
        </w:rPr>
      </w:pPr>
      <w:r>
        <w:rPr/>
        <w:br w:type="column"/>
      </w:r>
      <w:r>
        <w:rPr>
          <w:rFonts w:ascii="Gill Sans MT"/>
          <w:sz w:val="23"/>
        </w:rPr>
      </w:r>
    </w:p>
    <w:p>
      <w:pPr>
        <w:spacing w:before="0"/>
        <w:ind w:left="817" w:right="0" w:firstLine="0"/>
        <w:jc w:val="left"/>
        <w:rPr>
          <w:rFonts w:ascii="Gill Sans MT"/>
          <w:sz w:val="18"/>
        </w:rPr>
      </w:pPr>
      <w:r>
        <w:rPr>
          <w:rFonts w:ascii="Gill Sans MT"/>
          <w:w w:val="110"/>
          <w:sz w:val="18"/>
        </w:rPr>
        <w:t>International Equity: 29.6%</w:t>
      </w:r>
    </w:p>
    <w:p>
      <w:pPr>
        <w:spacing w:after="0"/>
        <w:jc w:val="left"/>
        <w:rPr>
          <w:rFonts w:ascii="Gill Sans MT"/>
          <w:sz w:val="18"/>
        </w:rPr>
        <w:sectPr>
          <w:type w:val="continuous"/>
          <w:pgSz w:w="14400" w:h="10800" w:orient="landscape"/>
          <w:pgMar w:top="180" w:bottom="280" w:left="20" w:right="40"/>
          <w:cols w:num="3" w:equalWidth="0">
            <w:col w:w="3993" w:space="841"/>
            <w:col w:w="3951" w:space="40"/>
            <w:col w:w="5515"/>
          </w:cols>
        </w:sect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2"/>
        <w:rPr>
          <w:rFonts w:ascii="Gill Sans MT"/>
          <w:sz w:val="28"/>
        </w:rPr>
      </w:pPr>
    </w:p>
    <w:p>
      <w:pPr>
        <w:spacing w:line="247" w:lineRule="auto" w:before="100"/>
        <w:ind w:left="10455" w:right="2212" w:hanging="696"/>
        <w:jc w:val="left"/>
        <w:rPr>
          <w:rFonts w:ascii="Gill Sans MT"/>
          <w:sz w:val="18"/>
        </w:rPr>
      </w:pPr>
      <w:r>
        <w:rPr>
          <w:rFonts w:ascii="Gill Sans MT"/>
          <w:color w:val="FFFFFF"/>
          <w:w w:val="110"/>
          <w:sz w:val="18"/>
        </w:rPr>
        <w:t>Developed Large Blend: 19.0%</w:t>
      </w: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6"/>
        <w:rPr>
          <w:rFonts w:ascii="Gill Sans MT"/>
          <w:sz w:val="26"/>
        </w:rPr>
      </w:pPr>
    </w:p>
    <w:p>
      <w:pPr>
        <w:spacing w:before="100"/>
        <w:ind w:left="1675" w:right="0" w:firstLine="0"/>
        <w:jc w:val="left"/>
        <w:rPr>
          <w:rFonts w:ascii="Gill Sans MT"/>
          <w:sz w:val="18"/>
        </w:rPr>
      </w:pPr>
      <w:r>
        <w:rPr/>
        <w:pict>
          <v:group style="position:absolute;margin-left:482.320007pt;margin-top:-50.541214pt;width:107pt;height:77pt;mso-position-horizontal-relative:page;mso-position-vertical-relative:paragraph;z-index:251681792" coordorigin="9646,-1011" coordsize="2140,1540">
            <v:shape style="position:absolute;left:9646;top:252;width:2140;height:276" type="#_x0000_t202" filled="true" fillcolor="#009e7d" stroked="false">
              <v:textbox inset="0,0,0,0">
                <w:txbxContent>
                  <w:p>
                    <w:pPr>
                      <w:spacing w:line="193" w:lineRule="exact" w:before="82"/>
                      <w:ind w:left="97" w:right="93" w:firstLine="0"/>
                      <w:jc w:val="center"/>
                      <w:rPr>
                        <w:rFonts w:ascii="Gill Sans MT"/>
                        <w:sz w:val="18"/>
                      </w:rPr>
                    </w:pPr>
                    <w:r>
                      <w:rPr>
                        <w:rFonts w:ascii="Gill Sans MT"/>
                        <w:color w:val="FFFFFF"/>
                        <w:w w:val="110"/>
                        <w:sz w:val="18"/>
                      </w:rPr>
                      <w:t>1.9%</w:t>
                    </w:r>
                  </w:p>
                </w:txbxContent>
              </v:textbox>
              <v:fill type="solid"/>
              <w10:wrap type="none"/>
            </v:shape>
            <v:shape style="position:absolute;left:9646;top:-719;width:2140;height:971" type="#_x0000_t202" filled="true" fillcolor="#39b664" stroked="false">
              <v:textbox inset="0,0,0,0">
                <w:txbxContent>
                  <w:p>
                    <w:pPr>
                      <w:spacing w:line="240" w:lineRule="auto" w:before="7"/>
                      <w:rPr>
                        <w:rFonts w:ascii="Gill Sans MT"/>
                        <w:sz w:val="23"/>
                      </w:rPr>
                    </w:pPr>
                  </w:p>
                  <w:p>
                    <w:pPr>
                      <w:spacing w:line="247" w:lineRule="auto" w:before="0"/>
                      <w:ind w:left="95" w:right="95" w:firstLine="0"/>
                      <w:jc w:val="center"/>
                      <w:rPr>
                        <w:rFonts w:ascii="Gill Sans MT"/>
                        <w:sz w:val="18"/>
                      </w:rPr>
                    </w:pPr>
                    <w:r>
                      <w:rPr>
                        <w:rFonts w:ascii="Gill Sans MT"/>
                        <w:color w:val="FFFFFF"/>
                        <w:w w:val="110"/>
                        <w:sz w:val="18"/>
                      </w:rPr>
                      <w:t>Emerging Large Blend: 6.7%</w:t>
                    </w:r>
                  </w:p>
                  <w:p>
                    <w:pPr>
                      <w:spacing w:line="133" w:lineRule="exact" w:before="133"/>
                      <w:ind w:left="97" w:right="95" w:firstLine="0"/>
                      <w:jc w:val="center"/>
                      <w:rPr>
                        <w:rFonts w:ascii="Gill Sans MT"/>
                        <w:sz w:val="18"/>
                      </w:rPr>
                    </w:pPr>
                    <w:r>
                      <w:rPr>
                        <w:rFonts w:ascii="Gill Sans MT"/>
                        <w:color w:val="FFFFFF"/>
                        <w:w w:val="115"/>
                        <w:sz w:val="18"/>
                      </w:rPr>
                      <w:t>Emerging Large Value:</w:t>
                    </w:r>
                  </w:p>
                </w:txbxContent>
              </v:textbox>
              <v:fill type="solid"/>
              <w10:wrap type="none"/>
            </v:shape>
            <v:shape style="position:absolute;left:9646;top:-1011;width:2140;height:293" type="#_x0000_t202" filled="true" fillcolor="#09847d" stroked="false">
              <v:textbox inset="0,0,0,0">
                <w:txbxContent>
                  <w:p>
                    <w:pPr>
                      <w:spacing w:line="144" w:lineRule="exact" w:before="0"/>
                      <w:ind w:left="97" w:right="95" w:firstLine="0"/>
                      <w:jc w:val="center"/>
                      <w:rPr>
                        <w:rFonts w:ascii="Gill Sans MT"/>
                        <w:sz w:val="18"/>
                      </w:rPr>
                    </w:pPr>
                    <w:r>
                      <w:rPr>
                        <w:rFonts w:ascii="Gill Sans MT"/>
                        <w:color w:val="FFFFFF"/>
                        <w:w w:val="110"/>
                        <w:sz w:val="18"/>
                      </w:rPr>
                      <w:t>Developed Large Value:</w:t>
                    </w:r>
                  </w:p>
                  <w:p>
                    <w:pPr>
                      <w:spacing w:line="142" w:lineRule="exact" w:before="7"/>
                      <w:ind w:left="96" w:right="95" w:firstLine="0"/>
                      <w:jc w:val="center"/>
                      <w:rPr>
                        <w:rFonts w:ascii="Gill Sans MT"/>
                        <w:sz w:val="18"/>
                      </w:rPr>
                    </w:pPr>
                    <w:r>
                      <w:rPr>
                        <w:rFonts w:ascii="Gill Sans MT"/>
                        <w:color w:val="FFFFFF"/>
                        <w:w w:val="110"/>
                        <w:sz w:val="18"/>
                      </w:rPr>
                      <w:t>2.0%</w:t>
                    </w:r>
                  </w:p>
                </w:txbxContent>
              </v:textbox>
              <v:fill type="solid"/>
              <w10:wrap type="none"/>
            </v:shape>
            <w10:wrap type="none"/>
          </v:group>
        </w:pict>
      </w:r>
      <w:r>
        <w:rPr>
          <w:rFonts w:ascii="Gill Sans MT"/>
          <w:w w:val="115"/>
          <w:sz w:val="18"/>
        </w:rPr>
        <w:t>U.S. Large Blend: 48.0%</w:t>
      </w:r>
    </w:p>
    <w:p>
      <w:pPr>
        <w:spacing w:after="0"/>
        <w:jc w:val="left"/>
        <w:rPr>
          <w:rFonts w:ascii="Gill Sans MT"/>
          <w:sz w:val="18"/>
        </w:rPr>
        <w:sectPr>
          <w:type w:val="continuous"/>
          <w:pgSz w:w="14400" w:h="10800" w:orient="landscape"/>
          <w:pgMar w:top="180" w:bottom="280" w:left="20" w:right="40"/>
        </w:sectPr>
      </w:pPr>
    </w:p>
    <w:tbl>
      <w:tblPr>
        <w:tblW w:w="0" w:type="auto"/>
        <w:jc w:val="left"/>
        <w:tblInd w:w="8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6"/>
      </w:tblGrid>
      <w:tr>
        <w:trPr>
          <w:trHeight w:val="389" w:hRule="atLeast"/>
        </w:trPr>
        <w:tc>
          <w:tcPr>
            <w:tcW w:w="4486" w:type="dxa"/>
          </w:tcPr>
          <w:p>
            <w:pPr>
              <w:pStyle w:val="TableParagraph"/>
              <w:ind w:right="198"/>
              <w:jc w:val="right"/>
              <w:rPr>
                <w:sz w:val="28"/>
              </w:rPr>
            </w:pPr>
            <w:bookmarkStart w:name="Slide 11: Fixed Income" w:id="17"/>
            <w:bookmarkEnd w:id="17"/>
            <w:r>
              <w:rPr/>
            </w:r>
            <w:r>
              <w:rPr>
                <w:w w:val="110"/>
                <w:sz w:val="28"/>
              </w:rPr>
              <w:t>CNY</w:t>
            </w:r>
            <w:r>
              <w:rPr>
                <w:spacing w:val="-60"/>
                <w:w w:val="110"/>
                <w:sz w:val="28"/>
              </w:rPr>
              <w:t> </w:t>
            </w:r>
            <w:r>
              <w:rPr>
                <w:w w:val="110"/>
                <w:sz w:val="28"/>
              </w:rPr>
              <w:t>Centro,</w:t>
            </w:r>
            <w:r>
              <w:rPr>
                <w:spacing w:val="-57"/>
                <w:w w:val="110"/>
                <w:sz w:val="28"/>
              </w:rPr>
              <w:t> </w:t>
            </w:r>
            <w:r>
              <w:rPr>
                <w:w w:val="110"/>
                <w:sz w:val="28"/>
              </w:rPr>
              <w:t>Inc.</w:t>
            </w:r>
            <w:r>
              <w:rPr>
                <w:spacing w:val="-58"/>
                <w:w w:val="110"/>
                <w:sz w:val="28"/>
              </w:rPr>
              <w:t> </w:t>
            </w:r>
            <w:r>
              <w:rPr>
                <w:w w:val="110"/>
                <w:sz w:val="28"/>
              </w:rPr>
              <w:t>Salaried</w:t>
            </w:r>
            <w:r>
              <w:rPr>
                <w:spacing w:val="-59"/>
                <w:w w:val="110"/>
                <w:sz w:val="28"/>
              </w:rPr>
              <w:t> </w:t>
            </w:r>
            <w:r>
              <w:rPr>
                <w:w w:val="110"/>
                <w:sz w:val="28"/>
              </w:rPr>
              <w:t>DB</w:t>
            </w:r>
            <w:r>
              <w:rPr>
                <w:spacing w:val="-57"/>
                <w:w w:val="110"/>
                <w:sz w:val="28"/>
              </w:rPr>
              <w:t> </w:t>
            </w:r>
            <w:r>
              <w:rPr>
                <w:w w:val="110"/>
                <w:sz w:val="28"/>
              </w:rPr>
              <w:t>Plan</w:t>
            </w:r>
          </w:p>
        </w:tc>
      </w:tr>
      <w:tr>
        <w:trPr>
          <w:trHeight w:val="363" w:hRule="atLeast"/>
        </w:trPr>
        <w:tc>
          <w:tcPr>
            <w:tcW w:w="4486"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2"/>
        <w:rPr>
          <w:rFonts w:ascii="Gill Sans MT"/>
          <w:sz w:val="26"/>
        </w:rPr>
      </w:pPr>
    </w:p>
    <w:p>
      <w:pPr>
        <w:spacing w:before="99"/>
        <w:ind w:left="4255" w:right="0" w:firstLine="0"/>
        <w:jc w:val="left"/>
        <w:rPr>
          <w:rFonts w:ascii="Gill Sans MT"/>
          <w:sz w:val="20"/>
        </w:rPr>
      </w:pPr>
      <w:r>
        <w:rPr>
          <w:rFonts w:ascii="Gill Sans MT"/>
          <w:w w:val="110"/>
          <w:sz w:val="20"/>
        </w:rPr>
        <w:t>Intermediate Government: 9.9%</w:t>
      </w:r>
    </w:p>
    <w:p>
      <w:pPr>
        <w:pStyle w:val="BodyText"/>
        <w:rPr>
          <w:rFonts w:ascii="Gill Sans MT"/>
          <w:sz w:val="20"/>
        </w:rPr>
      </w:pPr>
    </w:p>
    <w:p>
      <w:pPr>
        <w:pStyle w:val="BodyText"/>
        <w:spacing w:before="9"/>
        <w:rPr>
          <w:rFonts w:ascii="Gill Sans MT"/>
          <w:sz w:val="19"/>
        </w:rPr>
      </w:pPr>
    </w:p>
    <w:p>
      <w:pPr>
        <w:spacing w:before="0"/>
        <w:ind w:left="9379" w:right="0" w:firstLine="0"/>
        <w:jc w:val="left"/>
        <w:rPr>
          <w:rFonts w:ascii="Gill Sans MT"/>
          <w:sz w:val="20"/>
        </w:rPr>
      </w:pPr>
      <w:r>
        <w:rPr/>
        <w:pict>
          <v:group style="position:absolute;margin-left:244.589996pt;margin-top:-12.538015pt;width:235.25pt;height:239.85pt;mso-position-horizontal-relative:page;mso-position-vertical-relative:paragraph;z-index:-267016192" coordorigin="4892,-251" coordsize="4705,4797">
            <v:shape style="position:absolute;left:4891;top:-159;width:4705;height:4705" coordorigin="4892,-159" coordsize="4705,4705" path="m5880,277l5816,324,5755,373,5695,423,5638,475,5582,529,5528,584,5476,642,5427,700,5379,760,5333,822,5289,885,5248,949,5208,1015,5171,1082,5136,1150,5103,1219,5073,1289,5044,1360,5018,1432,4995,1505,4973,1579,4954,1654,4938,1729,4924,1805,4912,1882,4903,1959,4897,2037,4893,2115,4892,2193,4893,2270,4897,2345,4903,2420,4911,2494,4921,2568,4934,2640,4949,2712,4966,2784,4986,2854,5007,2923,5031,2992,5056,3059,5084,3126,5113,3191,5145,3255,5178,3319,5213,3381,5250,3442,5289,3501,5329,3560,5371,3617,5415,3673,5460,3727,5507,3780,5556,3832,5606,3882,5658,3930,5711,3977,5765,4023,5821,4066,5878,4109,5936,4149,5996,4188,6057,4225,6119,4260,6182,4293,6247,4324,6312,4354,6379,4381,6446,4407,6515,4430,6584,4452,6654,4471,6725,4488,6797,4503,6870,4516,6944,4527,7018,4535,7093,4541,7168,4545,7244,4546,7321,4545,7396,4541,7471,4535,7545,4527,7619,4516,7691,4503,7763,4488,7835,4471,7905,4452,7974,4430,8043,4407,8110,4381,8177,4354,8242,4324,8306,4293,8370,4260,8432,4225,8493,4188,8552,4149,8611,4109,8668,4066,8724,4023,8778,3977,8831,3930,8883,3882,8933,3832,8981,3780,9028,3727,9074,3673,9117,3617,9160,3560,9200,3501,9239,3442,9276,3381,9311,3319,9344,3255,9375,3191,9405,3126,9432,3059,9458,2992,9481,2923,9503,2854,9522,2784,9539,2712,9554,2640,9567,2568,9578,2494,9586,2420,9592,2345,9596,2270,9597,2193,7244,2193,5880,277xm7244,-159l7244,2193,9597,2193,9596,2117,9592,2042,9586,1967,9578,1893,9567,1819,9554,1746,9539,1674,9522,1603,9503,1533,9481,1464,9458,1395,9432,1328,9405,1261,9375,1196,9344,1131,9311,1068,9276,1006,9239,945,9200,886,9160,827,9117,770,9074,714,9028,660,8981,607,8933,555,8883,505,8831,457,8778,410,8724,364,8668,320,8611,278,8552,238,8493,199,8432,162,8370,127,8306,94,8242,62,8177,33,8110,5,8043,-20,7974,-44,7905,-65,7835,-84,7763,-102,7691,-117,7619,-129,7545,-140,7471,-148,7396,-154,7321,-158,7244,-159xe" filled="true" fillcolor="#5f86d1" stroked="false">
              <v:path arrowok="t"/>
              <v:fill type="solid"/>
            </v:shape>
            <v:shape style="position:absolute;left:5850;top:-249;width:1365;height:2353" coordorigin="5851,-249" coordsize="1365,2353" path="m7216,-249l7134,-247,7053,-243,6972,-236,6892,-226,6812,-214,6733,-198,6654,-181,6576,-160,6499,-137,6423,-111,6348,-82,6273,-51,6200,-18,6127,18,6056,57,5986,98,5918,142,5851,188,7216,2104,7216,-249xe" filled="true" fillcolor="#bcd6ed" stroked="false">
              <v:path arrowok="t"/>
              <v:fill type="solid"/>
            </v:shape>
            <v:line style="position:absolute" from="7230,-251" to="7230,2102" stroked="true" strokeweight="0pt" strokecolor="#00afef">
              <v:stroke dashstyle="solid"/>
            </v:line>
            <w10:wrap type="none"/>
          </v:group>
        </w:pict>
      </w:r>
      <w:r>
        <w:rPr>
          <w:rFonts w:ascii="Gill Sans MT"/>
          <w:w w:val="110"/>
          <w:sz w:val="20"/>
        </w:rPr>
        <w:t>Intermediate Core Bond: 90.1%</w:t>
      </w:r>
    </w:p>
    <w:p>
      <w:pPr>
        <w:spacing w:after="0"/>
        <w:jc w:val="left"/>
        <w:rPr>
          <w:rFonts w:ascii="Gill Sans MT"/>
          <w:sz w:val="20"/>
        </w:rPr>
        <w:sectPr>
          <w:headerReference w:type="default" r:id="rId40"/>
          <w:footerReference w:type="default" r:id="rId41"/>
          <w:pgSz w:w="14400" w:h="10800" w:orient="landscape"/>
          <w:pgMar w:header="601" w:footer="1505" w:top="800" w:bottom="1700" w:left="20" w:right="40"/>
          <w:pgNumType w:start="11"/>
        </w:sectPr>
      </w:pPr>
    </w:p>
    <w:tbl>
      <w:tblPr>
        <w:tblW w:w="0" w:type="auto"/>
        <w:jc w:val="left"/>
        <w:tblInd w:w="8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6"/>
      </w:tblGrid>
      <w:tr>
        <w:trPr>
          <w:trHeight w:val="389" w:hRule="atLeast"/>
        </w:trPr>
        <w:tc>
          <w:tcPr>
            <w:tcW w:w="4486" w:type="dxa"/>
          </w:tcPr>
          <w:p>
            <w:pPr>
              <w:pStyle w:val="TableParagraph"/>
              <w:ind w:right="198"/>
              <w:jc w:val="right"/>
              <w:rPr>
                <w:sz w:val="28"/>
              </w:rPr>
            </w:pPr>
            <w:bookmarkStart w:name="Slide 12: Real Return" w:id="18"/>
            <w:bookmarkEnd w:id="18"/>
            <w:r>
              <w:rPr/>
            </w:r>
            <w:r>
              <w:rPr>
                <w:w w:val="110"/>
                <w:sz w:val="28"/>
              </w:rPr>
              <w:t>CNY</w:t>
            </w:r>
            <w:r>
              <w:rPr>
                <w:spacing w:val="-60"/>
                <w:w w:val="110"/>
                <w:sz w:val="28"/>
              </w:rPr>
              <w:t> </w:t>
            </w:r>
            <w:r>
              <w:rPr>
                <w:w w:val="110"/>
                <w:sz w:val="28"/>
              </w:rPr>
              <w:t>Centro,</w:t>
            </w:r>
            <w:r>
              <w:rPr>
                <w:spacing w:val="-57"/>
                <w:w w:val="110"/>
                <w:sz w:val="28"/>
              </w:rPr>
              <w:t> </w:t>
            </w:r>
            <w:r>
              <w:rPr>
                <w:w w:val="110"/>
                <w:sz w:val="28"/>
              </w:rPr>
              <w:t>Inc.</w:t>
            </w:r>
            <w:r>
              <w:rPr>
                <w:spacing w:val="-58"/>
                <w:w w:val="110"/>
                <w:sz w:val="28"/>
              </w:rPr>
              <w:t> </w:t>
            </w:r>
            <w:r>
              <w:rPr>
                <w:w w:val="110"/>
                <w:sz w:val="28"/>
              </w:rPr>
              <w:t>Salaried</w:t>
            </w:r>
            <w:r>
              <w:rPr>
                <w:spacing w:val="-59"/>
                <w:w w:val="110"/>
                <w:sz w:val="28"/>
              </w:rPr>
              <w:t> </w:t>
            </w:r>
            <w:r>
              <w:rPr>
                <w:w w:val="110"/>
                <w:sz w:val="28"/>
              </w:rPr>
              <w:t>DB</w:t>
            </w:r>
            <w:r>
              <w:rPr>
                <w:spacing w:val="-57"/>
                <w:w w:val="110"/>
                <w:sz w:val="28"/>
              </w:rPr>
              <w:t> </w:t>
            </w:r>
            <w:r>
              <w:rPr>
                <w:w w:val="110"/>
                <w:sz w:val="28"/>
              </w:rPr>
              <w:t>Plan</w:t>
            </w:r>
          </w:p>
        </w:tc>
      </w:tr>
      <w:tr>
        <w:trPr>
          <w:trHeight w:val="363" w:hRule="atLeast"/>
        </w:trPr>
        <w:tc>
          <w:tcPr>
            <w:tcW w:w="4486"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16"/>
        </w:rPr>
      </w:pPr>
    </w:p>
    <w:p>
      <w:pPr>
        <w:spacing w:after="0"/>
        <w:rPr>
          <w:rFonts w:ascii="Gill Sans MT"/>
          <w:sz w:val="16"/>
        </w:rPr>
        <w:sectPr>
          <w:headerReference w:type="default" r:id="rId42"/>
          <w:footerReference w:type="default" r:id="rId43"/>
          <w:pgSz w:w="14400" w:h="10800" w:orient="landscape"/>
          <w:pgMar w:header="601" w:footer="1505" w:top="800" w:bottom="1700" w:left="20" w:right="40"/>
          <w:pgNumType w:start="12"/>
        </w:sectPr>
      </w:pPr>
    </w:p>
    <w:p>
      <w:pPr>
        <w:spacing w:before="99"/>
        <w:ind w:left="0" w:right="38" w:firstLine="0"/>
        <w:jc w:val="right"/>
        <w:rPr>
          <w:rFonts w:ascii="Gill Sans MT"/>
          <w:sz w:val="20"/>
        </w:rPr>
      </w:pPr>
      <w:r>
        <w:rPr/>
        <w:pict>
          <v:group style="position:absolute;margin-left:241.761765pt;margin-top:-46.858002pt;width:239.5pt;height:237.3pt;mso-position-horizontal-relative:page;mso-position-vertical-relative:paragraph;z-index:251683840" coordorigin="4835,-937" coordsize="4790,4746">
            <v:shape style="position:absolute;left:7272;top:-938;width:2353;height:3814" coordorigin="7272,-937" coordsize="2353,3814" path="m7272,-937l7272,1415,9116,2876,9164,2813,9210,2749,9254,2683,9296,2616,9335,2547,9371,2478,9406,2407,9438,2335,9467,2262,9494,2189,9519,2114,9541,2039,9560,1963,9577,1886,9592,1809,9604,1731,9613,1653,9619,1574,9623,1495,9625,1415,9624,1339,9620,1264,9614,1189,9606,1114,9595,1041,9582,968,9567,896,9550,825,9531,755,9509,685,9486,617,9460,550,9433,483,9403,418,9372,353,9339,290,9304,228,9267,167,9228,107,9188,49,9145,-8,9102,-64,9056,-118,9009,-171,8961,-223,8911,-273,8859,-322,8806,-369,8752,-414,8696,-458,8639,-500,8580,-540,8521,-579,8460,-616,8398,-651,8334,-684,8270,-716,8205,-745,8138,-773,8071,-798,8002,-822,7933,-843,7863,-863,7791,-880,7719,-895,7647,-908,7573,-918,7499,-926,7424,-932,7349,-936,7272,-937xe" filled="true" fillcolor="#66799f" stroked="false">
              <v:path arrowok="t"/>
              <v:fill type="solid"/>
            </v:shape>
            <v:shape style="position:absolute;left:4835;top:-897;width:4197;height:4705" coordorigin="4835,-896" coordsize="4197,4705" path="m7188,-896l7108,-895,7029,-891,6950,-884,6872,-875,6794,-863,6717,-849,6640,-832,6564,-812,6489,-790,6415,-766,6342,-739,6270,-710,6199,-678,6129,-645,6060,-608,5992,-570,5926,-529,5861,-486,5797,-441,5735,-394,5674,-345,5615,-293,5557,-239,5501,-184,5447,-126,5394,-67,5344,-5,5297,55,5253,117,5212,179,5172,243,5135,307,5099,372,5067,438,5036,504,5007,571,4981,639,4957,707,4935,776,4915,845,4898,915,4882,984,4869,1055,4858,1125,4849,1196,4843,1267,4838,1338,4836,1408,4835,1479,4837,1550,4841,1621,4847,1692,4855,1762,4865,1832,4878,1902,4892,1971,4909,2040,4927,2109,4948,2177,4971,2244,4996,2311,5022,2377,5051,2442,5082,2507,5115,2571,5150,2633,5187,2695,5226,2756,5267,2816,5310,2875,5356,2933,5403,2989,5452,3044,5503,3098,5556,3151,5611,3202,5668,3252,5727,3300,5787,3346,5848,3390,5911,3432,5974,3472,6038,3509,6103,3544,6169,3577,6235,3608,6303,3636,6370,3663,6438,3687,6507,3709,6576,3728,6646,3746,6716,3761,6786,3775,6857,3786,6927,3794,6998,3801,7069,3806,7140,3808,7211,3809,7282,3807,7352,3803,7423,3797,7493,3789,7563,3778,7633,3766,7703,3752,7772,3735,7840,3717,7908,3696,7975,3673,8042,3648,8108,3621,8174,3593,8238,3562,8302,3529,8365,3494,8427,3457,8488,3418,8548,3376,8606,3333,8664,3288,8720,3241,8776,3192,8830,3141,8882,3088,8933,3033,8983,2976,9031,2917,7188,1456,7188,-896xe" filled="true" fillcolor="#3b43d7" stroked="false">
              <v:path arrowok="t"/>
              <v:fill type="solid"/>
            </v:shape>
            <w10:wrap type="none"/>
          </v:group>
        </w:pict>
      </w:r>
      <w:r>
        <w:rPr>
          <w:rFonts w:ascii="Gill Sans MT"/>
          <w:w w:val="115"/>
          <w:sz w:val="20"/>
        </w:rPr>
        <w:t>TIPS: 64.3%</w:t>
      </w:r>
    </w:p>
    <w:p>
      <w:pPr>
        <w:spacing w:before="162"/>
        <w:ind w:left="3531" w:right="0" w:firstLine="0"/>
        <w:jc w:val="left"/>
        <w:rPr>
          <w:rFonts w:ascii="Gill Sans MT"/>
          <w:sz w:val="20"/>
        </w:rPr>
      </w:pPr>
      <w:r>
        <w:rPr/>
        <w:br w:type="column"/>
      </w:r>
      <w:r>
        <w:rPr>
          <w:rFonts w:ascii="Gill Sans MT"/>
          <w:w w:val="110"/>
          <w:sz w:val="20"/>
        </w:rPr>
        <w:t>Short-Term TIPS: 35.7%</w:t>
      </w:r>
    </w:p>
    <w:p>
      <w:pPr>
        <w:spacing w:after="0"/>
        <w:jc w:val="left"/>
        <w:rPr>
          <w:rFonts w:ascii="Gill Sans MT"/>
          <w:sz w:val="20"/>
        </w:rPr>
        <w:sectPr>
          <w:type w:val="continuous"/>
          <w:pgSz w:w="14400" w:h="10800" w:orient="landscape"/>
          <w:pgMar w:top="180" w:bottom="280" w:left="20" w:right="40"/>
          <w:cols w:num="2" w:equalWidth="0">
            <w:col w:w="4627" w:space="1413"/>
            <w:col w:w="8300"/>
          </w:cols>
        </w:sectPr>
      </w:pPr>
    </w:p>
    <w:tbl>
      <w:tblPr>
        <w:tblW w:w="0" w:type="auto"/>
        <w:jc w:val="left"/>
        <w:tblInd w:w="8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6"/>
      </w:tblGrid>
      <w:tr>
        <w:trPr>
          <w:trHeight w:val="389" w:hRule="atLeast"/>
        </w:trPr>
        <w:tc>
          <w:tcPr>
            <w:tcW w:w="4486" w:type="dxa"/>
          </w:tcPr>
          <w:p>
            <w:pPr>
              <w:pStyle w:val="TableParagraph"/>
              <w:ind w:right="198"/>
              <w:jc w:val="right"/>
              <w:rPr>
                <w:sz w:val="28"/>
              </w:rPr>
            </w:pPr>
            <w:bookmarkStart w:name="Slide 13: Portfolio Activity" w:id="19"/>
            <w:bookmarkEnd w:id="19"/>
            <w:r>
              <w:rPr/>
            </w:r>
            <w:r>
              <w:rPr>
                <w:w w:val="110"/>
                <w:sz w:val="28"/>
              </w:rPr>
              <w:t>CNY</w:t>
            </w:r>
            <w:r>
              <w:rPr>
                <w:spacing w:val="-60"/>
                <w:w w:val="110"/>
                <w:sz w:val="28"/>
              </w:rPr>
              <w:t> </w:t>
            </w:r>
            <w:r>
              <w:rPr>
                <w:w w:val="110"/>
                <w:sz w:val="28"/>
              </w:rPr>
              <w:t>Centro,</w:t>
            </w:r>
            <w:r>
              <w:rPr>
                <w:spacing w:val="-57"/>
                <w:w w:val="110"/>
                <w:sz w:val="28"/>
              </w:rPr>
              <w:t> </w:t>
            </w:r>
            <w:r>
              <w:rPr>
                <w:w w:val="110"/>
                <w:sz w:val="28"/>
              </w:rPr>
              <w:t>Inc.</w:t>
            </w:r>
            <w:r>
              <w:rPr>
                <w:spacing w:val="-58"/>
                <w:w w:val="110"/>
                <w:sz w:val="28"/>
              </w:rPr>
              <w:t> </w:t>
            </w:r>
            <w:r>
              <w:rPr>
                <w:w w:val="110"/>
                <w:sz w:val="28"/>
              </w:rPr>
              <w:t>Salaried</w:t>
            </w:r>
            <w:r>
              <w:rPr>
                <w:spacing w:val="-59"/>
                <w:w w:val="110"/>
                <w:sz w:val="28"/>
              </w:rPr>
              <w:t> </w:t>
            </w:r>
            <w:r>
              <w:rPr>
                <w:w w:val="110"/>
                <w:sz w:val="28"/>
              </w:rPr>
              <w:t>DB</w:t>
            </w:r>
            <w:r>
              <w:rPr>
                <w:spacing w:val="-57"/>
                <w:w w:val="110"/>
                <w:sz w:val="28"/>
              </w:rPr>
              <w:t> </w:t>
            </w:r>
            <w:r>
              <w:rPr>
                <w:w w:val="110"/>
                <w:sz w:val="28"/>
              </w:rPr>
              <w:t>Plan</w:t>
            </w:r>
          </w:p>
        </w:tc>
      </w:tr>
      <w:tr>
        <w:trPr>
          <w:trHeight w:val="363" w:hRule="atLeast"/>
        </w:trPr>
        <w:tc>
          <w:tcPr>
            <w:tcW w:w="4486"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spacing w:before="2"/>
        <w:rPr>
          <w:rFonts w:ascii="Gill Sans MT"/>
          <w:sz w:val="28"/>
        </w:rPr>
      </w:pPr>
    </w:p>
    <w:tbl>
      <w:tblPr>
        <w:tblW w:w="0" w:type="auto"/>
        <w:jc w:val="left"/>
        <w:tblInd w:w="69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982"/>
        <w:gridCol w:w="1668"/>
        <w:gridCol w:w="1668"/>
        <w:gridCol w:w="1668"/>
        <w:gridCol w:w="1668"/>
        <w:gridCol w:w="1668"/>
        <w:gridCol w:w="1675"/>
      </w:tblGrid>
      <w:tr>
        <w:trPr>
          <w:trHeight w:val="248" w:hRule="atLeast"/>
        </w:trPr>
        <w:tc>
          <w:tcPr>
            <w:tcW w:w="12997" w:type="dxa"/>
            <w:gridSpan w:val="7"/>
            <w:tcBorders>
              <w:bottom w:val="single" w:sz="12" w:space="0" w:color="FFFFFF"/>
              <w:right w:val="nil"/>
            </w:tcBorders>
          </w:tcPr>
          <w:p>
            <w:pPr>
              <w:pStyle w:val="TableParagraph"/>
              <w:rPr>
                <w:rFonts w:ascii="Times New Roman"/>
                <w:sz w:val="18"/>
              </w:rPr>
            </w:pPr>
          </w:p>
        </w:tc>
      </w:tr>
      <w:tr>
        <w:trPr>
          <w:trHeight w:val="546" w:hRule="atLeast"/>
        </w:trPr>
        <w:tc>
          <w:tcPr>
            <w:tcW w:w="2982" w:type="dxa"/>
            <w:tcBorders>
              <w:top w:val="single" w:sz="12" w:space="0" w:color="FFFFFF"/>
              <w:bottom w:val="single" w:sz="12" w:space="0" w:color="E6E6E6"/>
              <w:right w:val="single" w:sz="4" w:space="0" w:color="D9D9D9"/>
            </w:tcBorders>
            <w:shd w:val="clear" w:color="auto" w:fill="014612"/>
          </w:tcPr>
          <w:p>
            <w:pPr>
              <w:pStyle w:val="TableParagraph"/>
              <w:spacing w:before="157"/>
              <w:ind w:left="94"/>
              <w:rPr>
                <w:sz w:val="20"/>
              </w:rPr>
            </w:pPr>
            <w:r>
              <w:rPr>
                <w:color w:val="FFFFFF"/>
                <w:w w:val="105"/>
                <w:sz w:val="20"/>
              </w:rPr>
              <w:t>Activity</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500"/>
              <w:rPr>
                <w:sz w:val="20"/>
              </w:rPr>
            </w:pPr>
            <w:r>
              <w:rPr>
                <w:color w:val="FFFFFF"/>
                <w:sz w:val="20"/>
              </w:rPr>
              <w:t>QTD ($)</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507"/>
              <w:rPr>
                <w:sz w:val="20"/>
              </w:rPr>
            </w:pPr>
            <w:r>
              <w:rPr>
                <w:color w:val="FFFFFF"/>
                <w:sz w:val="20"/>
              </w:rPr>
              <w:t>YTD ($)</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411"/>
              <w:rPr>
                <w:sz w:val="20"/>
              </w:rPr>
            </w:pPr>
            <w:r>
              <w:rPr>
                <w:color w:val="FFFFFF"/>
                <w:w w:val="105"/>
                <w:sz w:val="20"/>
              </w:rPr>
              <w:t>1 Year ($)</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411"/>
              <w:rPr>
                <w:sz w:val="20"/>
              </w:rPr>
            </w:pPr>
            <w:r>
              <w:rPr>
                <w:color w:val="FFFFFF"/>
                <w:w w:val="105"/>
                <w:sz w:val="20"/>
              </w:rPr>
              <w:t>3 Year ($)</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411"/>
              <w:rPr>
                <w:sz w:val="20"/>
              </w:rPr>
            </w:pPr>
            <w:r>
              <w:rPr>
                <w:color w:val="FFFFFF"/>
                <w:w w:val="105"/>
                <w:sz w:val="20"/>
              </w:rPr>
              <w:t>5 Year ($)</w:t>
            </w:r>
          </w:p>
        </w:tc>
        <w:tc>
          <w:tcPr>
            <w:tcW w:w="1675"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right="3"/>
              <w:jc w:val="right"/>
              <w:rPr>
                <w:sz w:val="20"/>
              </w:rPr>
            </w:pPr>
            <w:r>
              <w:rPr>
                <w:color w:val="FFFFFF"/>
                <w:w w:val="110"/>
                <w:sz w:val="20"/>
              </w:rPr>
              <w:t>Since Inception</w:t>
            </w:r>
            <w:r>
              <w:rPr>
                <w:color w:val="FFFFFF"/>
                <w:spacing w:val="-45"/>
                <w:w w:val="110"/>
                <w:sz w:val="20"/>
              </w:rPr>
              <w:t> </w:t>
            </w:r>
            <w:r>
              <w:rPr>
                <w:color w:val="FFFFFF"/>
                <w:w w:val="110"/>
                <w:sz w:val="20"/>
              </w:rPr>
              <w:t>($)</w:t>
            </w:r>
          </w:p>
        </w:tc>
      </w:tr>
      <w:tr>
        <w:trPr>
          <w:trHeight w:val="407" w:hRule="atLeast"/>
        </w:trPr>
        <w:tc>
          <w:tcPr>
            <w:tcW w:w="2982" w:type="dxa"/>
            <w:tcBorders>
              <w:top w:val="single" w:sz="12" w:space="0" w:color="E6E6E6"/>
              <w:right w:val="single" w:sz="4" w:space="0" w:color="D9D9D9"/>
            </w:tcBorders>
          </w:tcPr>
          <w:p>
            <w:pPr>
              <w:pStyle w:val="TableParagraph"/>
              <w:spacing w:before="85"/>
              <w:ind w:left="94"/>
              <w:rPr>
                <w:sz w:val="20"/>
              </w:rPr>
            </w:pPr>
            <w:r>
              <w:rPr>
                <w:w w:val="115"/>
                <w:sz w:val="20"/>
              </w:rPr>
              <w:t>Value at Beginning of Period</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38,306,121.99</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39,016,912.23</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38,132,636.08</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32,682,081.91</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30,390,961.74</w:t>
            </w:r>
          </w:p>
        </w:tc>
        <w:tc>
          <w:tcPr>
            <w:tcW w:w="1675"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30,778,974.76</w:t>
            </w:r>
          </w:p>
        </w:tc>
      </w:tr>
      <w:tr>
        <w:trPr>
          <w:trHeight w:val="411" w:hRule="atLeast"/>
        </w:trPr>
        <w:tc>
          <w:tcPr>
            <w:tcW w:w="2982" w:type="dxa"/>
            <w:tcBorders>
              <w:right w:val="single" w:sz="4" w:space="0" w:color="D9D9D9"/>
            </w:tcBorders>
            <w:shd w:val="clear" w:color="auto" w:fill="BEBEBE"/>
          </w:tcPr>
          <w:p>
            <w:pPr>
              <w:pStyle w:val="TableParagraph"/>
              <w:spacing w:before="90"/>
              <w:ind w:left="200"/>
              <w:rPr>
                <w:sz w:val="20"/>
              </w:rPr>
            </w:pPr>
            <w:r>
              <w:rPr>
                <w:w w:val="105"/>
                <w:sz w:val="20"/>
              </w:rPr>
              <w:t>Contributions</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468,466.31</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617,645.91</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1,204,328.77</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4,304,220.90</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7,270,329.10</w:t>
            </w:r>
          </w:p>
        </w:tc>
        <w:tc>
          <w:tcPr>
            <w:tcW w:w="1675"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7,963,892.00</w:t>
            </w:r>
          </w:p>
        </w:tc>
      </w:tr>
      <w:tr>
        <w:trPr>
          <w:trHeight w:val="412" w:hRule="atLeast"/>
        </w:trPr>
        <w:tc>
          <w:tcPr>
            <w:tcW w:w="2982" w:type="dxa"/>
            <w:tcBorders>
              <w:right w:val="single" w:sz="4" w:space="0" w:color="D9D9D9"/>
            </w:tcBorders>
          </w:tcPr>
          <w:p>
            <w:pPr>
              <w:pStyle w:val="TableParagraph"/>
              <w:spacing w:before="90"/>
              <w:ind w:left="200"/>
              <w:rPr>
                <w:sz w:val="20"/>
              </w:rPr>
            </w:pPr>
            <w:r>
              <w:rPr>
                <w:w w:val="110"/>
                <w:sz w:val="20"/>
              </w:rPr>
              <w:t>Withdrawals</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-715,562.26</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-1,427,938.21</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-2,839,030.55</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-7,908,155.08</w:t>
            </w:r>
          </w:p>
        </w:tc>
        <w:tc>
          <w:tcPr>
            <w:tcW w:w="1668" w:type="dxa"/>
            <w:tcBorders>
              <w:left w:val="single" w:sz="4" w:space="0" w:color="D9D9D9"/>
              <w:right w:val="single" w:sz="4" w:space="0" w:color="D9D9D9"/>
            </w:tcBorders>
          </w:tcPr>
          <w:p>
            <w:pPr>
              <w:pStyle w:val="TableParagraph"/>
              <w:spacing w:before="90"/>
              <w:ind w:right="81"/>
              <w:jc w:val="right"/>
              <w:rPr>
                <w:sz w:val="20"/>
              </w:rPr>
            </w:pPr>
            <w:r>
              <w:rPr>
                <w:w w:val="105"/>
                <w:sz w:val="20"/>
              </w:rPr>
              <w:t>-12,448,869.42</w:t>
            </w:r>
          </w:p>
        </w:tc>
        <w:tc>
          <w:tcPr>
            <w:tcW w:w="1675" w:type="dxa"/>
            <w:tcBorders>
              <w:left w:val="single" w:sz="4" w:space="0" w:color="D9D9D9"/>
              <w:right w:val="single" w:sz="4" w:space="0" w:color="D9D9D9"/>
            </w:tcBorders>
          </w:tcPr>
          <w:p>
            <w:pPr>
              <w:pStyle w:val="TableParagraph"/>
              <w:spacing w:before="90"/>
              <w:ind w:right="81"/>
              <w:jc w:val="right"/>
              <w:rPr>
                <w:sz w:val="20"/>
              </w:rPr>
            </w:pPr>
            <w:r>
              <w:rPr>
                <w:w w:val="105"/>
                <w:sz w:val="20"/>
              </w:rPr>
              <w:t>-13,360,993.17</w:t>
            </w:r>
          </w:p>
        </w:tc>
      </w:tr>
      <w:tr>
        <w:trPr>
          <w:trHeight w:val="412" w:hRule="atLeast"/>
        </w:trPr>
        <w:tc>
          <w:tcPr>
            <w:tcW w:w="2982" w:type="dxa"/>
            <w:tcBorders>
              <w:right w:val="single" w:sz="4" w:space="0" w:color="D9D9D9"/>
            </w:tcBorders>
            <w:shd w:val="clear" w:color="auto" w:fill="BEBEBE"/>
          </w:tcPr>
          <w:p>
            <w:pPr>
              <w:pStyle w:val="TableParagraph"/>
              <w:spacing w:before="90"/>
              <w:ind w:left="200"/>
              <w:rPr>
                <w:sz w:val="20"/>
              </w:rPr>
            </w:pPr>
            <w:r>
              <w:rPr>
                <w:w w:val="110"/>
                <w:sz w:val="20"/>
              </w:rPr>
              <w:t>Income Received</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307,452.34</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412,066.67</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901,191.59</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2,414,669.33</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3,793,505.86</w:t>
            </w:r>
          </w:p>
        </w:tc>
        <w:tc>
          <w:tcPr>
            <w:tcW w:w="1675"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4,060,148.13</w:t>
            </w:r>
          </w:p>
        </w:tc>
      </w:tr>
      <w:tr>
        <w:trPr>
          <w:trHeight w:val="411" w:hRule="atLeast"/>
        </w:trPr>
        <w:tc>
          <w:tcPr>
            <w:tcW w:w="2982" w:type="dxa"/>
            <w:tcBorders>
              <w:bottom w:val="single" w:sz="8" w:space="0" w:color="000000"/>
              <w:right w:val="single" w:sz="4" w:space="0" w:color="D9D9D9"/>
            </w:tcBorders>
          </w:tcPr>
          <w:p>
            <w:pPr>
              <w:pStyle w:val="TableParagraph"/>
              <w:spacing w:before="90"/>
              <w:ind w:left="200"/>
              <w:rPr>
                <w:sz w:val="20"/>
              </w:rPr>
            </w:pPr>
            <w:r>
              <w:rPr>
                <w:w w:val="115"/>
                <w:sz w:val="20"/>
              </w:rPr>
              <w:t>Capital Gain/Loss</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05"/>
                <w:sz w:val="20"/>
              </w:rPr>
              <w:t>2,407,485.13</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05"/>
                <w:sz w:val="20"/>
              </w:rPr>
              <w:t>2,155,276.91</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05"/>
                <w:sz w:val="20"/>
              </w:rPr>
              <w:t>3,374,837.62</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05"/>
                <w:sz w:val="20"/>
              </w:rPr>
              <w:t>9,281,146.45</w:t>
            </w:r>
          </w:p>
        </w:tc>
        <w:tc>
          <w:tcPr>
            <w:tcW w:w="1668" w:type="dxa"/>
            <w:tcBorders>
              <w:left w:val="single" w:sz="4" w:space="0" w:color="D9D9D9"/>
              <w:bottom w:val="single" w:sz="8" w:space="0" w:color="000000"/>
              <w:right w:val="single" w:sz="4" w:space="0" w:color="D9D9D9"/>
            </w:tcBorders>
          </w:tcPr>
          <w:p>
            <w:pPr>
              <w:pStyle w:val="TableParagraph"/>
              <w:spacing w:before="90"/>
              <w:ind w:right="81"/>
              <w:jc w:val="right"/>
              <w:rPr>
                <w:sz w:val="20"/>
              </w:rPr>
            </w:pPr>
            <w:r>
              <w:rPr>
                <w:w w:val="110"/>
                <w:sz w:val="20"/>
              </w:rPr>
              <w:t>11,768,036.23</w:t>
            </w:r>
          </w:p>
        </w:tc>
        <w:tc>
          <w:tcPr>
            <w:tcW w:w="1675" w:type="dxa"/>
            <w:tcBorders>
              <w:left w:val="single" w:sz="4" w:space="0" w:color="D9D9D9"/>
              <w:bottom w:val="single" w:sz="8" w:space="0" w:color="000000"/>
              <w:right w:val="single" w:sz="4" w:space="0" w:color="D9D9D9"/>
            </w:tcBorders>
          </w:tcPr>
          <w:p>
            <w:pPr>
              <w:pStyle w:val="TableParagraph"/>
              <w:spacing w:before="90"/>
              <w:ind w:right="81"/>
              <w:jc w:val="right"/>
              <w:rPr>
                <w:sz w:val="20"/>
              </w:rPr>
            </w:pPr>
            <w:r>
              <w:rPr>
                <w:w w:val="110"/>
                <w:sz w:val="20"/>
              </w:rPr>
              <w:t>11,331,941.79</w:t>
            </w:r>
          </w:p>
        </w:tc>
      </w:tr>
      <w:tr>
        <w:trPr>
          <w:trHeight w:val="412" w:hRule="atLeast"/>
        </w:trPr>
        <w:tc>
          <w:tcPr>
            <w:tcW w:w="2982" w:type="dxa"/>
            <w:tcBorders>
              <w:top w:val="single" w:sz="8" w:space="0" w:color="000000"/>
              <w:bottom w:val="single" w:sz="8" w:space="0" w:color="000000"/>
              <w:right w:val="single" w:sz="4" w:space="0" w:color="D9D9D9"/>
            </w:tcBorders>
          </w:tcPr>
          <w:p>
            <w:pPr>
              <w:pStyle w:val="TableParagraph"/>
              <w:spacing w:before="90"/>
              <w:ind w:left="94"/>
              <w:rPr>
                <w:sz w:val="20"/>
              </w:rPr>
            </w:pPr>
            <w:r>
              <w:rPr>
                <w:w w:val="115"/>
                <w:sz w:val="20"/>
              </w:rPr>
              <w:t>Value at End of Period</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40,773,963.51</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40,773,963.51</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40,773,963.51</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40,773,963.51</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40,773,963.51</w:t>
            </w:r>
          </w:p>
        </w:tc>
        <w:tc>
          <w:tcPr>
            <w:tcW w:w="1675"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40,773,963.51</w:t>
            </w:r>
          </w:p>
        </w:tc>
      </w:tr>
      <w:tr>
        <w:trPr>
          <w:trHeight w:val="416" w:hRule="atLeast"/>
        </w:trPr>
        <w:tc>
          <w:tcPr>
            <w:tcW w:w="2982" w:type="dxa"/>
            <w:tcBorders>
              <w:top w:val="single" w:sz="8" w:space="0" w:color="000000"/>
              <w:bottom w:val="single" w:sz="4" w:space="0" w:color="7E7E7E"/>
              <w:right w:val="single" w:sz="4" w:space="0" w:color="D9D9D9"/>
            </w:tcBorders>
          </w:tcPr>
          <w:p>
            <w:pPr>
              <w:pStyle w:val="TableParagraph"/>
              <w:spacing w:before="90"/>
              <w:ind w:left="94"/>
              <w:rPr>
                <w:sz w:val="20"/>
              </w:rPr>
            </w:pPr>
            <w:r>
              <w:rPr>
                <w:w w:val="110"/>
                <w:sz w:val="20"/>
              </w:rPr>
              <w:t>Total</w:t>
            </w:r>
            <w:r>
              <w:rPr>
                <w:spacing w:val="-25"/>
                <w:w w:val="110"/>
                <w:sz w:val="20"/>
              </w:rPr>
              <w:t> </w:t>
            </w:r>
            <w:r>
              <w:rPr>
                <w:w w:val="110"/>
                <w:sz w:val="20"/>
              </w:rPr>
              <w:t>Investment</w:t>
            </w:r>
            <w:r>
              <w:rPr>
                <w:spacing w:val="-22"/>
                <w:w w:val="110"/>
                <w:sz w:val="20"/>
              </w:rPr>
              <w:t> </w:t>
            </w:r>
            <w:r>
              <w:rPr>
                <w:w w:val="110"/>
                <w:sz w:val="20"/>
              </w:rPr>
              <w:t>Gain</w:t>
            </w:r>
            <w:r>
              <w:rPr>
                <w:spacing w:val="-24"/>
                <w:w w:val="110"/>
                <w:sz w:val="20"/>
              </w:rPr>
              <w:t> </w:t>
            </w:r>
            <w:r>
              <w:rPr>
                <w:w w:val="110"/>
                <w:sz w:val="20"/>
              </w:rPr>
              <w:t>after</w:t>
            </w:r>
            <w:r>
              <w:rPr>
                <w:spacing w:val="-23"/>
                <w:w w:val="110"/>
                <w:sz w:val="20"/>
              </w:rPr>
              <w:t> </w:t>
            </w:r>
            <w:r>
              <w:rPr>
                <w:w w:val="110"/>
                <w:sz w:val="20"/>
              </w:rPr>
              <w:t>Fees</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7"/>
              <w:jc w:val="right"/>
              <w:rPr>
                <w:sz w:val="20"/>
              </w:rPr>
            </w:pPr>
            <w:r>
              <w:rPr>
                <w:w w:val="105"/>
                <w:sz w:val="20"/>
              </w:rPr>
              <w:t>2,714,937.47</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7"/>
              <w:jc w:val="right"/>
              <w:rPr>
                <w:sz w:val="20"/>
              </w:rPr>
            </w:pPr>
            <w:r>
              <w:rPr>
                <w:w w:val="105"/>
                <w:sz w:val="20"/>
              </w:rPr>
              <w:t>2,567,343.58</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7"/>
              <w:jc w:val="right"/>
              <w:rPr>
                <w:sz w:val="20"/>
              </w:rPr>
            </w:pPr>
            <w:r>
              <w:rPr>
                <w:w w:val="105"/>
                <w:sz w:val="20"/>
              </w:rPr>
              <w:t>4,276,029.21</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4"/>
              <w:jc w:val="right"/>
              <w:rPr>
                <w:sz w:val="20"/>
              </w:rPr>
            </w:pPr>
            <w:r>
              <w:rPr>
                <w:w w:val="105"/>
                <w:sz w:val="20"/>
              </w:rPr>
              <w:t>11,695,815.78</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4"/>
              <w:jc w:val="right"/>
              <w:rPr>
                <w:sz w:val="20"/>
              </w:rPr>
            </w:pPr>
            <w:r>
              <w:rPr>
                <w:w w:val="105"/>
                <w:sz w:val="20"/>
              </w:rPr>
              <w:t>15,561,542.09</w:t>
            </w:r>
          </w:p>
        </w:tc>
        <w:tc>
          <w:tcPr>
            <w:tcW w:w="1675" w:type="dxa"/>
            <w:tcBorders>
              <w:top w:val="single" w:sz="8" w:space="0" w:color="000000"/>
              <w:left w:val="single" w:sz="4" w:space="0" w:color="D9D9D9"/>
              <w:bottom w:val="single" w:sz="4" w:space="0" w:color="7E7E7E"/>
              <w:right w:val="single" w:sz="4" w:space="0" w:color="D9D9D9"/>
            </w:tcBorders>
          </w:tcPr>
          <w:p>
            <w:pPr>
              <w:pStyle w:val="TableParagraph"/>
              <w:spacing w:before="90"/>
              <w:ind w:right="74"/>
              <w:jc w:val="right"/>
              <w:rPr>
                <w:sz w:val="20"/>
              </w:rPr>
            </w:pPr>
            <w:r>
              <w:rPr>
                <w:w w:val="105"/>
                <w:sz w:val="20"/>
              </w:rPr>
              <w:t>15,392,089.92</w:t>
            </w:r>
          </w:p>
        </w:tc>
      </w:tr>
      <w:tr>
        <w:trPr>
          <w:trHeight w:val="411" w:hRule="atLeast"/>
        </w:trPr>
        <w:tc>
          <w:tcPr>
            <w:tcW w:w="12997" w:type="dxa"/>
            <w:gridSpan w:val="7"/>
            <w:tcBorders>
              <w:top w:val="single" w:sz="4" w:space="0" w:color="7E7E7E"/>
              <w:bottom w:val="single" w:sz="12" w:space="0" w:color="D9D9D9"/>
              <w:right w:val="nil"/>
            </w:tcBorders>
            <w:shd w:val="clear" w:color="auto" w:fill="014612"/>
          </w:tcPr>
          <w:p>
            <w:pPr>
              <w:pStyle w:val="TableParagraph"/>
              <w:spacing w:before="95"/>
              <w:ind w:left="94"/>
              <w:rPr>
                <w:sz w:val="20"/>
              </w:rPr>
            </w:pPr>
            <w:r>
              <w:rPr>
                <w:color w:val="FFFFFF"/>
                <w:w w:val="110"/>
                <w:sz w:val="20"/>
              </w:rPr>
              <w:t>Performance</w:t>
            </w:r>
          </w:p>
        </w:tc>
      </w:tr>
      <w:tr>
        <w:trPr>
          <w:trHeight w:val="401" w:hRule="atLeast"/>
        </w:trPr>
        <w:tc>
          <w:tcPr>
            <w:tcW w:w="2982" w:type="dxa"/>
            <w:tcBorders>
              <w:top w:val="single" w:sz="12" w:space="0" w:color="D9D9D9"/>
              <w:bottom w:val="single" w:sz="12" w:space="0" w:color="D9D9D9"/>
              <w:right w:val="single" w:sz="4" w:space="0" w:color="D9D9D9"/>
            </w:tcBorders>
          </w:tcPr>
          <w:p>
            <w:pPr>
              <w:pStyle w:val="TableParagraph"/>
              <w:spacing w:before="86"/>
              <w:ind w:left="94"/>
              <w:rPr>
                <w:sz w:val="20"/>
              </w:rPr>
            </w:pPr>
            <w:r>
              <w:rPr>
                <w:w w:val="105"/>
                <w:sz w:val="20"/>
              </w:rPr>
              <w:t>Portfolio Return</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7.09%</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6.66%</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11.44%</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11.27%</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9.12%</w:t>
            </w:r>
          </w:p>
        </w:tc>
        <w:tc>
          <w:tcPr>
            <w:tcW w:w="1675"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8"/>
              <w:jc w:val="right"/>
              <w:rPr>
                <w:sz w:val="20"/>
              </w:rPr>
            </w:pPr>
            <w:r>
              <w:rPr>
                <w:w w:val="110"/>
                <w:sz w:val="20"/>
              </w:rPr>
              <w:t>8.15%</w:t>
            </w:r>
          </w:p>
        </w:tc>
      </w:tr>
    </w:tbl>
    <w:p>
      <w:pPr>
        <w:spacing w:before="25"/>
        <w:ind w:left="776" w:right="0" w:firstLine="0"/>
        <w:jc w:val="left"/>
        <w:rPr>
          <w:rFonts w:ascii="Gill Sans MT"/>
          <w:sz w:val="14"/>
        </w:rPr>
      </w:pPr>
      <w:r>
        <w:rPr>
          <w:rFonts w:ascii="Gill Sans MT"/>
          <w:w w:val="110"/>
          <w:sz w:val="14"/>
        </w:rPr>
        <w:t>Inception Date: 1/1/2020</w:t>
      </w:r>
    </w:p>
    <w:p>
      <w:pPr>
        <w:spacing w:before="80"/>
        <w:ind w:left="776" w:right="0" w:firstLine="0"/>
        <w:jc w:val="left"/>
        <w:rPr>
          <w:rFonts w:ascii="Gill Sans MT"/>
          <w:sz w:val="14"/>
        </w:rPr>
      </w:pPr>
      <w:r>
        <w:rPr>
          <w:rFonts w:ascii="Gill Sans MT"/>
          <w:w w:val="110"/>
          <w:sz w:val="14"/>
        </w:rPr>
        <w:t>Portfolio Return is net of fees. Periods greater than 12 months are annualized.</w:t>
      </w:r>
    </w:p>
    <w:p>
      <w:pPr>
        <w:spacing w:after="0"/>
        <w:jc w:val="left"/>
        <w:rPr>
          <w:rFonts w:ascii="Gill Sans MT"/>
          <w:sz w:val="14"/>
        </w:rPr>
        <w:sectPr>
          <w:headerReference w:type="default" r:id="rId44"/>
          <w:footerReference w:type="default" r:id="rId45"/>
          <w:pgSz w:w="14400" w:h="10800" w:orient="landscape"/>
          <w:pgMar w:header="601" w:footer="1259" w:top="800" w:bottom="1440" w:left="20" w:right="40"/>
          <w:pgNumType w:start="13"/>
        </w:sectPr>
      </w:pPr>
    </w:p>
    <w:tbl>
      <w:tblPr>
        <w:tblW w:w="0" w:type="auto"/>
        <w:jc w:val="left"/>
        <w:tblInd w:w="8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6"/>
      </w:tblGrid>
      <w:tr>
        <w:trPr>
          <w:trHeight w:val="389" w:hRule="atLeast"/>
        </w:trPr>
        <w:tc>
          <w:tcPr>
            <w:tcW w:w="4486" w:type="dxa"/>
          </w:tcPr>
          <w:p>
            <w:pPr>
              <w:pStyle w:val="TableParagraph"/>
              <w:ind w:right="198"/>
              <w:jc w:val="right"/>
              <w:rPr>
                <w:sz w:val="28"/>
              </w:rPr>
            </w:pPr>
            <w:bookmarkStart w:name="Slide 14: Performance" w:id="20"/>
            <w:bookmarkEnd w:id="20"/>
            <w:r>
              <w:rPr/>
            </w:r>
            <w:r>
              <w:rPr>
                <w:w w:val="110"/>
                <w:sz w:val="28"/>
              </w:rPr>
              <w:t>CNY</w:t>
            </w:r>
            <w:r>
              <w:rPr>
                <w:spacing w:val="-60"/>
                <w:w w:val="110"/>
                <w:sz w:val="28"/>
              </w:rPr>
              <w:t> </w:t>
            </w:r>
            <w:r>
              <w:rPr>
                <w:w w:val="110"/>
                <w:sz w:val="28"/>
              </w:rPr>
              <w:t>Centro,</w:t>
            </w:r>
            <w:r>
              <w:rPr>
                <w:spacing w:val="-57"/>
                <w:w w:val="110"/>
                <w:sz w:val="28"/>
              </w:rPr>
              <w:t> </w:t>
            </w:r>
            <w:r>
              <w:rPr>
                <w:w w:val="110"/>
                <w:sz w:val="28"/>
              </w:rPr>
              <w:t>Inc.</w:t>
            </w:r>
            <w:r>
              <w:rPr>
                <w:spacing w:val="-58"/>
                <w:w w:val="110"/>
                <w:sz w:val="28"/>
              </w:rPr>
              <w:t> </w:t>
            </w:r>
            <w:r>
              <w:rPr>
                <w:w w:val="110"/>
                <w:sz w:val="28"/>
              </w:rPr>
              <w:t>Salaried</w:t>
            </w:r>
            <w:r>
              <w:rPr>
                <w:spacing w:val="-59"/>
                <w:w w:val="110"/>
                <w:sz w:val="28"/>
              </w:rPr>
              <w:t> </w:t>
            </w:r>
            <w:r>
              <w:rPr>
                <w:w w:val="110"/>
                <w:sz w:val="28"/>
              </w:rPr>
              <w:t>DB</w:t>
            </w:r>
            <w:r>
              <w:rPr>
                <w:spacing w:val="-57"/>
                <w:w w:val="110"/>
                <w:sz w:val="28"/>
              </w:rPr>
              <w:t> </w:t>
            </w:r>
            <w:r>
              <w:rPr>
                <w:w w:val="110"/>
                <w:sz w:val="28"/>
              </w:rPr>
              <w:t>Plan</w:t>
            </w:r>
          </w:p>
        </w:tc>
      </w:tr>
      <w:tr>
        <w:trPr>
          <w:trHeight w:val="363" w:hRule="atLeast"/>
        </w:trPr>
        <w:tc>
          <w:tcPr>
            <w:tcW w:w="4486"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spacing w:before="3" w:after="1"/>
        <w:rPr>
          <w:rFonts w:ascii="Gill Sans MT"/>
          <w:sz w:val="29"/>
        </w:rPr>
      </w:pPr>
    </w:p>
    <w:tbl>
      <w:tblPr>
        <w:tblW w:w="0" w:type="auto"/>
        <w:jc w:val="left"/>
        <w:tblInd w:w="99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709"/>
        <w:gridCol w:w="1613"/>
        <w:gridCol w:w="1613"/>
        <w:gridCol w:w="1613"/>
        <w:gridCol w:w="1613"/>
        <w:gridCol w:w="1613"/>
        <w:gridCol w:w="1613"/>
      </w:tblGrid>
      <w:tr>
        <w:trPr>
          <w:trHeight w:val="239" w:hRule="atLeast"/>
        </w:trPr>
        <w:tc>
          <w:tcPr>
            <w:tcW w:w="12387" w:type="dxa"/>
            <w:gridSpan w:val="7"/>
            <w:tcBorders>
              <w:bottom w:val="single" w:sz="12" w:space="0" w:color="FFFFFF"/>
              <w:right w:val="nil"/>
            </w:tcBorders>
          </w:tcPr>
          <w:p>
            <w:pPr>
              <w:pStyle w:val="TableParagraph"/>
              <w:rPr>
                <w:rFonts w:ascii="Times New Roman"/>
                <w:sz w:val="16"/>
              </w:rPr>
            </w:pPr>
          </w:p>
        </w:tc>
      </w:tr>
      <w:tr>
        <w:trPr>
          <w:trHeight w:val="546" w:hRule="atLeast"/>
        </w:trPr>
        <w:tc>
          <w:tcPr>
            <w:tcW w:w="2709" w:type="dxa"/>
            <w:tcBorders>
              <w:top w:val="single" w:sz="12" w:space="0" w:color="FFFFFF"/>
              <w:bottom w:val="single" w:sz="12" w:space="0" w:color="E6E6E6"/>
              <w:right w:val="single" w:sz="4" w:space="0" w:color="D9D9D9"/>
            </w:tcBorders>
            <w:shd w:val="clear" w:color="auto" w:fill="014612"/>
          </w:tcPr>
          <w:p>
            <w:pPr>
              <w:pStyle w:val="TableParagraph"/>
              <w:rPr>
                <w:rFonts w:ascii="Times New Roman"/>
                <w:sz w:val="20"/>
              </w:rPr>
            </w:pP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before="157"/>
              <w:ind w:left="573" w:right="554"/>
              <w:jc w:val="center"/>
              <w:rPr>
                <w:sz w:val="20"/>
              </w:rPr>
            </w:pPr>
            <w:r>
              <w:rPr>
                <w:color w:val="FFFFFF"/>
                <w:sz w:val="20"/>
              </w:rPr>
              <w:t>QTD</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before="157"/>
              <w:ind w:left="573" w:right="552"/>
              <w:jc w:val="center"/>
              <w:rPr>
                <w:sz w:val="20"/>
              </w:rPr>
            </w:pPr>
            <w:r>
              <w:rPr>
                <w:color w:val="FFFFFF"/>
                <w:sz w:val="20"/>
              </w:rPr>
              <w:t>YTD</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before="157"/>
              <w:ind w:left="530"/>
              <w:rPr>
                <w:sz w:val="20"/>
              </w:rPr>
            </w:pPr>
            <w:r>
              <w:rPr>
                <w:color w:val="FFFFFF"/>
                <w:w w:val="105"/>
                <w:sz w:val="20"/>
              </w:rPr>
              <w:t>1 Year</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line="247" w:lineRule="auto" w:before="37"/>
              <w:ind w:left="324" w:right="282" w:firstLine="206"/>
              <w:rPr>
                <w:sz w:val="20"/>
              </w:rPr>
            </w:pPr>
            <w:r>
              <w:rPr>
                <w:color w:val="FFFFFF"/>
                <w:w w:val="110"/>
                <w:sz w:val="20"/>
              </w:rPr>
              <w:t>3 Year Annualized</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line="247" w:lineRule="auto" w:before="37"/>
              <w:ind w:left="324" w:firstLine="206"/>
              <w:rPr>
                <w:sz w:val="20"/>
              </w:rPr>
            </w:pPr>
            <w:r>
              <w:rPr>
                <w:color w:val="FFFFFF"/>
                <w:w w:val="110"/>
                <w:sz w:val="20"/>
              </w:rPr>
              <w:t>5 Year Annualized</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line="247" w:lineRule="auto" w:before="37"/>
              <w:ind w:left="323" w:hanging="185"/>
              <w:rPr>
                <w:sz w:val="20"/>
              </w:rPr>
            </w:pPr>
            <w:r>
              <w:rPr>
                <w:color w:val="FFFFFF"/>
                <w:w w:val="110"/>
                <w:sz w:val="20"/>
              </w:rPr>
              <w:t>Since Inception Annualized</w:t>
            </w:r>
          </w:p>
        </w:tc>
      </w:tr>
      <w:tr>
        <w:trPr>
          <w:trHeight w:val="335" w:hRule="atLeast"/>
        </w:trPr>
        <w:tc>
          <w:tcPr>
            <w:tcW w:w="2709" w:type="dxa"/>
            <w:tcBorders>
              <w:top w:val="single" w:sz="12" w:space="0" w:color="E6E6E6"/>
              <w:right w:val="single" w:sz="4" w:space="0" w:color="D9D9D9"/>
            </w:tcBorders>
            <w:shd w:val="clear" w:color="auto" w:fill="BEBEBE"/>
          </w:tcPr>
          <w:p>
            <w:pPr>
              <w:pStyle w:val="TableParagraph"/>
              <w:spacing w:before="49"/>
              <w:ind w:left="91"/>
              <w:rPr>
                <w:sz w:val="20"/>
              </w:rPr>
            </w:pPr>
            <w:r>
              <w:rPr>
                <w:w w:val="110"/>
                <w:sz w:val="20"/>
              </w:rPr>
              <w:t>Equities</w:t>
            </w:r>
          </w:p>
        </w:tc>
        <w:tc>
          <w:tcPr>
            <w:tcW w:w="1613" w:type="dxa"/>
            <w:tcBorders>
              <w:left w:val="single" w:sz="4" w:space="0" w:color="D9D9D9"/>
              <w:right w:val="single" w:sz="4" w:space="0" w:color="D9D9D9"/>
            </w:tcBorders>
            <w:shd w:val="clear" w:color="auto" w:fill="BEBEBE"/>
          </w:tcPr>
          <w:p>
            <w:pPr>
              <w:pStyle w:val="TableParagraph"/>
              <w:spacing w:before="49"/>
              <w:ind w:right="77"/>
              <w:jc w:val="right"/>
              <w:rPr>
                <w:sz w:val="20"/>
              </w:rPr>
            </w:pPr>
            <w:r>
              <w:rPr>
                <w:w w:val="110"/>
                <w:sz w:val="20"/>
              </w:rPr>
              <w:t>10.15%</w:t>
            </w:r>
          </w:p>
        </w:tc>
        <w:tc>
          <w:tcPr>
            <w:tcW w:w="1613" w:type="dxa"/>
            <w:tcBorders>
              <w:left w:val="single" w:sz="4" w:space="0" w:color="D9D9D9"/>
              <w:right w:val="single" w:sz="4" w:space="0" w:color="D9D9D9"/>
            </w:tcBorders>
            <w:shd w:val="clear" w:color="auto" w:fill="BEBEBE"/>
          </w:tcPr>
          <w:p>
            <w:pPr>
              <w:pStyle w:val="TableParagraph"/>
              <w:spacing w:before="49"/>
              <w:ind w:right="77"/>
              <w:jc w:val="right"/>
              <w:rPr>
                <w:sz w:val="20"/>
              </w:rPr>
            </w:pPr>
            <w:r>
              <w:rPr>
                <w:w w:val="110"/>
                <w:sz w:val="20"/>
              </w:rPr>
              <w:t>8.12%</w:t>
            </w:r>
          </w:p>
        </w:tc>
        <w:tc>
          <w:tcPr>
            <w:tcW w:w="1613" w:type="dxa"/>
            <w:tcBorders>
              <w:left w:val="single" w:sz="4" w:space="0" w:color="D9D9D9"/>
              <w:right w:val="single" w:sz="4" w:space="0" w:color="D9D9D9"/>
            </w:tcBorders>
            <w:shd w:val="clear" w:color="auto" w:fill="BEBEBE"/>
          </w:tcPr>
          <w:p>
            <w:pPr>
              <w:pStyle w:val="TableParagraph"/>
              <w:spacing w:before="49"/>
              <w:ind w:right="77"/>
              <w:jc w:val="right"/>
              <w:rPr>
                <w:sz w:val="20"/>
              </w:rPr>
            </w:pPr>
            <w:r>
              <w:rPr>
                <w:w w:val="110"/>
                <w:sz w:val="20"/>
              </w:rPr>
              <w:t>14.50%</w:t>
            </w:r>
          </w:p>
        </w:tc>
        <w:tc>
          <w:tcPr>
            <w:tcW w:w="1613" w:type="dxa"/>
            <w:tcBorders>
              <w:left w:val="single" w:sz="4" w:space="0" w:color="D9D9D9"/>
              <w:right w:val="single" w:sz="4" w:space="0" w:color="D9D9D9"/>
            </w:tcBorders>
            <w:shd w:val="clear" w:color="auto" w:fill="BEBEBE"/>
          </w:tcPr>
          <w:p>
            <w:pPr>
              <w:pStyle w:val="TableParagraph"/>
              <w:spacing w:before="49"/>
              <w:ind w:right="77"/>
              <w:jc w:val="right"/>
              <w:rPr>
                <w:sz w:val="20"/>
              </w:rPr>
            </w:pPr>
            <w:r>
              <w:rPr>
                <w:w w:val="110"/>
                <w:sz w:val="20"/>
              </w:rPr>
              <w:t>16.18%</w:t>
            </w:r>
          </w:p>
        </w:tc>
        <w:tc>
          <w:tcPr>
            <w:tcW w:w="1613" w:type="dxa"/>
            <w:tcBorders>
              <w:left w:val="single" w:sz="4" w:space="0" w:color="D9D9D9"/>
              <w:right w:val="single" w:sz="4" w:space="0" w:color="D9D9D9"/>
            </w:tcBorders>
            <w:shd w:val="clear" w:color="auto" w:fill="BEBEBE"/>
          </w:tcPr>
          <w:p>
            <w:pPr>
              <w:pStyle w:val="TableParagraph"/>
              <w:spacing w:before="49"/>
              <w:ind w:right="78"/>
              <w:jc w:val="right"/>
              <w:rPr>
                <w:sz w:val="20"/>
              </w:rPr>
            </w:pPr>
            <w:r>
              <w:rPr>
                <w:w w:val="110"/>
                <w:sz w:val="20"/>
              </w:rPr>
              <w:t>14.23%</w:t>
            </w:r>
          </w:p>
        </w:tc>
        <w:tc>
          <w:tcPr>
            <w:tcW w:w="1613" w:type="dxa"/>
            <w:tcBorders>
              <w:left w:val="single" w:sz="4" w:space="0" w:color="D9D9D9"/>
              <w:right w:val="single" w:sz="4" w:space="0" w:color="D9D9D9"/>
            </w:tcBorders>
            <w:shd w:val="clear" w:color="auto" w:fill="BEBEBE"/>
          </w:tcPr>
          <w:p>
            <w:pPr>
              <w:pStyle w:val="TableParagraph"/>
              <w:spacing w:before="49"/>
              <w:ind w:right="78"/>
              <w:jc w:val="right"/>
              <w:rPr>
                <w:sz w:val="20"/>
              </w:rPr>
            </w:pPr>
            <w:r>
              <w:rPr>
                <w:w w:val="110"/>
                <w:sz w:val="20"/>
              </w:rPr>
              <w:t>10.95%</w:t>
            </w:r>
          </w:p>
        </w:tc>
      </w:tr>
      <w:tr>
        <w:trPr>
          <w:trHeight w:val="340" w:hRule="atLeast"/>
        </w:trPr>
        <w:tc>
          <w:tcPr>
            <w:tcW w:w="2709" w:type="dxa"/>
            <w:tcBorders>
              <w:right w:val="single" w:sz="4" w:space="0" w:color="D9D9D9"/>
            </w:tcBorders>
          </w:tcPr>
          <w:p>
            <w:pPr>
              <w:pStyle w:val="TableParagraph"/>
              <w:spacing w:before="54"/>
              <w:ind w:left="91"/>
              <w:rPr>
                <w:sz w:val="20"/>
              </w:rPr>
            </w:pPr>
            <w:r>
              <w:rPr>
                <w:w w:val="110"/>
                <w:sz w:val="20"/>
              </w:rPr>
              <w:t>S&amp;P 500 Large Cap</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10.94%</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6.20%</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15.16%</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19.70%</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16.64%</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14.37%</w:t>
            </w:r>
          </w:p>
        </w:tc>
      </w:tr>
      <w:tr>
        <w:trPr>
          <w:trHeight w:val="340" w:hRule="atLeast"/>
        </w:trPr>
        <w:tc>
          <w:tcPr>
            <w:tcW w:w="2709" w:type="dxa"/>
            <w:tcBorders>
              <w:right w:val="single" w:sz="4" w:space="0" w:color="D9D9D9"/>
            </w:tcBorders>
          </w:tcPr>
          <w:p>
            <w:pPr>
              <w:pStyle w:val="TableParagraph"/>
              <w:spacing w:before="54"/>
              <w:ind w:left="91"/>
              <w:rPr>
                <w:sz w:val="20"/>
              </w:rPr>
            </w:pPr>
            <w:r>
              <w:rPr>
                <w:w w:val="115"/>
                <w:sz w:val="20"/>
              </w:rPr>
              <w:t>S&amp;P 500 Value</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3.00%</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3.28%</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9.63%</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14.89%</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15.02%</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10.14%</w:t>
            </w:r>
          </w:p>
        </w:tc>
      </w:tr>
      <w:tr>
        <w:trPr>
          <w:trHeight w:val="340" w:hRule="atLeast"/>
        </w:trPr>
        <w:tc>
          <w:tcPr>
            <w:tcW w:w="2709" w:type="dxa"/>
            <w:tcBorders>
              <w:right w:val="single" w:sz="4" w:space="0" w:color="D9D9D9"/>
            </w:tcBorders>
          </w:tcPr>
          <w:p>
            <w:pPr>
              <w:pStyle w:val="TableParagraph"/>
              <w:spacing w:before="54"/>
              <w:ind w:left="91"/>
              <w:rPr>
                <w:sz w:val="20"/>
              </w:rPr>
            </w:pPr>
            <w:r>
              <w:rPr>
                <w:w w:val="110"/>
                <w:sz w:val="20"/>
              </w:rPr>
              <w:t>S&amp;P 400 Mid Cap</w:t>
            </w:r>
          </w:p>
        </w:tc>
        <w:tc>
          <w:tcPr>
            <w:tcW w:w="1613" w:type="dxa"/>
            <w:tcBorders>
              <w:left w:val="single" w:sz="4" w:space="0" w:color="D9D9D9"/>
              <w:right w:val="single" w:sz="4" w:space="0" w:color="D9D9D9"/>
            </w:tcBorders>
          </w:tcPr>
          <w:p>
            <w:pPr>
              <w:pStyle w:val="TableParagraph"/>
              <w:spacing w:before="54"/>
              <w:ind w:right="76"/>
              <w:jc w:val="right"/>
              <w:rPr>
                <w:sz w:val="20"/>
              </w:rPr>
            </w:pPr>
            <w:r>
              <w:rPr>
                <w:w w:val="110"/>
                <w:sz w:val="20"/>
              </w:rPr>
              <w:t>6.71%</w:t>
            </w:r>
          </w:p>
        </w:tc>
        <w:tc>
          <w:tcPr>
            <w:tcW w:w="1613" w:type="dxa"/>
            <w:tcBorders>
              <w:left w:val="single" w:sz="4" w:space="0" w:color="D9D9D9"/>
              <w:right w:val="single" w:sz="4" w:space="0" w:color="D9D9D9"/>
            </w:tcBorders>
          </w:tcPr>
          <w:p>
            <w:pPr>
              <w:pStyle w:val="TableParagraph"/>
              <w:spacing w:before="54"/>
              <w:ind w:right="76"/>
              <w:jc w:val="right"/>
              <w:rPr>
                <w:sz w:val="20"/>
              </w:rPr>
            </w:pPr>
            <w:r>
              <w:rPr>
                <w:w w:val="110"/>
                <w:sz w:val="20"/>
              </w:rPr>
              <w:t>0.20%</w:t>
            </w:r>
          </w:p>
        </w:tc>
        <w:tc>
          <w:tcPr>
            <w:tcW w:w="1613" w:type="dxa"/>
            <w:tcBorders>
              <w:left w:val="single" w:sz="4" w:space="0" w:color="D9D9D9"/>
              <w:right w:val="single" w:sz="4" w:space="0" w:color="D9D9D9"/>
            </w:tcBorders>
          </w:tcPr>
          <w:p>
            <w:pPr>
              <w:pStyle w:val="TableParagraph"/>
              <w:spacing w:before="54"/>
              <w:ind w:right="76"/>
              <w:jc w:val="right"/>
              <w:rPr>
                <w:sz w:val="20"/>
              </w:rPr>
            </w:pPr>
            <w:r>
              <w:rPr>
                <w:w w:val="110"/>
                <w:sz w:val="20"/>
              </w:rPr>
              <w:t>7.53%</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12.82%</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13.44%</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9.40%</w:t>
            </w:r>
          </w:p>
        </w:tc>
      </w:tr>
      <w:tr>
        <w:trPr>
          <w:trHeight w:val="340" w:hRule="atLeast"/>
        </w:trPr>
        <w:tc>
          <w:tcPr>
            <w:tcW w:w="2709" w:type="dxa"/>
            <w:tcBorders>
              <w:right w:val="single" w:sz="4" w:space="0" w:color="D9D9D9"/>
            </w:tcBorders>
          </w:tcPr>
          <w:p>
            <w:pPr>
              <w:pStyle w:val="TableParagraph"/>
              <w:spacing w:before="55"/>
              <w:ind w:left="91"/>
              <w:rPr>
                <w:sz w:val="20"/>
              </w:rPr>
            </w:pPr>
            <w:r>
              <w:rPr>
                <w:w w:val="115"/>
                <w:sz w:val="20"/>
              </w:rPr>
              <w:t>S&amp;P 600 Small Cap</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4.90%</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05"/>
                <w:sz w:val="20"/>
              </w:rPr>
              <w:t>-4.46%</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4.60%</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7.65%</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11.68%</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6.68%</w:t>
            </w:r>
          </w:p>
        </w:tc>
      </w:tr>
      <w:tr>
        <w:trPr>
          <w:trHeight w:val="340" w:hRule="atLeast"/>
        </w:trPr>
        <w:tc>
          <w:tcPr>
            <w:tcW w:w="2709" w:type="dxa"/>
            <w:tcBorders>
              <w:right w:val="single" w:sz="4" w:space="0" w:color="D9D9D9"/>
            </w:tcBorders>
          </w:tcPr>
          <w:p>
            <w:pPr>
              <w:pStyle w:val="TableParagraph"/>
              <w:spacing w:before="55"/>
              <w:ind w:left="91"/>
              <w:rPr>
                <w:sz w:val="20"/>
              </w:rPr>
            </w:pPr>
            <w:r>
              <w:rPr>
                <w:w w:val="110"/>
                <w:sz w:val="20"/>
              </w:rPr>
              <w:t>MSCI EAFE</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11.78%</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19.45%</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17.73%</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15.96%</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11.16%</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7.72%</w:t>
            </w:r>
          </w:p>
        </w:tc>
      </w:tr>
      <w:tr>
        <w:trPr>
          <w:trHeight w:val="340" w:hRule="atLeast"/>
        </w:trPr>
        <w:tc>
          <w:tcPr>
            <w:tcW w:w="2709" w:type="dxa"/>
            <w:tcBorders>
              <w:right w:val="single" w:sz="4" w:space="0" w:color="D9D9D9"/>
            </w:tcBorders>
          </w:tcPr>
          <w:p>
            <w:pPr>
              <w:pStyle w:val="TableParagraph"/>
              <w:spacing w:before="55"/>
              <w:ind w:left="91"/>
              <w:rPr>
                <w:sz w:val="20"/>
              </w:rPr>
            </w:pPr>
            <w:r>
              <w:rPr>
                <w:w w:val="110"/>
                <w:sz w:val="20"/>
              </w:rPr>
              <w:t>MSCI Emerging Markets</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11.99%</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15.27%</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15.29%</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9.70%</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6.81%</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4.20%</w:t>
            </w:r>
          </w:p>
        </w:tc>
      </w:tr>
      <w:tr>
        <w:trPr>
          <w:trHeight w:val="340" w:hRule="atLeast"/>
        </w:trPr>
        <w:tc>
          <w:tcPr>
            <w:tcW w:w="2709" w:type="dxa"/>
            <w:tcBorders>
              <w:right w:val="single" w:sz="4" w:space="0" w:color="D9D9D9"/>
            </w:tcBorders>
            <w:shd w:val="clear" w:color="auto" w:fill="BEBEBE"/>
          </w:tcPr>
          <w:p>
            <w:pPr>
              <w:pStyle w:val="TableParagraph"/>
              <w:spacing w:before="55"/>
              <w:ind w:left="91"/>
              <w:rPr>
                <w:sz w:val="20"/>
              </w:rPr>
            </w:pPr>
            <w:r>
              <w:rPr>
                <w:w w:val="110"/>
                <w:sz w:val="20"/>
              </w:rPr>
              <w:t>Fixed Income</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1.24%</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3.81%</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5.90%</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2.63%</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05"/>
                <w:sz w:val="20"/>
              </w:rPr>
              <w:t>-0.43%</w:t>
            </w:r>
          </w:p>
        </w:tc>
        <w:tc>
          <w:tcPr>
            <w:tcW w:w="1613" w:type="dxa"/>
            <w:tcBorders>
              <w:left w:val="single" w:sz="4" w:space="0" w:color="D9D9D9"/>
              <w:right w:val="single" w:sz="4" w:space="0" w:color="D9D9D9"/>
            </w:tcBorders>
            <w:shd w:val="clear" w:color="auto" w:fill="BEBEBE"/>
          </w:tcPr>
          <w:p>
            <w:pPr>
              <w:pStyle w:val="TableParagraph"/>
              <w:spacing w:before="55"/>
              <w:ind w:right="78"/>
              <w:jc w:val="right"/>
              <w:rPr>
                <w:sz w:val="20"/>
              </w:rPr>
            </w:pPr>
            <w:r>
              <w:rPr>
                <w:w w:val="110"/>
                <w:sz w:val="20"/>
              </w:rPr>
              <w:t>0.53%</w:t>
            </w:r>
          </w:p>
        </w:tc>
      </w:tr>
      <w:tr>
        <w:trPr>
          <w:trHeight w:val="340" w:hRule="atLeast"/>
        </w:trPr>
        <w:tc>
          <w:tcPr>
            <w:tcW w:w="2709" w:type="dxa"/>
            <w:tcBorders>
              <w:right w:val="single" w:sz="4" w:space="0" w:color="D9D9D9"/>
            </w:tcBorders>
          </w:tcPr>
          <w:p>
            <w:pPr>
              <w:pStyle w:val="TableParagraph"/>
              <w:spacing w:before="55"/>
              <w:ind w:left="91"/>
              <w:rPr>
                <w:sz w:val="20"/>
              </w:rPr>
            </w:pPr>
            <w:r>
              <w:rPr>
                <w:w w:val="110"/>
                <w:sz w:val="20"/>
              </w:rPr>
              <w:t>Bloomberg US Agg Bond</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1.21%</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4.02%</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6.08%</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2.55%</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05"/>
                <w:sz w:val="20"/>
              </w:rPr>
              <w:t>-0.73%</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0.42%</w:t>
            </w:r>
          </w:p>
        </w:tc>
      </w:tr>
      <w:tr>
        <w:trPr>
          <w:trHeight w:val="340" w:hRule="atLeast"/>
        </w:trPr>
        <w:tc>
          <w:tcPr>
            <w:tcW w:w="2709" w:type="dxa"/>
            <w:tcBorders>
              <w:right w:val="single" w:sz="4" w:space="0" w:color="D9D9D9"/>
            </w:tcBorders>
            <w:shd w:val="clear" w:color="auto" w:fill="BEBEBE"/>
          </w:tcPr>
          <w:p>
            <w:pPr>
              <w:pStyle w:val="TableParagraph"/>
              <w:spacing w:before="55"/>
              <w:ind w:left="91"/>
              <w:rPr>
                <w:sz w:val="20"/>
              </w:rPr>
            </w:pPr>
            <w:r>
              <w:rPr>
                <w:w w:val="110"/>
                <w:sz w:val="20"/>
              </w:rPr>
              <w:t>Real Return Assets</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0.66%</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4.45%</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6.13%</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2.88%</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2.32%</w:t>
            </w:r>
          </w:p>
        </w:tc>
        <w:tc>
          <w:tcPr>
            <w:tcW w:w="1613" w:type="dxa"/>
            <w:tcBorders>
              <w:left w:val="single" w:sz="4" w:space="0" w:color="D9D9D9"/>
              <w:right w:val="single" w:sz="4" w:space="0" w:color="D9D9D9"/>
            </w:tcBorders>
            <w:shd w:val="clear" w:color="auto" w:fill="BEBEBE"/>
          </w:tcPr>
          <w:p>
            <w:pPr>
              <w:pStyle w:val="TableParagraph"/>
              <w:spacing w:before="55"/>
              <w:ind w:right="78"/>
              <w:jc w:val="right"/>
              <w:rPr>
                <w:sz w:val="20"/>
              </w:rPr>
            </w:pPr>
            <w:r>
              <w:rPr>
                <w:w w:val="110"/>
                <w:sz w:val="20"/>
              </w:rPr>
              <w:t>3.73%</w:t>
            </w:r>
          </w:p>
        </w:tc>
      </w:tr>
      <w:tr>
        <w:trPr>
          <w:trHeight w:val="340" w:hRule="atLeast"/>
        </w:trPr>
        <w:tc>
          <w:tcPr>
            <w:tcW w:w="2709" w:type="dxa"/>
            <w:tcBorders>
              <w:right w:val="single" w:sz="4" w:space="0" w:color="D9D9D9"/>
            </w:tcBorders>
          </w:tcPr>
          <w:p>
            <w:pPr>
              <w:pStyle w:val="TableParagraph"/>
              <w:spacing w:before="55"/>
              <w:ind w:left="91"/>
              <w:rPr>
                <w:sz w:val="20"/>
              </w:rPr>
            </w:pPr>
            <w:r>
              <w:rPr>
                <w:w w:val="110"/>
                <w:sz w:val="20"/>
              </w:rPr>
              <w:t>Bloomberg</w:t>
            </w:r>
            <w:r>
              <w:rPr>
                <w:spacing w:val="-15"/>
                <w:w w:val="110"/>
                <w:sz w:val="20"/>
              </w:rPr>
              <w:t> </w:t>
            </w:r>
            <w:r>
              <w:rPr>
                <w:w w:val="110"/>
                <w:sz w:val="20"/>
              </w:rPr>
              <w:t>US</w:t>
            </w:r>
            <w:r>
              <w:rPr>
                <w:spacing w:val="-19"/>
                <w:w w:val="110"/>
                <w:sz w:val="20"/>
              </w:rPr>
              <w:t> </w:t>
            </w:r>
            <w:r>
              <w:rPr>
                <w:w w:val="110"/>
                <w:sz w:val="20"/>
              </w:rPr>
              <w:t>Treasury</w:t>
            </w:r>
            <w:r>
              <w:rPr>
                <w:spacing w:val="-17"/>
                <w:w w:val="110"/>
                <w:sz w:val="20"/>
              </w:rPr>
              <w:t> </w:t>
            </w:r>
            <w:r>
              <w:rPr>
                <w:w w:val="110"/>
                <w:sz w:val="20"/>
              </w:rPr>
              <w:t>TIPS</w:t>
            </w:r>
          </w:p>
        </w:tc>
        <w:tc>
          <w:tcPr>
            <w:tcW w:w="1613" w:type="dxa"/>
            <w:tcBorders>
              <w:left w:val="single" w:sz="4" w:space="0" w:color="D9D9D9"/>
              <w:right w:val="single" w:sz="4" w:space="0" w:color="D9D9D9"/>
            </w:tcBorders>
          </w:tcPr>
          <w:p>
            <w:pPr>
              <w:pStyle w:val="TableParagraph"/>
              <w:spacing w:before="55"/>
              <w:ind w:right="76"/>
              <w:jc w:val="right"/>
              <w:rPr>
                <w:sz w:val="20"/>
              </w:rPr>
            </w:pPr>
            <w:r>
              <w:rPr>
                <w:w w:val="110"/>
                <w:sz w:val="20"/>
              </w:rPr>
              <w:t>0.48%</w:t>
            </w:r>
          </w:p>
        </w:tc>
        <w:tc>
          <w:tcPr>
            <w:tcW w:w="1613" w:type="dxa"/>
            <w:tcBorders>
              <w:left w:val="single" w:sz="4" w:space="0" w:color="D9D9D9"/>
              <w:right w:val="single" w:sz="4" w:space="0" w:color="D9D9D9"/>
            </w:tcBorders>
          </w:tcPr>
          <w:p>
            <w:pPr>
              <w:pStyle w:val="TableParagraph"/>
              <w:spacing w:before="55"/>
              <w:ind w:right="76"/>
              <w:jc w:val="right"/>
              <w:rPr>
                <w:sz w:val="20"/>
              </w:rPr>
            </w:pPr>
            <w:r>
              <w:rPr>
                <w:w w:val="110"/>
                <w:sz w:val="20"/>
              </w:rPr>
              <w:t>4.67%</w:t>
            </w:r>
          </w:p>
        </w:tc>
        <w:tc>
          <w:tcPr>
            <w:tcW w:w="1613" w:type="dxa"/>
            <w:tcBorders>
              <w:left w:val="single" w:sz="4" w:space="0" w:color="D9D9D9"/>
              <w:right w:val="single" w:sz="4" w:space="0" w:color="D9D9D9"/>
            </w:tcBorders>
          </w:tcPr>
          <w:p>
            <w:pPr>
              <w:pStyle w:val="TableParagraph"/>
              <w:spacing w:before="55"/>
              <w:ind w:right="76"/>
              <w:jc w:val="right"/>
              <w:rPr>
                <w:sz w:val="20"/>
              </w:rPr>
            </w:pPr>
            <w:r>
              <w:rPr>
                <w:w w:val="110"/>
                <w:sz w:val="20"/>
              </w:rPr>
              <w:t>5.84%</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2.34%</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1.61%</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2.54%</w:t>
            </w:r>
          </w:p>
        </w:tc>
      </w:tr>
      <w:tr>
        <w:trPr>
          <w:trHeight w:val="340" w:hRule="atLeast"/>
        </w:trPr>
        <w:tc>
          <w:tcPr>
            <w:tcW w:w="2709" w:type="dxa"/>
            <w:tcBorders>
              <w:right w:val="single" w:sz="4" w:space="0" w:color="D9D9D9"/>
            </w:tcBorders>
          </w:tcPr>
          <w:p>
            <w:pPr>
              <w:pStyle w:val="TableParagraph"/>
              <w:spacing w:before="55"/>
              <w:ind w:left="91"/>
              <w:rPr>
                <w:sz w:val="20"/>
              </w:rPr>
            </w:pPr>
            <w:r>
              <w:rPr>
                <w:w w:val="105"/>
                <w:sz w:val="20"/>
              </w:rPr>
              <w:t>CPI</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0.30%</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0.94%</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2.38%</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2.80%</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4.52%</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3.98%</w:t>
            </w:r>
          </w:p>
        </w:tc>
      </w:tr>
      <w:tr>
        <w:trPr>
          <w:trHeight w:val="350" w:hRule="atLeast"/>
        </w:trPr>
        <w:tc>
          <w:tcPr>
            <w:tcW w:w="2709" w:type="dxa"/>
            <w:tcBorders>
              <w:bottom w:val="nil"/>
              <w:right w:val="single" w:sz="4" w:space="0" w:color="D9D9D9"/>
            </w:tcBorders>
            <w:shd w:val="clear" w:color="auto" w:fill="BEBEBE"/>
          </w:tcPr>
          <w:p>
            <w:pPr>
              <w:pStyle w:val="TableParagraph"/>
              <w:spacing w:before="55"/>
              <w:ind w:left="91"/>
              <w:rPr>
                <w:sz w:val="20"/>
              </w:rPr>
            </w:pPr>
            <w:r>
              <w:rPr>
                <w:w w:val="110"/>
                <w:sz w:val="20"/>
              </w:rPr>
              <w:t>Total Portfolio</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7.09%</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6.66%</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11.44%</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11.27%</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9.12%</w:t>
            </w:r>
          </w:p>
        </w:tc>
        <w:tc>
          <w:tcPr>
            <w:tcW w:w="1613" w:type="dxa"/>
            <w:tcBorders>
              <w:left w:val="single" w:sz="4" w:space="0" w:color="D9D9D9"/>
              <w:bottom w:val="nil"/>
              <w:right w:val="single" w:sz="4" w:space="0" w:color="D9D9D9"/>
            </w:tcBorders>
            <w:shd w:val="clear" w:color="auto" w:fill="BEBEBE"/>
          </w:tcPr>
          <w:p>
            <w:pPr>
              <w:pStyle w:val="TableParagraph"/>
              <w:spacing w:before="55"/>
              <w:ind w:right="78"/>
              <w:jc w:val="right"/>
              <w:rPr>
                <w:sz w:val="20"/>
              </w:rPr>
            </w:pPr>
            <w:r>
              <w:rPr>
                <w:w w:val="110"/>
                <w:sz w:val="20"/>
              </w:rPr>
              <w:t>8.15%</w:t>
            </w:r>
          </w:p>
        </w:tc>
      </w:tr>
    </w:tbl>
    <w:p>
      <w:pPr>
        <w:spacing w:before="36"/>
        <w:ind w:left="1079" w:right="0" w:firstLine="0"/>
        <w:jc w:val="left"/>
        <w:rPr>
          <w:rFonts w:ascii="Gill Sans MT"/>
          <w:sz w:val="14"/>
        </w:rPr>
      </w:pPr>
      <w:r>
        <w:rPr>
          <w:rFonts w:ascii="Gill Sans MT"/>
          <w:w w:val="110"/>
          <w:sz w:val="14"/>
        </w:rPr>
        <w:t>Inception Date: 1/1/2020</w:t>
      </w:r>
    </w:p>
    <w:p>
      <w:pPr>
        <w:spacing w:before="71"/>
        <w:ind w:left="1079" w:right="0" w:firstLine="0"/>
        <w:jc w:val="left"/>
        <w:rPr>
          <w:rFonts w:ascii="Gill Sans MT"/>
          <w:sz w:val="14"/>
        </w:rPr>
      </w:pPr>
      <w:r>
        <w:rPr>
          <w:rFonts w:ascii="Gill Sans MT"/>
          <w:w w:val="115"/>
          <w:sz w:val="14"/>
        </w:rPr>
        <w:t>Total Portfolio is net of fees. CPI as of May 2025.</w:t>
      </w:r>
    </w:p>
    <w:p>
      <w:pPr>
        <w:spacing w:after="0"/>
        <w:jc w:val="left"/>
        <w:rPr>
          <w:rFonts w:ascii="Gill Sans MT"/>
          <w:sz w:val="14"/>
        </w:rPr>
        <w:sectPr>
          <w:headerReference w:type="default" r:id="rId46"/>
          <w:footerReference w:type="default" r:id="rId47"/>
          <w:pgSz w:w="14400" w:h="10800" w:orient="landscape"/>
          <w:pgMar w:header="601" w:footer="1259" w:top="800" w:bottom="1440" w:left="20" w:right="40"/>
          <w:pgNumType w:start="14"/>
        </w:sectPr>
      </w:pPr>
    </w:p>
    <w:tbl>
      <w:tblPr>
        <w:tblW w:w="0" w:type="auto"/>
        <w:jc w:val="left"/>
        <w:tblInd w:w="8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6"/>
      </w:tblGrid>
      <w:tr>
        <w:trPr>
          <w:trHeight w:val="389" w:hRule="atLeast"/>
        </w:trPr>
        <w:tc>
          <w:tcPr>
            <w:tcW w:w="4486" w:type="dxa"/>
          </w:tcPr>
          <w:p>
            <w:pPr>
              <w:pStyle w:val="TableParagraph"/>
              <w:ind w:right="198"/>
              <w:jc w:val="right"/>
              <w:rPr>
                <w:sz w:val="28"/>
              </w:rPr>
            </w:pPr>
            <w:bookmarkStart w:name="Slide 15: Portfolio Holdings" w:id="21"/>
            <w:bookmarkEnd w:id="21"/>
            <w:r>
              <w:rPr/>
            </w:r>
            <w:r>
              <w:rPr>
                <w:w w:val="110"/>
                <w:sz w:val="28"/>
              </w:rPr>
              <w:t>CNY</w:t>
            </w:r>
            <w:r>
              <w:rPr>
                <w:spacing w:val="-60"/>
                <w:w w:val="110"/>
                <w:sz w:val="28"/>
              </w:rPr>
              <w:t> </w:t>
            </w:r>
            <w:r>
              <w:rPr>
                <w:w w:val="110"/>
                <w:sz w:val="28"/>
              </w:rPr>
              <w:t>Centro,</w:t>
            </w:r>
            <w:r>
              <w:rPr>
                <w:spacing w:val="-57"/>
                <w:w w:val="110"/>
                <w:sz w:val="28"/>
              </w:rPr>
              <w:t> </w:t>
            </w:r>
            <w:r>
              <w:rPr>
                <w:w w:val="110"/>
                <w:sz w:val="28"/>
              </w:rPr>
              <w:t>Inc.</w:t>
            </w:r>
            <w:r>
              <w:rPr>
                <w:spacing w:val="-58"/>
                <w:w w:val="110"/>
                <w:sz w:val="28"/>
              </w:rPr>
              <w:t> </w:t>
            </w:r>
            <w:r>
              <w:rPr>
                <w:w w:val="110"/>
                <w:sz w:val="28"/>
              </w:rPr>
              <w:t>Salaried</w:t>
            </w:r>
            <w:r>
              <w:rPr>
                <w:spacing w:val="-59"/>
                <w:w w:val="110"/>
                <w:sz w:val="28"/>
              </w:rPr>
              <w:t> </w:t>
            </w:r>
            <w:r>
              <w:rPr>
                <w:w w:val="110"/>
                <w:sz w:val="28"/>
              </w:rPr>
              <w:t>DB</w:t>
            </w:r>
            <w:r>
              <w:rPr>
                <w:spacing w:val="-57"/>
                <w:w w:val="110"/>
                <w:sz w:val="28"/>
              </w:rPr>
              <w:t> </w:t>
            </w:r>
            <w:r>
              <w:rPr>
                <w:w w:val="110"/>
                <w:sz w:val="28"/>
              </w:rPr>
              <w:t>Plan</w:t>
            </w:r>
          </w:p>
        </w:tc>
      </w:tr>
      <w:tr>
        <w:trPr>
          <w:trHeight w:val="363" w:hRule="atLeast"/>
        </w:trPr>
        <w:tc>
          <w:tcPr>
            <w:tcW w:w="4486"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3"/>
        <w:rPr>
          <w:rFonts w:ascii="Gill Sans MT"/>
          <w:sz w:val="20"/>
        </w:rPr>
      </w:pPr>
    </w:p>
    <w:tbl>
      <w:tblPr>
        <w:tblW w:w="0" w:type="auto"/>
        <w:jc w:val="left"/>
        <w:tblInd w:w="11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3097"/>
        <w:gridCol w:w="1244"/>
        <w:gridCol w:w="1544"/>
        <w:gridCol w:w="886"/>
        <w:gridCol w:w="1544"/>
        <w:gridCol w:w="886"/>
        <w:gridCol w:w="1544"/>
        <w:gridCol w:w="857"/>
      </w:tblGrid>
      <w:tr>
        <w:trPr>
          <w:trHeight w:val="429" w:hRule="atLeast"/>
        </w:trPr>
        <w:tc>
          <w:tcPr>
            <w:tcW w:w="3097" w:type="dxa"/>
            <w:tcBorders>
              <w:left w:val="single" w:sz="8" w:space="0" w:color="D9D9D9"/>
              <w:bottom w:val="single" w:sz="8" w:space="0" w:color="D9D9D9"/>
              <w:right w:val="single" w:sz="8" w:space="0" w:color="D9D9D9"/>
            </w:tcBorders>
            <w:shd w:val="clear" w:color="auto" w:fill="014612"/>
          </w:tcPr>
          <w:p>
            <w:pPr>
              <w:pStyle w:val="TableParagraph"/>
              <w:spacing w:before="119"/>
              <w:ind w:left="1244" w:right="1218"/>
              <w:jc w:val="center"/>
              <w:rPr>
                <w:sz w:val="16"/>
              </w:rPr>
            </w:pPr>
            <w:r>
              <w:rPr>
                <w:color w:val="FFFFFF"/>
                <w:w w:val="110"/>
                <w:sz w:val="16"/>
              </w:rPr>
              <w:t>Security</w:t>
            </w:r>
          </w:p>
        </w:tc>
        <w:tc>
          <w:tcPr>
            <w:tcW w:w="1244" w:type="dxa"/>
            <w:tcBorders>
              <w:left w:val="single" w:sz="8" w:space="0" w:color="D9D9D9"/>
              <w:bottom w:val="single" w:sz="8" w:space="0" w:color="D9D9D9"/>
              <w:right w:val="single" w:sz="8" w:space="0" w:color="D9D9D9"/>
            </w:tcBorders>
            <w:shd w:val="clear" w:color="auto" w:fill="014612"/>
          </w:tcPr>
          <w:p>
            <w:pPr>
              <w:pStyle w:val="TableParagraph"/>
              <w:spacing w:before="119"/>
              <w:ind w:left="359"/>
              <w:rPr>
                <w:sz w:val="16"/>
              </w:rPr>
            </w:pPr>
            <w:r>
              <w:rPr>
                <w:color w:val="FFFFFF"/>
                <w:w w:val="115"/>
                <w:sz w:val="16"/>
              </w:rPr>
              <w:t>Symbol</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477"/>
              <w:rPr>
                <w:sz w:val="16"/>
              </w:rPr>
            </w:pPr>
            <w:r>
              <w:rPr>
                <w:color w:val="FFFFFF"/>
                <w:w w:val="105"/>
                <w:sz w:val="16"/>
              </w:rPr>
              <w:t>Quantity</w:t>
            </w:r>
          </w:p>
        </w:tc>
        <w:tc>
          <w:tcPr>
            <w:tcW w:w="886" w:type="dxa"/>
            <w:tcBorders>
              <w:left w:val="single" w:sz="8" w:space="0" w:color="D9D9D9"/>
              <w:bottom w:val="single" w:sz="8" w:space="0" w:color="D9D9D9"/>
              <w:right w:val="single" w:sz="8" w:space="0" w:color="D9D9D9"/>
            </w:tcBorders>
            <w:shd w:val="clear" w:color="auto" w:fill="014612"/>
          </w:tcPr>
          <w:p>
            <w:pPr>
              <w:pStyle w:val="TableParagraph"/>
              <w:spacing w:before="119"/>
              <w:ind w:left="2" w:right="-29"/>
              <w:rPr>
                <w:sz w:val="16"/>
              </w:rPr>
            </w:pPr>
            <w:r>
              <w:rPr>
                <w:color w:val="FFFFFF"/>
                <w:w w:val="105"/>
                <w:sz w:val="16"/>
              </w:rPr>
              <w:t>Unit Cost</w:t>
            </w:r>
            <w:r>
              <w:rPr>
                <w:color w:val="FFFFFF"/>
                <w:spacing w:val="-39"/>
                <w:w w:val="105"/>
                <w:sz w:val="16"/>
              </w:rPr>
              <w:t> </w:t>
            </w:r>
            <w:r>
              <w:rPr>
                <w:color w:val="FFFFFF"/>
                <w:w w:val="105"/>
                <w:sz w:val="16"/>
              </w:rPr>
              <w:t>($)</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292"/>
              <w:rPr>
                <w:sz w:val="16"/>
              </w:rPr>
            </w:pPr>
            <w:r>
              <w:rPr>
                <w:color w:val="FFFFFF"/>
                <w:w w:val="105"/>
                <w:sz w:val="16"/>
              </w:rPr>
              <w:t>Total Cost ($)</w:t>
            </w:r>
          </w:p>
        </w:tc>
        <w:tc>
          <w:tcPr>
            <w:tcW w:w="886" w:type="dxa"/>
            <w:tcBorders>
              <w:left w:val="single" w:sz="8" w:space="0" w:color="D9D9D9"/>
              <w:bottom w:val="single" w:sz="8" w:space="0" w:color="D9D9D9"/>
              <w:right w:val="single" w:sz="8" w:space="0" w:color="D9D9D9"/>
            </w:tcBorders>
            <w:shd w:val="clear" w:color="auto" w:fill="014612"/>
          </w:tcPr>
          <w:p>
            <w:pPr>
              <w:pStyle w:val="TableParagraph"/>
              <w:spacing w:before="119"/>
              <w:ind w:right="117"/>
              <w:jc w:val="right"/>
              <w:rPr>
                <w:sz w:val="16"/>
              </w:rPr>
            </w:pPr>
            <w:r>
              <w:rPr>
                <w:color w:val="FFFFFF"/>
                <w:w w:val="110"/>
                <w:sz w:val="16"/>
              </w:rPr>
              <w:t>Price ($)</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459"/>
              <w:rPr>
                <w:sz w:val="16"/>
              </w:rPr>
            </w:pPr>
            <w:r>
              <w:rPr>
                <w:color w:val="FFFFFF"/>
                <w:w w:val="110"/>
                <w:sz w:val="16"/>
              </w:rPr>
              <w:t>Value ($)</w:t>
            </w:r>
          </w:p>
        </w:tc>
        <w:tc>
          <w:tcPr>
            <w:tcW w:w="857" w:type="dxa"/>
            <w:tcBorders>
              <w:left w:val="single" w:sz="8" w:space="0" w:color="D9D9D9"/>
              <w:bottom w:val="single" w:sz="8" w:space="0" w:color="D9D9D9"/>
              <w:right w:val="nil"/>
            </w:tcBorders>
            <w:shd w:val="clear" w:color="auto" w:fill="014612"/>
          </w:tcPr>
          <w:p>
            <w:pPr>
              <w:pStyle w:val="TableParagraph"/>
              <w:spacing w:line="247" w:lineRule="auto" w:before="23"/>
              <w:ind w:left="128" w:right="17" w:hanging="60"/>
              <w:rPr>
                <w:sz w:val="16"/>
              </w:rPr>
            </w:pPr>
            <w:r>
              <w:rPr>
                <w:color w:val="FFFFFF"/>
                <w:w w:val="110"/>
                <w:sz w:val="16"/>
              </w:rPr>
              <w:t>Percent of Portfolio</w:t>
            </w:r>
          </w:p>
        </w:tc>
      </w:tr>
      <w:tr>
        <w:trPr>
          <w:trHeight w:val="171" w:hRule="atLeast"/>
        </w:trPr>
        <w:tc>
          <w:tcPr>
            <w:tcW w:w="3097" w:type="dxa"/>
            <w:tcBorders>
              <w:top w:val="single" w:sz="8" w:space="0" w:color="D9D9D9"/>
              <w:left w:val="nil"/>
              <w:bottom w:val="single" w:sz="8" w:space="0" w:color="D9D9D9"/>
              <w:right w:val="single" w:sz="8" w:space="0" w:color="D9D9D9"/>
            </w:tcBorders>
          </w:tcPr>
          <w:p>
            <w:pPr>
              <w:pStyle w:val="TableParagraph"/>
              <w:rPr>
                <w:rFonts w:ascii="Times New Roman"/>
                <w:sz w:val="10"/>
              </w:rPr>
            </w:pPr>
          </w:p>
        </w:tc>
        <w:tc>
          <w:tcPr>
            <w:tcW w:w="12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57" w:type="dxa"/>
            <w:tcBorders>
              <w:top w:val="single" w:sz="8" w:space="0" w:color="D9D9D9"/>
              <w:left w:val="single" w:sz="8" w:space="0" w:color="D9D9D9"/>
              <w:bottom w:val="single" w:sz="8" w:space="0" w:color="D9D9D9"/>
              <w:right w:val="nil"/>
            </w:tcBorders>
          </w:tcPr>
          <w:p>
            <w:pPr>
              <w:pStyle w:val="TableParagraph"/>
              <w:rPr>
                <w:rFonts w:ascii="Times New Roman"/>
                <w:sz w:val="10"/>
              </w:rPr>
            </w:pPr>
          </w:p>
        </w:tc>
      </w:tr>
      <w:tr>
        <w:trPr>
          <w:trHeight w:val="341" w:hRule="atLeast"/>
        </w:trPr>
        <w:tc>
          <w:tcPr>
            <w:tcW w:w="11602" w:type="dxa"/>
            <w:gridSpan w:val="8"/>
            <w:tcBorders>
              <w:top w:val="single" w:sz="8" w:space="0" w:color="D9D9D9"/>
              <w:left w:val="nil"/>
              <w:bottom w:val="single" w:sz="8" w:space="0" w:color="D9D9D9"/>
              <w:right w:val="nil"/>
            </w:tcBorders>
            <w:shd w:val="clear" w:color="auto" w:fill="014612"/>
          </w:tcPr>
          <w:p>
            <w:pPr>
              <w:pStyle w:val="TableParagraph"/>
              <w:spacing w:before="78"/>
              <w:ind w:left="122"/>
              <w:rPr>
                <w:sz w:val="16"/>
              </w:rPr>
            </w:pPr>
            <w:r>
              <w:rPr>
                <w:color w:val="FFFFFF"/>
                <w:w w:val="115"/>
                <w:sz w:val="16"/>
              </w:rPr>
              <w:t>Cash</w:t>
            </w:r>
          </w:p>
        </w:tc>
      </w:tr>
      <w:tr>
        <w:trPr>
          <w:trHeight w:val="363" w:hRule="atLeast"/>
        </w:trPr>
        <w:tc>
          <w:tcPr>
            <w:tcW w:w="3097" w:type="dxa"/>
            <w:tcBorders>
              <w:top w:val="single" w:sz="8" w:space="0" w:color="D9D9D9"/>
              <w:left w:val="nil"/>
              <w:bottom w:val="single" w:sz="8" w:space="0" w:color="D9D9D9"/>
              <w:right w:val="single" w:sz="8" w:space="0" w:color="D9D9D9"/>
            </w:tcBorders>
          </w:tcPr>
          <w:p>
            <w:pPr>
              <w:pStyle w:val="TableParagraph"/>
              <w:spacing w:line="179" w:lineRule="exact"/>
              <w:ind w:left="122"/>
              <w:rPr>
                <w:sz w:val="16"/>
              </w:rPr>
            </w:pPr>
            <w:r>
              <w:rPr>
                <w:sz w:val="16"/>
              </w:rPr>
              <w:t>FEDERATED HERMES GOVERNMENT</w:t>
            </w:r>
          </w:p>
          <w:p>
            <w:pPr>
              <w:pStyle w:val="TableParagraph"/>
              <w:spacing w:line="159" w:lineRule="exact" w:before="6"/>
              <w:ind w:left="122"/>
              <w:rPr>
                <w:sz w:val="16"/>
              </w:rPr>
            </w:pPr>
            <w:r>
              <w:rPr>
                <w:sz w:val="16"/>
              </w:rPr>
              <w:t>OBLIGATIONS FUND PREMIER</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89"/>
              <w:ind w:left="105"/>
              <w:rPr>
                <w:sz w:val="16"/>
              </w:rPr>
            </w:pPr>
            <w:r>
              <w:rPr>
                <w:sz w:val="16"/>
              </w:rPr>
              <w:t>GOFXX</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3"/>
              <w:jc w:val="right"/>
              <w:rPr>
                <w:sz w:val="16"/>
              </w:rPr>
            </w:pPr>
            <w:r>
              <w:rPr>
                <w:w w:val="110"/>
                <w:sz w:val="16"/>
              </w:rPr>
              <w:t>681,463.94</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left="465"/>
              <w:rPr>
                <w:sz w:val="16"/>
              </w:rPr>
            </w:pPr>
            <w:r>
              <w:rPr>
                <w:w w:val="115"/>
                <w:sz w:val="16"/>
              </w:rPr>
              <w:t>1.00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1"/>
              <w:jc w:val="right"/>
              <w:rPr>
                <w:sz w:val="16"/>
              </w:rPr>
            </w:pPr>
            <w:r>
              <w:rPr>
                <w:w w:val="110"/>
                <w:sz w:val="16"/>
              </w:rPr>
              <w:t>681,463.94</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right="79"/>
              <w:jc w:val="right"/>
              <w:rPr>
                <w:sz w:val="16"/>
              </w:rPr>
            </w:pPr>
            <w:r>
              <w:rPr>
                <w:w w:val="110"/>
                <w:sz w:val="16"/>
              </w:rPr>
              <w:t>1.00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79"/>
              <w:jc w:val="right"/>
              <w:rPr>
                <w:sz w:val="16"/>
              </w:rPr>
            </w:pPr>
            <w:r>
              <w:rPr>
                <w:w w:val="110"/>
                <w:sz w:val="16"/>
              </w:rPr>
              <w:t>681,463.94</w:t>
            </w:r>
          </w:p>
        </w:tc>
        <w:tc>
          <w:tcPr>
            <w:tcW w:w="857" w:type="dxa"/>
            <w:tcBorders>
              <w:top w:val="single" w:sz="8" w:space="0" w:color="D9D9D9"/>
              <w:left w:val="single" w:sz="8" w:space="0" w:color="D9D9D9"/>
              <w:bottom w:val="single" w:sz="8" w:space="0" w:color="D9D9D9"/>
              <w:right w:val="nil"/>
            </w:tcBorders>
          </w:tcPr>
          <w:p>
            <w:pPr>
              <w:pStyle w:val="TableParagraph"/>
              <w:spacing w:before="89"/>
              <w:ind w:right="85"/>
              <w:jc w:val="right"/>
              <w:rPr>
                <w:sz w:val="16"/>
              </w:rPr>
            </w:pPr>
            <w:r>
              <w:rPr>
                <w:w w:val="110"/>
                <w:sz w:val="16"/>
              </w:rPr>
              <w:t>1.67%</w:t>
            </w: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5" w:lineRule="exact" w:before="19"/>
              <w:ind w:left="122"/>
              <w:rPr>
                <w:sz w:val="16"/>
              </w:rPr>
            </w:pPr>
            <w:r>
              <w:rPr>
                <w:sz w:val="16"/>
              </w:rPr>
              <w:t>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80"/>
              <w:jc w:val="right"/>
              <w:rPr>
                <w:sz w:val="16"/>
              </w:rPr>
            </w:pPr>
            <w:r>
              <w:rPr>
                <w:w w:val="110"/>
                <w:sz w:val="16"/>
              </w:rPr>
              <w:t>681,463.94</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78"/>
              <w:jc w:val="right"/>
              <w:rPr>
                <w:sz w:val="16"/>
              </w:rPr>
            </w:pPr>
            <w:r>
              <w:rPr>
                <w:w w:val="110"/>
                <w:sz w:val="16"/>
              </w:rPr>
              <w:t>681,463.94</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5" w:lineRule="exact" w:before="19"/>
              <w:ind w:right="82"/>
              <w:jc w:val="right"/>
              <w:rPr>
                <w:sz w:val="16"/>
              </w:rPr>
            </w:pPr>
            <w:r>
              <w:rPr>
                <w:w w:val="110"/>
                <w:sz w:val="16"/>
              </w:rPr>
              <w:t>1.67%</w:t>
            </w:r>
          </w:p>
        </w:tc>
      </w:tr>
      <w:tr>
        <w:trPr>
          <w:trHeight w:val="224" w:hRule="atLeast"/>
        </w:trPr>
        <w:tc>
          <w:tcPr>
            <w:tcW w:w="11602" w:type="dxa"/>
            <w:gridSpan w:val="8"/>
            <w:tcBorders>
              <w:top w:val="single" w:sz="8" w:space="0" w:color="D9D9D9"/>
              <w:left w:val="nil"/>
              <w:bottom w:val="single" w:sz="8" w:space="0" w:color="D9D9D9"/>
              <w:right w:val="nil"/>
            </w:tcBorders>
            <w:shd w:val="clear" w:color="auto" w:fill="014612"/>
          </w:tcPr>
          <w:p>
            <w:pPr>
              <w:pStyle w:val="TableParagraph"/>
              <w:spacing w:line="185" w:lineRule="exact" w:before="19"/>
              <w:ind w:left="122"/>
              <w:rPr>
                <w:sz w:val="16"/>
              </w:rPr>
            </w:pPr>
            <w:r>
              <w:rPr>
                <w:color w:val="FFFFFF"/>
                <w:w w:val="110"/>
                <w:sz w:val="16"/>
              </w:rPr>
              <w:t>Equity</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10"/>
                <w:sz w:val="16"/>
              </w:rPr>
              <w:t>ISHARES CORE S&amp;P 500</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05"/>
                <w:sz w:val="16"/>
              </w:rPr>
              <w:t>IVV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19,070.00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283"/>
              <w:rPr>
                <w:sz w:val="16"/>
              </w:rPr>
            </w:pPr>
            <w:r>
              <w:rPr>
                <w:w w:val="115"/>
                <w:sz w:val="16"/>
              </w:rPr>
              <w:t>310.06</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5,912,809.22</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620.90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11,840,563.00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29.04%</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10"/>
                <w:sz w:val="16"/>
              </w:rPr>
              <w:t>ISHARES CORE MSCI INTL DEV MKTS</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05"/>
                <w:sz w:val="16"/>
              </w:rPr>
              <w:t>IDEV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66,510.00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63.74</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4,239,347.40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76.04</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5,057,420.40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12.40%</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10"/>
                <w:sz w:val="16"/>
              </w:rPr>
              <w:t>ISHARES CORE S&amp;P MID-CAP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25"/>
                <w:sz w:val="16"/>
              </w:rPr>
              <w:t>IJH</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38,455.00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39.08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1,502,793.92</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62.02</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2,384,979.10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5.85%</w:t>
            </w:r>
          </w:p>
        </w:tc>
      </w:tr>
      <w:tr>
        <w:trPr>
          <w:trHeight w:val="387" w:hRule="atLeast"/>
        </w:trPr>
        <w:tc>
          <w:tcPr>
            <w:tcW w:w="3097" w:type="dxa"/>
            <w:tcBorders>
              <w:top w:val="single" w:sz="8" w:space="0" w:color="D9D9D9"/>
              <w:left w:val="nil"/>
              <w:bottom w:val="single" w:sz="8" w:space="0" w:color="D9D9D9"/>
              <w:right w:val="single" w:sz="8" w:space="0" w:color="D9D9D9"/>
            </w:tcBorders>
          </w:tcPr>
          <w:p>
            <w:pPr>
              <w:pStyle w:val="TableParagraph"/>
              <w:spacing w:line="192" w:lineRule="exact" w:before="1"/>
              <w:ind w:left="122" w:right="554"/>
              <w:rPr>
                <w:sz w:val="16"/>
              </w:rPr>
            </w:pPr>
            <w:r>
              <w:rPr>
                <w:w w:val="105"/>
                <w:sz w:val="16"/>
              </w:rPr>
              <w:t>ISHARES CORE MSCI EMERGING MARKETS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101"/>
              <w:ind w:left="105"/>
              <w:rPr>
                <w:sz w:val="16"/>
              </w:rPr>
            </w:pPr>
            <w:r>
              <w:rPr>
                <w:w w:val="105"/>
                <w:sz w:val="16"/>
              </w:rPr>
              <w:t>IEMG</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5"/>
              <w:jc w:val="right"/>
              <w:rPr>
                <w:sz w:val="16"/>
              </w:rPr>
            </w:pPr>
            <w:r>
              <w:rPr>
                <w:w w:val="110"/>
                <w:sz w:val="16"/>
              </w:rPr>
              <w:t>29,855.00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left="374"/>
              <w:rPr>
                <w:sz w:val="16"/>
              </w:rPr>
            </w:pPr>
            <w:r>
              <w:rPr>
                <w:w w:val="115"/>
                <w:sz w:val="16"/>
              </w:rPr>
              <w:t>49.60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1"/>
              <w:jc w:val="right"/>
              <w:rPr>
                <w:sz w:val="16"/>
              </w:rPr>
            </w:pPr>
            <w:r>
              <w:rPr>
                <w:w w:val="110"/>
                <w:sz w:val="16"/>
              </w:rPr>
              <w:t>1,480,765.62</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60.03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1,792,195.65</w:t>
            </w:r>
          </w:p>
        </w:tc>
        <w:tc>
          <w:tcPr>
            <w:tcW w:w="857" w:type="dxa"/>
            <w:tcBorders>
              <w:top w:val="single" w:sz="8" w:space="0" w:color="D9D9D9"/>
              <w:left w:val="single" w:sz="8" w:space="0" w:color="D9D9D9"/>
              <w:bottom w:val="single" w:sz="8" w:space="0" w:color="D9D9D9"/>
              <w:right w:val="nil"/>
            </w:tcBorders>
          </w:tcPr>
          <w:p>
            <w:pPr>
              <w:pStyle w:val="TableParagraph"/>
              <w:spacing w:before="101"/>
              <w:ind w:right="85"/>
              <w:jc w:val="right"/>
              <w:rPr>
                <w:sz w:val="16"/>
              </w:rPr>
            </w:pPr>
            <w:r>
              <w:rPr>
                <w:w w:val="110"/>
                <w:sz w:val="16"/>
              </w:rPr>
              <w:t>4.40%</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19"/>
              <w:ind w:left="122"/>
              <w:rPr>
                <w:sz w:val="16"/>
              </w:rPr>
            </w:pPr>
            <w:r>
              <w:rPr>
                <w:w w:val="105"/>
                <w:sz w:val="16"/>
              </w:rPr>
              <w:t>ISHARES CORE S&amp;P SMALL-CAP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left="105"/>
              <w:rPr>
                <w:sz w:val="16"/>
              </w:rPr>
            </w:pPr>
            <w:r>
              <w:rPr>
                <w:w w:val="130"/>
                <w:sz w:val="16"/>
              </w:rPr>
              <w:t>IJR</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5"/>
              <w:jc w:val="right"/>
              <w:rPr>
                <w:sz w:val="16"/>
              </w:rPr>
            </w:pPr>
            <w:r>
              <w:rPr>
                <w:w w:val="110"/>
                <w:sz w:val="16"/>
              </w:rPr>
              <w:t>15,820.00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left="374"/>
              <w:rPr>
                <w:sz w:val="16"/>
              </w:rPr>
            </w:pPr>
            <w:r>
              <w:rPr>
                <w:w w:val="115"/>
                <w:sz w:val="16"/>
              </w:rPr>
              <w:t>82.74</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1"/>
              <w:jc w:val="right"/>
              <w:rPr>
                <w:sz w:val="16"/>
              </w:rPr>
            </w:pPr>
            <w:r>
              <w:rPr>
                <w:w w:val="110"/>
                <w:sz w:val="16"/>
              </w:rPr>
              <w:t>1,308,946.68</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1"/>
              <w:jc w:val="right"/>
              <w:rPr>
                <w:sz w:val="16"/>
              </w:rPr>
            </w:pPr>
            <w:r>
              <w:rPr>
                <w:w w:val="115"/>
                <w:sz w:val="16"/>
              </w:rPr>
              <w:t>109.29</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79"/>
              <w:jc w:val="right"/>
              <w:rPr>
                <w:sz w:val="16"/>
              </w:rPr>
            </w:pPr>
            <w:r>
              <w:rPr>
                <w:w w:val="110"/>
                <w:sz w:val="16"/>
              </w:rPr>
              <w:t>1,728,967.80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19"/>
              <w:ind w:right="85"/>
              <w:jc w:val="right"/>
              <w:rPr>
                <w:sz w:val="16"/>
              </w:rPr>
            </w:pPr>
            <w:r>
              <w:rPr>
                <w:w w:val="110"/>
                <w:sz w:val="16"/>
              </w:rPr>
              <w:t>4.24%</w:t>
            </w:r>
          </w:p>
        </w:tc>
      </w:tr>
      <w:tr>
        <w:trPr>
          <w:trHeight w:val="364" w:hRule="atLeast"/>
        </w:trPr>
        <w:tc>
          <w:tcPr>
            <w:tcW w:w="3097" w:type="dxa"/>
            <w:tcBorders>
              <w:top w:val="single" w:sz="8" w:space="0" w:color="D9D9D9"/>
              <w:left w:val="nil"/>
              <w:bottom w:val="single" w:sz="8" w:space="0" w:color="D9D9D9"/>
              <w:right w:val="single" w:sz="8" w:space="0" w:color="D9D9D9"/>
            </w:tcBorders>
          </w:tcPr>
          <w:p>
            <w:pPr>
              <w:pStyle w:val="TableParagraph"/>
              <w:spacing w:line="179" w:lineRule="exact"/>
              <w:ind w:left="122"/>
              <w:rPr>
                <w:sz w:val="16"/>
              </w:rPr>
            </w:pPr>
            <w:r>
              <w:rPr>
                <w:w w:val="105"/>
                <w:sz w:val="16"/>
              </w:rPr>
              <w:t>DIMENSIONAL</w:t>
            </w:r>
            <w:r>
              <w:rPr>
                <w:spacing w:val="-29"/>
                <w:w w:val="105"/>
                <w:sz w:val="16"/>
              </w:rPr>
              <w:t> </w:t>
            </w:r>
            <w:r>
              <w:rPr>
                <w:w w:val="105"/>
                <w:sz w:val="16"/>
              </w:rPr>
              <w:t>US</w:t>
            </w:r>
            <w:r>
              <w:rPr>
                <w:spacing w:val="-23"/>
                <w:w w:val="105"/>
                <w:sz w:val="16"/>
              </w:rPr>
              <w:t> </w:t>
            </w:r>
            <w:r>
              <w:rPr>
                <w:w w:val="105"/>
                <w:sz w:val="16"/>
              </w:rPr>
              <w:t>HIGH</w:t>
            </w:r>
            <w:r>
              <w:rPr>
                <w:spacing w:val="-23"/>
                <w:w w:val="105"/>
                <w:sz w:val="16"/>
              </w:rPr>
              <w:t> </w:t>
            </w:r>
            <w:r>
              <w:rPr>
                <w:w w:val="105"/>
                <w:sz w:val="16"/>
              </w:rPr>
              <w:t>PROFITABILITY</w:t>
            </w:r>
          </w:p>
          <w:p>
            <w:pPr>
              <w:pStyle w:val="TableParagraph"/>
              <w:spacing w:line="158" w:lineRule="exact" w:before="7"/>
              <w:ind w:left="122"/>
              <w:rPr>
                <w:sz w:val="16"/>
              </w:rPr>
            </w:pPr>
            <w:r>
              <w:rPr>
                <w:w w:val="110"/>
                <w:sz w:val="16"/>
              </w:rPr>
              <w:t>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89"/>
              <w:ind w:left="105"/>
              <w:rPr>
                <w:sz w:val="16"/>
              </w:rPr>
            </w:pPr>
            <w:r>
              <w:rPr>
                <w:sz w:val="16"/>
              </w:rPr>
              <w:t>DUHP</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5"/>
              <w:jc w:val="right"/>
              <w:rPr>
                <w:sz w:val="16"/>
              </w:rPr>
            </w:pPr>
            <w:r>
              <w:rPr>
                <w:w w:val="110"/>
                <w:sz w:val="16"/>
              </w:rPr>
              <w:t>26,830.00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left="374"/>
              <w:rPr>
                <w:sz w:val="16"/>
              </w:rPr>
            </w:pPr>
            <w:r>
              <w:rPr>
                <w:w w:val="115"/>
                <w:sz w:val="16"/>
              </w:rPr>
              <w:t>27.45</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1"/>
              <w:jc w:val="right"/>
              <w:rPr>
                <w:sz w:val="16"/>
              </w:rPr>
            </w:pPr>
            <w:r>
              <w:rPr>
                <w:w w:val="110"/>
                <w:sz w:val="16"/>
              </w:rPr>
              <w:t>736,407.08</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right="81"/>
              <w:jc w:val="right"/>
              <w:rPr>
                <w:sz w:val="16"/>
              </w:rPr>
            </w:pPr>
            <w:r>
              <w:rPr>
                <w:w w:val="115"/>
                <w:sz w:val="16"/>
              </w:rPr>
              <w:t>35.56</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79"/>
              <w:jc w:val="right"/>
              <w:rPr>
                <w:sz w:val="16"/>
              </w:rPr>
            </w:pPr>
            <w:r>
              <w:rPr>
                <w:w w:val="110"/>
                <w:sz w:val="16"/>
              </w:rPr>
              <w:t>954,074.80</w:t>
            </w:r>
          </w:p>
        </w:tc>
        <w:tc>
          <w:tcPr>
            <w:tcW w:w="857" w:type="dxa"/>
            <w:tcBorders>
              <w:top w:val="single" w:sz="8" w:space="0" w:color="D9D9D9"/>
              <w:left w:val="single" w:sz="8" w:space="0" w:color="D9D9D9"/>
              <w:bottom w:val="single" w:sz="8" w:space="0" w:color="D9D9D9"/>
              <w:right w:val="nil"/>
            </w:tcBorders>
          </w:tcPr>
          <w:p>
            <w:pPr>
              <w:pStyle w:val="TableParagraph"/>
              <w:spacing w:before="89"/>
              <w:ind w:right="85"/>
              <w:jc w:val="right"/>
              <w:rPr>
                <w:sz w:val="16"/>
              </w:rPr>
            </w:pPr>
            <w:r>
              <w:rPr>
                <w:w w:val="110"/>
                <w:sz w:val="16"/>
              </w:rPr>
              <w:t>2.34%</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05"/>
                <w:sz w:val="16"/>
              </w:rPr>
              <w:t>AVANTIS US LARGE CAP VALUE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05"/>
                <w:sz w:val="16"/>
              </w:rPr>
              <w:t>AVLV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13,780.00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55.17</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760,188.17</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5"/>
                <w:sz w:val="16"/>
              </w:rPr>
              <w:t>68.21</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939,933.80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2.31%</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05"/>
                <w:sz w:val="16"/>
              </w:rPr>
              <w:t>AVANTIS US SMALL CAP VALUE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sz w:val="16"/>
              </w:rPr>
              <w:t>AVUV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10,255.00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83.46</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855,847.14</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91.10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934,230.50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2.29%</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10"/>
                <w:sz w:val="16"/>
              </w:rPr>
              <w:t>ISHARES MSCI EAFE VALUE</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10"/>
                <w:sz w:val="16"/>
              </w:rPr>
              <w:t>EFV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8,510.00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42.83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364,474.10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63.48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540,214.80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1.32%</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4" w:lineRule="exact" w:before="20"/>
              <w:ind w:left="122"/>
              <w:rPr>
                <w:sz w:val="16"/>
              </w:rPr>
            </w:pPr>
            <w:r>
              <w:rPr>
                <w:w w:val="105"/>
                <w:sz w:val="16"/>
              </w:rPr>
              <w:t>DFA EMERGING MARKETS VALUE</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left="105"/>
              <w:rPr>
                <w:sz w:val="16"/>
              </w:rPr>
            </w:pPr>
            <w:r>
              <w:rPr>
                <w:sz w:val="16"/>
              </w:rPr>
              <w:t>DFEVX</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85"/>
              <w:jc w:val="right"/>
              <w:rPr>
                <w:sz w:val="16"/>
              </w:rPr>
            </w:pPr>
            <w:r>
              <w:rPr>
                <w:w w:val="110"/>
                <w:sz w:val="16"/>
              </w:rPr>
              <w:t>15,017.98</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left="374"/>
              <w:rPr>
                <w:sz w:val="16"/>
              </w:rPr>
            </w:pPr>
            <w:r>
              <w:rPr>
                <w:w w:val="115"/>
                <w:sz w:val="16"/>
              </w:rPr>
              <w:t>25.21</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81"/>
              <w:jc w:val="right"/>
              <w:rPr>
                <w:sz w:val="16"/>
              </w:rPr>
            </w:pPr>
            <w:r>
              <w:rPr>
                <w:w w:val="110"/>
                <w:sz w:val="16"/>
              </w:rPr>
              <w:t>378,554.69</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79"/>
              <w:jc w:val="right"/>
              <w:rPr>
                <w:sz w:val="16"/>
              </w:rPr>
            </w:pPr>
            <w:r>
              <w:rPr>
                <w:w w:val="110"/>
                <w:sz w:val="16"/>
              </w:rPr>
              <w:t>33.87</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79"/>
              <w:jc w:val="right"/>
              <w:rPr>
                <w:sz w:val="16"/>
              </w:rPr>
            </w:pPr>
            <w:r>
              <w:rPr>
                <w:w w:val="110"/>
                <w:sz w:val="16"/>
              </w:rPr>
              <w:t>508,659.12</w:t>
            </w:r>
          </w:p>
        </w:tc>
        <w:tc>
          <w:tcPr>
            <w:tcW w:w="857" w:type="dxa"/>
            <w:tcBorders>
              <w:top w:val="single" w:sz="8" w:space="0" w:color="D9D9D9"/>
              <w:left w:val="single" w:sz="8" w:space="0" w:color="D9D9D9"/>
              <w:bottom w:val="single" w:sz="8" w:space="0" w:color="D9D9D9"/>
              <w:right w:val="nil"/>
            </w:tcBorders>
          </w:tcPr>
          <w:p>
            <w:pPr>
              <w:pStyle w:val="TableParagraph"/>
              <w:spacing w:line="184" w:lineRule="exact" w:before="20"/>
              <w:ind w:right="85"/>
              <w:jc w:val="right"/>
              <w:rPr>
                <w:sz w:val="16"/>
              </w:rPr>
            </w:pPr>
            <w:r>
              <w:rPr>
                <w:w w:val="110"/>
                <w:sz w:val="16"/>
              </w:rPr>
              <w:t>1.25%</w:t>
            </w: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4" w:lineRule="exact" w:before="20"/>
              <w:ind w:left="122"/>
              <w:rPr>
                <w:sz w:val="16"/>
              </w:rPr>
            </w:pPr>
            <w:r>
              <w:rPr>
                <w:sz w:val="16"/>
              </w:rPr>
              <w:t>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4" w:lineRule="exact" w:before="20"/>
              <w:ind w:right="78"/>
              <w:jc w:val="right"/>
              <w:rPr>
                <w:sz w:val="16"/>
              </w:rPr>
            </w:pPr>
            <w:r>
              <w:rPr>
                <w:w w:val="110"/>
                <w:sz w:val="16"/>
              </w:rPr>
              <w:t>17,540,134.02</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4" w:lineRule="exact" w:before="20"/>
              <w:ind w:right="75"/>
              <w:jc w:val="right"/>
              <w:rPr>
                <w:sz w:val="16"/>
              </w:rPr>
            </w:pPr>
            <w:r>
              <w:rPr>
                <w:w w:val="110"/>
                <w:sz w:val="16"/>
              </w:rPr>
              <w:t>26,681,238.97</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4" w:lineRule="exact" w:before="20"/>
              <w:ind w:right="80"/>
              <w:jc w:val="right"/>
              <w:rPr>
                <w:sz w:val="16"/>
              </w:rPr>
            </w:pPr>
            <w:r>
              <w:rPr>
                <w:w w:val="110"/>
                <w:sz w:val="16"/>
              </w:rPr>
              <w:t>65.44%</w:t>
            </w:r>
          </w:p>
        </w:tc>
      </w:tr>
      <w:tr>
        <w:trPr>
          <w:trHeight w:val="224" w:hRule="atLeast"/>
        </w:trPr>
        <w:tc>
          <w:tcPr>
            <w:tcW w:w="11602" w:type="dxa"/>
            <w:gridSpan w:val="8"/>
            <w:tcBorders>
              <w:top w:val="single" w:sz="8" w:space="0" w:color="D9D9D9"/>
              <w:left w:val="nil"/>
              <w:bottom w:val="single" w:sz="8" w:space="0" w:color="D9D9D9"/>
              <w:right w:val="nil"/>
            </w:tcBorders>
            <w:shd w:val="clear" w:color="auto" w:fill="014612"/>
          </w:tcPr>
          <w:p>
            <w:pPr>
              <w:pStyle w:val="TableParagraph"/>
              <w:spacing w:line="184" w:lineRule="exact" w:before="20"/>
              <w:ind w:left="122"/>
              <w:rPr>
                <w:sz w:val="16"/>
              </w:rPr>
            </w:pPr>
            <w:r>
              <w:rPr>
                <w:color w:val="FFFFFF"/>
                <w:w w:val="110"/>
                <w:sz w:val="16"/>
              </w:rPr>
              <w:t>Fixed Income</w:t>
            </w:r>
          </w:p>
        </w:tc>
      </w:tr>
      <w:tr>
        <w:trPr>
          <w:trHeight w:val="363" w:hRule="atLeast"/>
        </w:trPr>
        <w:tc>
          <w:tcPr>
            <w:tcW w:w="3097" w:type="dxa"/>
            <w:tcBorders>
              <w:top w:val="single" w:sz="8" w:space="0" w:color="D9D9D9"/>
              <w:left w:val="nil"/>
              <w:bottom w:val="single" w:sz="8" w:space="0" w:color="D9D9D9"/>
              <w:right w:val="single" w:sz="8" w:space="0" w:color="D9D9D9"/>
            </w:tcBorders>
          </w:tcPr>
          <w:p>
            <w:pPr>
              <w:pStyle w:val="TableParagraph"/>
              <w:spacing w:line="180" w:lineRule="exact"/>
              <w:ind w:left="122"/>
              <w:rPr>
                <w:sz w:val="16"/>
              </w:rPr>
            </w:pPr>
            <w:r>
              <w:rPr>
                <w:sz w:val="16"/>
              </w:rPr>
              <w:t>VANGUARD TOTAL BOND MARKET</w:t>
            </w:r>
          </w:p>
          <w:p>
            <w:pPr>
              <w:pStyle w:val="TableParagraph"/>
              <w:spacing w:line="158" w:lineRule="exact" w:before="6"/>
              <w:ind w:left="122"/>
              <w:rPr>
                <w:sz w:val="16"/>
              </w:rPr>
            </w:pPr>
            <w:r>
              <w:rPr>
                <w:sz w:val="16"/>
              </w:rPr>
              <w:t>INDEX I</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90"/>
              <w:ind w:left="105"/>
              <w:rPr>
                <w:sz w:val="16"/>
              </w:rPr>
            </w:pPr>
            <w:r>
              <w:rPr>
                <w:sz w:val="16"/>
              </w:rPr>
              <w:t>VBTIX</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90"/>
              <w:ind w:right="83"/>
              <w:jc w:val="right"/>
              <w:rPr>
                <w:sz w:val="16"/>
              </w:rPr>
            </w:pPr>
            <w:r>
              <w:rPr>
                <w:w w:val="110"/>
                <w:sz w:val="16"/>
              </w:rPr>
              <w:t>983,368.76</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90"/>
              <w:ind w:left="374"/>
              <w:rPr>
                <w:sz w:val="16"/>
              </w:rPr>
            </w:pPr>
            <w:r>
              <w:rPr>
                <w:w w:val="115"/>
                <w:sz w:val="16"/>
              </w:rPr>
              <w:t>10.50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90"/>
              <w:ind w:right="84"/>
              <w:jc w:val="right"/>
              <w:rPr>
                <w:sz w:val="16"/>
              </w:rPr>
            </w:pPr>
            <w:r>
              <w:rPr>
                <w:w w:val="110"/>
                <w:sz w:val="16"/>
              </w:rPr>
              <w:t>10,320,870.10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90"/>
              <w:ind w:right="79"/>
              <w:jc w:val="right"/>
              <w:rPr>
                <w:sz w:val="16"/>
              </w:rPr>
            </w:pPr>
            <w:r>
              <w:rPr>
                <w:w w:val="110"/>
                <w:sz w:val="16"/>
              </w:rPr>
              <w:t>9.68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90"/>
              <w:ind w:right="79"/>
              <w:jc w:val="right"/>
              <w:rPr>
                <w:sz w:val="16"/>
              </w:rPr>
            </w:pPr>
            <w:r>
              <w:rPr>
                <w:w w:val="110"/>
                <w:sz w:val="16"/>
              </w:rPr>
              <w:t>9,519,009.55</w:t>
            </w:r>
          </w:p>
        </w:tc>
        <w:tc>
          <w:tcPr>
            <w:tcW w:w="857" w:type="dxa"/>
            <w:tcBorders>
              <w:top w:val="single" w:sz="8" w:space="0" w:color="D9D9D9"/>
              <w:left w:val="single" w:sz="8" w:space="0" w:color="D9D9D9"/>
              <w:bottom w:val="single" w:sz="8" w:space="0" w:color="D9D9D9"/>
              <w:right w:val="nil"/>
            </w:tcBorders>
          </w:tcPr>
          <w:p>
            <w:pPr>
              <w:pStyle w:val="TableParagraph"/>
              <w:spacing w:before="90"/>
              <w:ind w:right="85"/>
              <w:jc w:val="right"/>
              <w:rPr>
                <w:sz w:val="16"/>
              </w:rPr>
            </w:pPr>
            <w:r>
              <w:rPr>
                <w:w w:val="110"/>
                <w:sz w:val="16"/>
              </w:rPr>
              <w:t>23.35%</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4" w:lineRule="exact" w:before="20"/>
              <w:ind w:left="122"/>
              <w:rPr>
                <w:sz w:val="16"/>
              </w:rPr>
            </w:pPr>
            <w:r>
              <w:rPr>
                <w:w w:val="105"/>
                <w:sz w:val="16"/>
              </w:rPr>
              <w:t>ISHARES US TREASURY BOND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left="105"/>
              <w:rPr>
                <w:sz w:val="16"/>
              </w:rPr>
            </w:pPr>
            <w:r>
              <w:rPr>
                <w:sz w:val="16"/>
              </w:rPr>
              <w:t>GOVT</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85"/>
              <w:jc w:val="right"/>
              <w:rPr>
                <w:sz w:val="16"/>
              </w:rPr>
            </w:pPr>
            <w:r>
              <w:rPr>
                <w:w w:val="110"/>
                <w:sz w:val="16"/>
              </w:rPr>
              <w:t>45,260.00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left="374"/>
              <w:rPr>
                <w:sz w:val="16"/>
              </w:rPr>
            </w:pPr>
            <w:r>
              <w:rPr>
                <w:w w:val="115"/>
                <w:sz w:val="16"/>
              </w:rPr>
              <w:t>23.10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81"/>
              <w:jc w:val="right"/>
              <w:rPr>
                <w:sz w:val="16"/>
              </w:rPr>
            </w:pPr>
            <w:r>
              <w:rPr>
                <w:w w:val="110"/>
                <w:sz w:val="16"/>
              </w:rPr>
              <w:t>1,045,706.64</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79"/>
              <w:jc w:val="right"/>
              <w:rPr>
                <w:sz w:val="16"/>
              </w:rPr>
            </w:pPr>
            <w:r>
              <w:rPr>
                <w:w w:val="110"/>
                <w:sz w:val="16"/>
              </w:rPr>
              <w:t>22.98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79"/>
              <w:jc w:val="right"/>
              <w:rPr>
                <w:sz w:val="16"/>
              </w:rPr>
            </w:pPr>
            <w:r>
              <w:rPr>
                <w:w w:val="110"/>
                <w:sz w:val="16"/>
              </w:rPr>
              <w:t>1,040,074.80</w:t>
            </w:r>
          </w:p>
        </w:tc>
        <w:tc>
          <w:tcPr>
            <w:tcW w:w="857" w:type="dxa"/>
            <w:tcBorders>
              <w:top w:val="single" w:sz="8" w:space="0" w:color="D9D9D9"/>
              <w:left w:val="single" w:sz="8" w:space="0" w:color="D9D9D9"/>
              <w:bottom w:val="single" w:sz="8" w:space="0" w:color="D9D9D9"/>
              <w:right w:val="nil"/>
            </w:tcBorders>
          </w:tcPr>
          <w:p>
            <w:pPr>
              <w:pStyle w:val="TableParagraph"/>
              <w:spacing w:line="184" w:lineRule="exact" w:before="20"/>
              <w:ind w:right="85"/>
              <w:jc w:val="right"/>
              <w:rPr>
                <w:sz w:val="16"/>
              </w:rPr>
            </w:pPr>
            <w:r>
              <w:rPr>
                <w:w w:val="110"/>
                <w:sz w:val="16"/>
              </w:rPr>
              <w:t>2.55%</w:t>
            </w:r>
          </w:p>
        </w:tc>
      </w:tr>
    </w:tbl>
    <w:p>
      <w:pPr>
        <w:spacing w:after="0" w:line="184" w:lineRule="exact"/>
        <w:jc w:val="right"/>
        <w:rPr>
          <w:sz w:val="16"/>
        </w:rPr>
        <w:sectPr>
          <w:headerReference w:type="default" r:id="rId48"/>
          <w:footerReference w:type="default" r:id="rId49"/>
          <w:pgSz w:w="14400" w:h="10800" w:orient="landscape"/>
          <w:pgMar w:header="601" w:footer="1259" w:top="800" w:bottom="1440" w:left="20" w:right="40"/>
          <w:pgNumType w:start="15"/>
        </w:sectPr>
      </w:pPr>
    </w:p>
    <w:tbl>
      <w:tblPr>
        <w:tblW w:w="0" w:type="auto"/>
        <w:jc w:val="left"/>
        <w:tblInd w:w="8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6"/>
      </w:tblGrid>
      <w:tr>
        <w:trPr>
          <w:trHeight w:val="389" w:hRule="atLeast"/>
        </w:trPr>
        <w:tc>
          <w:tcPr>
            <w:tcW w:w="4486" w:type="dxa"/>
          </w:tcPr>
          <w:p>
            <w:pPr>
              <w:pStyle w:val="TableParagraph"/>
              <w:ind w:right="198"/>
              <w:jc w:val="right"/>
              <w:rPr>
                <w:sz w:val="28"/>
              </w:rPr>
            </w:pPr>
            <w:bookmarkStart w:name="Slide 16: Portfolio Holdings" w:id="22"/>
            <w:bookmarkEnd w:id="22"/>
            <w:r>
              <w:rPr/>
            </w:r>
            <w:r>
              <w:rPr>
                <w:w w:val="110"/>
                <w:sz w:val="28"/>
              </w:rPr>
              <w:t>CNY</w:t>
            </w:r>
            <w:r>
              <w:rPr>
                <w:spacing w:val="-60"/>
                <w:w w:val="110"/>
                <w:sz w:val="28"/>
              </w:rPr>
              <w:t> </w:t>
            </w:r>
            <w:r>
              <w:rPr>
                <w:w w:val="110"/>
                <w:sz w:val="28"/>
              </w:rPr>
              <w:t>Centro,</w:t>
            </w:r>
            <w:r>
              <w:rPr>
                <w:spacing w:val="-57"/>
                <w:w w:val="110"/>
                <w:sz w:val="28"/>
              </w:rPr>
              <w:t> </w:t>
            </w:r>
            <w:r>
              <w:rPr>
                <w:w w:val="110"/>
                <w:sz w:val="28"/>
              </w:rPr>
              <w:t>Inc.</w:t>
            </w:r>
            <w:r>
              <w:rPr>
                <w:spacing w:val="-58"/>
                <w:w w:val="110"/>
                <w:sz w:val="28"/>
              </w:rPr>
              <w:t> </w:t>
            </w:r>
            <w:r>
              <w:rPr>
                <w:w w:val="110"/>
                <w:sz w:val="28"/>
              </w:rPr>
              <w:t>Salaried</w:t>
            </w:r>
            <w:r>
              <w:rPr>
                <w:spacing w:val="-59"/>
                <w:w w:val="110"/>
                <w:sz w:val="28"/>
              </w:rPr>
              <w:t> </w:t>
            </w:r>
            <w:r>
              <w:rPr>
                <w:w w:val="110"/>
                <w:sz w:val="28"/>
              </w:rPr>
              <w:t>DB</w:t>
            </w:r>
            <w:r>
              <w:rPr>
                <w:spacing w:val="-57"/>
                <w:w w:val="110"/>
                <w:sz w:val="28"/>
              </w:rPr>
              <w:t> </w:t>
            </w:r>
            <w:r>
              <w:rPr>
                <w:w w:val="110"/>
                <w:sz w:val="28"/>
              </w:rPr>
              <w:t>Plan</w:t>
            </w:r>
          </w:p>
        </w:tc>
      </w:tr>
      <w:tr>
        <w:trPr>
          <w:trHeight w:val="363" w:hRule="atLeast"/>
        </w:trPr>
        <w:tc>
          <w:tcPr>
            <w:tcW w:w="4486" w:type="dxa"/>
          </w:tcPr>
          <w:p>
            <w:pPr>
              <w:pStyle w:val="TableParagraph"/>
              <w:spacing w:line="285" w:lineRule="exact" w:before="59"/>
              <w:ind w:right="201"/>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3"/>
        <w:rPr>
          <w:rFonts w:ascii="Gill Sans MT"/>
          <w:sz w:val="20"/>
        </w:rPr>
      </w:pPr>
    </w:p>
    <w:tbl>
      <w:tblPr>
        <w:tblW w:w="0" w:type="auto"/>
        <w:jc w:val="left"/>
        <w:tblInd w:w="11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3097"/>
        <w:gridCol w:w="1244"/>
        <w:gridCol w:w="1544"/>
        <w:gridCol w:w="886"/>
        <w:gridCol w:w="1544"/>
        <w:gridCol w:w="886"/>
        <w:gridCol w:w="1544"/>
        <w:gridCol w:w="857"/>
      </w:tblGrid>
      <w:tr>
        <w:trPr>
          <w:trHeight w:val="429" w:hRule="atLeast"/>
        </w:trPr>
        <w:tc>
          <w:tcPr>
            <w:tcW w:w="3097" w:type="dxa"/>
            <w:tcBorders>
              <w:left w:val="single" w:sz="8" w:space="0" w:color="D9D9D9"/>
              <w:bottom w:val="single" w:sz="8" w:space="0" w:color="D9D9D9"/>
              <w:right w:val="single" w:sz="8" w:space="0" w:color="D9D9D9"/>
            </w:tcBorders>
            <w:shd w:val="clear" w:color="auto" w:fill="014612"/>
          </w:tcPr>
          <w:p>
            <w:pPr>
              <w:pStyle w:val="TableParagraph"/>
              <w:spacing w:before="119"/>
              <w:ind w:left="1244" w:right="1218"/>
              <w:jc w:val="center"/>
              <w:rPr>
                <w:sz w:val="16"/>
              </w:rPr>
            </w:pPr>
            <w:r>
              <w:rPr>
                <w:color w:val="FFFFFF"/>
                <w:w w:val="110"/>
                <w:sz w:val="16"/>
              </w:rPr>
              <w:t>Security</w:t>
            </w:r>
          </w:p>
        </w:tc>
        <w:tc>
          <w:tcPr>
            <w:tcW w:w="1244" w:type="dxa"/>
            <w:tcBorders>
              <w:left w:val="single" w:sz="8" w:space="0" w:color="D9D9D9"/>
              <w:bottom w:val="single" w:sz="8" w:space="0" w:color="D9D9D9"/>
              <w:right w:val="single" w:sz="8" w:space="0" w:color="D9D9D9"/>
            </w:tcBorders>
            <w:shd w:val="clear" w:color="auto" w:fill="014612"/>
          </w:tcPr>
          <w:p>
            <w:pPr>
              <w:pStyle w:val="TableParagraph"/>
              <w:spacing w:before="119"/>
              <w:ind w:left="359"/>
              <w:rPr>
                <w:sz w:val="16"/>
              </w:rPr>
            </w:pPr>
            <w:r>
              <w:rPr>
                <w:color w:val="FFFFFF"/>
                <w:w w:val="115"/>
                <w:sz w:val="16"/>
              </w:rPr>
              <w:t>Symbol</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477"/>
              <w:rPr>
                <w:sz w:val="16"/>
              </w:rPr>
            </w:pPr>
            <w:r>
              <w:rPr>
                <w:color w:val="FFFFFF"/>
                <w:w w:val="105"/>
                <w:sz w:val="16"/>
              </w:rPr>
              <w:t>Quantity</w:t>
            </w:r>
          </w:p>
        </w:tc>
        <w:tc>
          <w:tcPr>
            <w:tcW w:w="886" w:type="dxa"/>
            <w:tcBorders>
              <w:left w:val="single" w:sz="8" w:space="0" w:color="D9D9D9"/>
              <w:bottom w:val="single" w:sz="8" w:space="0" w:color="D9D9D9"/>
              <w:right w:val="single" w:sz="8" w:space="0" w:color="D9D9D9"/>
            </w:tcBorders>
            <w:shd w:val="clear" w:color="auto" w:fill="014612"/>
          </w:tcPr>
          <w:p>
            <w:pPr>
              <w:pStyle w:val="TableParagraph"/>
              <w:spacing w:before="119"/>
              <w:ind w:left="2" w:right="-29"/>
              <w:rPr>
                <w:sz w:val="16"/>
              </w:rPr>
            </w:pPr>
            <w:r>
              <w:rPr>
                <w:color w:val="FFFFFF"/>
                <w:w w:val="105"/>
                <w:sz w:val="16"/>
              </w:rPr>
              <w:t>Unit Cost</w:t>
            </w:r>
            <w:r>
              <w:rPr>
                <w:color w:val="FFFFFF"/>
                <w:spacing w:val="-39"/>
                <w:w w:val="105"/>
                <w:sz w:val="16"/>
              </w:rPr>
              <w:t> </w:t>
            </w:r>
            <w:r>
              <w:rPr>
                <w:color w:val="FFFFFF"/>
                <w:w w:val="105"/>
                <w:sz w:val="16"/>
              </w:rPr>
              <w:t>($)</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292"/>
              <w:rPr>
                <w:sz w:val="16"/>
              </w:rPr>
            </w:pPr>
            <w:r>
              <w:rPr>
                <w:color w:val="FFFFFF"/>
                <w:w w:val="105"/>
                <w:sz w:val="16"/>
              </w:rPr>
              <w:t>Total Cost ($)</w:t>
            </w:r>
          </w:p>
        </w:tc>
        <w:tc>
          <w:tcPr>
            <w:tcW w:w="886" w:type="dxa"/>
            <w:tcBorders>
              <w:left w:val="single" w:sz="8" w:space="0" w:color="D9D9D9"/>
              <w:bottom w:val="single" w:sz="8" w:space="0" w:color="D9D9D9"/>
              <w:right w:val="single" w:sz="8" w:space="0" w:color="D9D9D9"/>
            </w:tcBorders>
            <w:shd w:val="clear" w:color="auto" w:fill="014612"/>
          </w:tcPr>
          <w:p>
            <w:pPr>
              <w:pStyle w:val="TableParagraph"/>
              <w:spacing w:before="119"/>
              <w:ind w:right="117"/>
              <w:jc w:val="right"/>
              <w:rPr>
                <w:sz w:val="16"/>
              </w:rPr>
            </w:pPr>
            <w:r>
              <w:rPr>
                <w:color w:val="FFFFFF"/>
                <w:w w:val="110"/>
                <w:sz w:val="16"/>
              </w:rPr>
              <w:t>Price ($)</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459"/>
              <w:rPr>
                <w:sz w:val="16"/>
              </w:rPr>
            </w:pPr>
            <w:r>
              <w:rPr>
                <w:color w:val="FFFFFF"/>
                <w:w w:val="110"/>
                <w:sz w:val="16"/>
              </w:rPr>
              <w:t>Value ($)</w:t>
            </w:r>
          </w:p>
        </w:tc>
        <w:tc>
          <w:tcPr>
            <w:tcW w:w="857" w:type="dxa"/>
            <w:tcBorders>
              <w:left w:val="single" w:sz="8" w:space="0" w:color="D9D9D9"/>
              <w:bottom w:val="single" w:sz="8" w:space="0" w:color="D9D9D9"/>
              <w:right w:val="nil"/>
            </w:tcBorders>
            <w:shd w:val="clear" w:color="auto" w:fill="014612"/>
          </w:tcPr>
          <w:p>
            <w:pPr>
              <w:pStyle w:val="TableParagraph"/>
              <w:spacing w:line="247" w:lineRule="auto" w:before="23"/>
              <w:ind w:left="128" w:right="17" w:hanging="60"/>
              <w:rPr>
                <w:sz w:val="16"/>
              </w:rPr>
            </w:pPr>
            <w:r>
              <w:rPr>
                <w:color w:val="FFFFFF"/>
                <w:w w:val="110"/>
                <w:sz w:val="16"/>
              </w:rPr>
              <w:t>Percent of Portfolio</w:t>
            </w:r>
          </w:p>
        </w:tc>
      </w:tr>
      <w:tr>
        <w:trPr>
          <w:trHeight w:val="171" w:hRule="atLeast"/>
        </w:trPr>
        <w:tc>
          <w:tcPr>
            <w:tcW w:w="3097" w:type="dxa"/>
            <w:tcBorders>
              <w:top w:val="single" w:sz="8" w:space="0" w:color="D9D9D9"/>
              <w:left w:val="nil"/>
              <w:bottom w:val="single" w:sz="8" w:space="0" w:color="D9D9D9"/>
              <w:right w:val="single" w:sz="8" w:space="0" w:color="D9D9D9"/>
            </w:tcBorders>
          </w:tcPr>
          <w:p>
            <w:pPr>
              <w:pStyle w:val="TableParagraph"/>
              <w:rPr>
                <w:rFonts w:ascii="Times New Roman"/>
                <w:sz w:val="10"/>
              </w:rPr>
            </w:pPr>
          </w:p>
        </w:tc>
        <w:tc>
          <w:tcPr>
            <w:tcW w:w="12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57" w:type="dxa"/>
            <w:tcBorders>
              <w:top w:val="single" w:sz="8" w:space="0" w:color="D9D9D9"/>
              <w:left w:val="single" w:sz="8" w:space="0" w:color="D9D9D9"/>
              <w:bottom w:val="single" w:sz="8" w:space="0" w:color="D9D9D9"/>
              <w:right w:val="nil"/>
            </w:tcBorders>
          </w:tcPr>
          <w:p>
            <w:pPr>
              <w:pStyle w:val="TableParagraph"/>
              <w:rPr>
                <w:rFonts w:ascii="Times New Roman"/>
                <w:sz w:val="10"/>
              </w:rPr>
            </w:pPr>
          </w:p>
        </w:tc>
      </w:tr>
      <w:tr>
        <w:trPr>
          <w:trHeight w:val="387" w:hRule="atLeast"/>
        </w:trPr>
        <w:tc>
          <w:tcPr>
            <w:tcW w:w="3097" w:type="dxa"/>
            <w:tcBorders>
              <w:top w:val="single" w:sz="8" w:space="0" w:color="D9D9D9"/>
              <w:left w:val="nil"/>
              <w:bottom w:val="single" w:sz="8" w:space="0" w:color="D9D9D9"/>
              <w:right w:val="single" w:sz="8" w:space="0" w:color="D9D9D9"/>
            </w:tcBorders>
          </w:tcPr>
          <w:p>
            <w:pPr>
              <w:pStyle w:val="TableParagraph"/>
              <w:spacing w:line="192" w:lineRule="exact"/>
              <w:ind w:left="122" w:right="639"/>
              <w:rPr>
                <w:sz w:val="16"/>
              </w:rPr>
            </w:pPr>
            <w:r>
              <w:rPr>
                <w:sz w:val="16"/>
              </w:rPr>
              <w:t>LEHMAN BROTHERS HOLDINGS </w:t>
            </w:r>
            <w:r>
              <w:rPr>
                <w:w w:val="105"/>
                <w:sz w:val="16"/>
              </w:rPr>
              <w:t>ESCROW 3.95% 12/29/2050</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101"/>
              <w:ind w:left="105"/>
              <w:rPr>
                <w:sz w:val="16"/>
              </w:rPr>
            </w:pPr>
            <w:r>
              <w:rPr>
                <w:w w:val="112"/>
                <w:sz w:val="16"/>
              </w:rPr>
              <w:t>525</w:t>
            </w:r>
            <w:r>
              <w:rPr>
                <w:spacing w:val="-1"/>
                <w:w w:val="121"/>
                <w:sz w:val="16"/>
              </w:rPr>
              <w:t>E</w:t>
            </w:r>
            <w:r>
              <w:rPr>
                <w:w w:val="121"/>
                <w:sz w:val="16"/>
              </w:rPr>
              <w:t>S</w:t>
            </w:r>
            <w:r>
              <w:rPr>
                <w:w w:val="92"/>
                <w:sz w:val="16"/>
              </w:rPr>
              <w:t>C</w:t>
            </w:r>
            <w:r>
              <w:rPr>
                <w:w w:val="112"/>
                <w:sz w:val="16"/>
              </w:rPr>
              <w:t>6</w:t>
            </w:r>
            <w:r>
              <w:rPr>
                <w:spacing w:val="-3"/>
                <w:w w:val="221"/>
                <w:sz w:val="16"/>
              </w:rPr>
              <w:t>J</w:t>
            </w:r>
            <w:r>
              <w:rPr>
                <w:w w:val="112"/>
                <w:sz w:val="16"/>
              </w:rPr>
              <w:t>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3"/>
              <w:jc w:val="right"/>
              <w:rPr>
                <w:sz w:val="16"/>
              </w:rPr>
            </w:pPr>
            <w:r>
              <w:rPr>
                <w:w w:val="110"/>
                <w:sz w:val="16"/>
              </w:rPr>
              <w:t>100,000.00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left="465"/>
              <w:rPr>
                <w:sz w:val="16"/>
              </w:rPr>
            </w:pPr>
            <w:r>
              <w:rPr>
                <w:w w:val="115"/>
                <w:sz w:val="16"/>
              </w:rPr>
              <w:t>0.52</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3"/>
              <w:jc w:val="right"/>
              <w:rPr>
                <w:sz w:val="16"/>
              </w:rPr>
            </w:pPr>
            <w:r>
              <w:rPr>
                <w:w w:val="110"/>
                <w:sz w:val="16"/>
              </w:rPr>
              <w:t>51,817.21</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0.00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45.00</w:t>
            </w:r>
          </w:p>
        </w:tc>
        <w:tc>
          <w:tcPr>
            <w:tcW w:w="857" w:type="dxa"/>
            <w:tcBorders>
              <w:top w:val="single" w:sz="8" w:space="0" w:color="D9D9D9"/>
              <w:left w:val="single" w:sz="8" w:space="0" w:color="D9D9D9"/>
              <w:bottom w:val="single" w:sz="8" w:space="0" w:color="D9D9D9"/>
              <w:right w:val="nil"/>
            </w:tcBorders>
          </w:tcPr>
          <w:p>
            <w:pPr>
              <w:pStyle w:val="TableParagraph"/>
              <w:spacing w:before="101"/>
              <w:ind w:right="85"/>
              <w:jc w:val="right"/>
              <w:rPr>
                <w:sz w:val="16"/>
              </w:rPr>
            </w:pPr>
            <w:r>
              <w:rPr>
                <w:w w:val="110"/>
                <w:sz w:val="16"/>
              </w:rPr>
              <w:t>0.00%</w:t>
            </w:r>
          </w:p>
        </w:tc>
      </w:tr>
      <w:tr>
        <w:trPr>
          <w:trHeight w:val="364" w:hRule="atLeast"/>
        </w:trPr>
        <w:tc>
          <w:tcPr>
            <w:tcW w:w="3097" w:type="dxa"/>
            <w:tcBorders>
              <w:top w:val="single" w:sz="8" w:space="0" w:color="D9D9D9"/>
              <w:left w:val="nil"/>
              <w:bottom w:val="single" w:sz="8" w:space="0" w:color="D9D9D9"/>
              <w:right w:val="single" w:sz="8" w:space="0" w:color="D9D9D9"/>
            </w:tcBorders>
          </w:tcPr>
          <w:p>
            <w:pPr>
              <w:pStyle w:val="TableParagraph"/>
              <w:spacing w:line="179" w:lineRule="exact"/>
              <w:ind w:left="122"/>
              <w:rPr>
                <w:sz w:val="16"/>
              </w:rPr>
            </w:pPr>
            <w:r>
              <w:rPr>
                <w:w w:val="105"/>
                <w:sz w:val="16"/>
              </w:rPr>
              <w:t>FHLMC GD POOL #G04527 5.5000%</w:t>
            </w:r>
          </w:p>
          <w:p>
            <w:pPr>
              <w:pStyle w:val="TableParagraph"/>
              <w:spacing w:line="159" w:lineRule="exact" w:before="6"/>
              <w:ind w:left="122"/>
              <w:rPr>
                <w:sz w:val="16"/>
              </w:rPr>
            </w:pPr>
            <w:r>
              <w:rPr>
                <w:w w:val="120"/>
                <w:sz w:val="16"/>
              </w:rPr>
              <w:t>7/1/2038</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89"/>
              <w:ind w:left="105"/>
              <w:rPr>
                <w:sz w:val="16"/>
              </w:rPr>
            </w:pPr>
            <w:r>
              <w:rPr>
                <w:w w:val="105"/>
                <w:sz w:val="16"/>
              </w:rPr>
              <w:t>31xxxxLG1</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3"/>
              <w:jc w:val="right"/>
              <w:rPr>
                <w:sz w:val="16"/>
              </w:rPr>
            </w:pPr>
            <w:r>
              <w:rPr>
                <w:w w:val="110"/>
                <w:sz w:val="16"/>
              </w:rPr>
              <w:t>0.78</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left="465"/>
              <w:rPr>
                <w:sz w:val="16"/>
              </w:rPr>
            </w:pPr>
            <w:r>
              <w:rPr>
                <w:w w:val="115"/>
                <w:sz w:val="16"/>
              </w:rPr>
              <w:t>1.12</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0"/>
              <w:jc w:val="right"/>
              <w:rPr>
                <w:sz w:val="16"/>
              </w:rPr>
            </w:pPr>
            <w:r>
              <w:rPr>
                <w:w w:val="110"/>
                <w:sz w:val="16"/>
              </w:rPr>
              <w:t>0.88</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right="79"/>
              <w:jc w:val="right"/>
              <w:rPr>
                <w:sz w:val="16"/>
              </w:rPr>
            </w:pPr>
            <w:r>
              <w:rPr>
                <w:w w:val="110"/>
                <w:sz w:val="16"/>
              </w:rPr>
              <w:t>1.03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79"/>
              <w:jc w:val="right"/>
              <w:rPr>
                <w:sz w:val="16"/>
              </w:rPr>
            </w:pPr>
            <w:r>
              <w:rPr>
                <w:w w:val="110"/>
                <w:sz w:val="16"/>
              </w:rPr>
              <w:t>0.80</w:t>
            </w:r>
          </w:p>
        </w:tc>
        <w:tc>
          <w:tcPr>
            <w:tcW w:w="857" w:type="dxa"/>
            <w:tcBorders>
              <w:top w:val="single" w:sz="8" w:space="0" w:color="D9D9D9"/>
              <w:left w:val="single" w:sz="8" w:space="0" w:color="D9D9D9"/>
              <w:bottom w:val="single" w:sz="8" w:space="0" w:color="D9D9D9"/>
              <w:right w:val="nil"/>
            </w:tcBorders>
          </w:tcPr>
          <w:p>
            <w:pPr>
              <w:pStyle w:val="TableParagraph"/>
              <w:spacing w:before="89"/>
              <w:ind w:right="85"/>
              <w:jc w:val="right"/>
              <w:rPr>
                <w:sz w:val="16"/>
              </w:rPr>
            </w:pPr>
            <w:r>
              <w:rPr>
                <w:w w:val="110"/>
                <w:sz w:val="16"/>
              </w:rPr>
              <w:t>0.00%</w:t>
            </w: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5" w:lineRule="exact" w:before="19"/>
              <w:ind w:left="122"/>
              <w:rPr>
                <w:sz w:val="16"/>
              </w:rPr>
            </w:pPr>
            <w:r>
              <w:rPr>
                <w:sz w:val="16"/>
              </w:rPr>
              <w:t>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78"/>
              <w:jc w:val="right"/>
              <w:rPr>
                <w:sz w:val="16"/>
              </w:rPr>
            </w:pPr>
            <w:r>
              <w:rPr>
                <w:w w:val="110"/>
                <w:sz w:val="16"/>
              </w:rPr>
              <w:t>11,418,394.83</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75"/>
              <w:jc w:val="right"/>
              <w:rPr>
                <w:sz w:val="16"/>
              </w:rPr>
            </w:pPr>
            <w:r>
              <w:rPr>
                <w:w w:val="110"/>
                <w:sz w:val="16"/>
              </w:rPr>
              <w:t>10,559,130.15</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5" w:lineRule="exact" w:before="19"/>
              <w:ind w:right="80"/>
              <w:jc w:val="right"/>
              <w:rPr>
                <w:sz w:val="16"/>
              </w:rPr>
            </w:pPr>
            <w:r>
              <w:rPr>
                <w:w w:val="110"/>
                <w:sz w:val="16"/>
              </w:rPr>
              <w:t>25.90%</w:t>
            </w:r>
          </w:p>
        </w:tc>
      </w:tr>
      <w:tr>
        <w:trPr>
          <w:trHeight w:val="224" w:hRule="atLeast"/>
        </w:trPr>
        <w:tc>
          <w:tcPr>
            <w:tcW w:w="11602" w:type="dxa"/>
            <w:gridSpan w:val="8"/>
            <w:tcBorders>
              <w:top w:val="single" w:sz="8" w:space="0" w:color="D9D9D9"/>
              <w:left w:val="nil"/>
              <w:bottom w:val="single" w:sz="8" w:space="0" w:color="D9D9D9"/>
              <w:right w:val="nil"/>
            </w:tcBorders>
            <w:shd w:val="clear" w:color="auto" w:fill="014612"/>
          </w:tcPr>
          <w:p>
            <w:pPr>
              <w:pStyle w:val="TableParagraph"/>
              <w:spacing w:line="185" w:lineRule="exact" w:before="19"/>
              <w:ind w:left="122"/>
              <w:rPr>
                <w:sz w:val="16"/>
              </w:rPr>
            </w:pPr>
            <w:r>
              <w:rPr>
                <w:color w:val="FFFFFF"/>
                <w:w w:val="110"/>
                <w:sz w:val="16"/>
              </w:rPr>
              <w:t>Real Return</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19"/>
              <w:ind w:left="122"/>
              <w:rPr>
                <w:sz w:val="16"/>
              </w:rPr>
            </w:pPr>
            <w:r>
              <w:rPr>
                <w:w w:val="105"/>
                <w:sz w:val="16"/>
              </w:rPr>
              <w:t>SCHWAB US TIPS</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left="105"/>
              <w:rPr>
                <w:sz w:val="16"/>
              </w:rPr>
            </w:pPr>
            <w:r>
              <w:rPr>
                <w:w w:val="110"/>
                <w:sz w:val="16"/>
              </w:rPr>
              <w:t>SCHP</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5"/>
              <w:jc w:val="right"/>
              <w:rPr>
                <w:sz w:val="16"/>
              </w:rPr>
            </w:pPr>
            <w:r>
              <w:rPr>
                <w:w w:val="110"/>
                <w:sz w:val="16"/>
              </w:rPr>
              <w:t>68,775.00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left="374"/>
              <w:rPr>
                <w:sz w:val="16"/>
              </w:rPr>
            </w:pPr>
            <w:r>
              <w:rPr>
                <w:w w:val="115"/>
                <w:sz w:val="16"/>
              </w:rPr>
              <w:t>28.14</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1"/>
              <w:jc w:val="right"/>
              <w:rPr>
                <w:sz w:val="16"/>
              </w:rPr>
            </w:pPr>
            <w:r>
              <w:rPr>
                <w:w w:val="110"/>
                <w:sz w:val="16"/>
              </w:rPr>
              <w:t>1,935,528.71</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79"/>
              <w:jc w:val="right"/>
              <w:rPr>
                <w:sz w:val="16"/>
              </w:rPr>
            </w:pPr>
            <w:r>
              <w:rPr>
                <w:w w:val="110"/>
                <w:sz w:val="16"/>
              </w:rPr>
              <w:t>26.68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79"/>
              <w:jc w:val="right"/>
              <w:rPr>
                <w:sz w:val="16"/>
              </w:rPr>
            </w:pPr>
            <w:r>
              <w:rPr>
                <w:w w:val="110"/>
                <w:sz w:val="16"/>
              </w:rPr>
              <w:t>1,834,917.00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19"/>
              <w:ind w:right="85"/>
              <w:jc w:val="right"/>
              <w:rPr>
                <w:sz w:val="16"/>
              </w:rPr>
            </w:pPr>
            <w:r>
              <w:rPr>
                <w:w w:val="110"/>
                <w:sz w:val="16"/>
              </w:rPr>
              <w:t>4.50%</w:t>
            </w:r>
          </w:p>
        </w:tc>
      </w:tr>
      <w:tr>
        <w:trPr>
          <w:trHeight w:val="387" w:hRule="atLeast"/>
        </w:trPr>
        <w:tc>
          <w:tcPr>
            <w:tcW w:w="3097" w:type="dxa"/>
            <w:tcBorders>
              <w:top w:val="single" w:sz="8" w:space="0" w:color="D9D9D9"/>
              <w:left w:val="nil"/>
              <w:bottom w:val="single" w:sz="8" w:space="0" w:color="D9D9D9"/>
              <w:right w:val="single" w:sz="8" w:space="0" w:color="D9D9D9"/>
            </w:tcBorders>
          </w:tcPr>
          <w:p>
            <w:pPr>
              <w:pStyle w:val="TableParagraph"/>
              <w:spacing w:line="192" w:lineRule="exact"/>
              <w:ind w:left="122" w:right="189"/>
              <w:rPr>
                <w:sz w:val="16"/>
              </w:rPr>
            </w:pPr>
            <w:r>
              <w:rPr>
                <w:sz w:val="16"/>
              </w:rPr>
              <w:t>VANGUARD SHORT-TERM INFLATION </w:t>
            </w:r>
            <w:r>
              <w:rPr>
                <w:w w:val="105"/>
                <w:sz w:val="16"/>
              </w:rPr>
              <w:t>PROTECTED SECS</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101"/>
              <w:ind w:left="105"/>
              <w:rPr>
                <w:sz w:val="16"/>
              </w:rPr>
            </w:pPr>
            <w:r>
              <w:rPr>
                <w:w w:val="110"/>
                <w:sz w:val="16"/>
              </w:rPr>
              <w:t>VTIP</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5"/>
              <w:jc w:val="right"/>
              <w:rPr>
                <w:sz w:val="16"/>
              </w:rPr>
            </w:pPr>
            <w:r>
              <w:rPr>
                <w:w w:val="110"/>
                <w:sz w:val="16"/>
              </w:rPr>
              <w:t>20,235.00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left="374"/>
              <w:rPr>
                <w:sz w:val="16"/>
              </w:rPr>
            </w:pPr>
            <w:r>
              <w:rPr>
                <w:w w:val="115"/>
                <w:sz w:val="16"/>
              </w:rPr>
              <w:t>48.97</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1"/>
              <w:jc w:val="right"/>
              <w:rPr>
                <w:sz w:val="16"/>
              </w:rPr>
            </w:pPr>
            <w:r>
              <w:rPr>
                <w:w w:val="110"/>
                <w:sz w:val="16"/>
              </w:rPr>
              <w:t>990,850.81</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50.27</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1,017,213.45</w:t>
            </w:r>
          </w:p>
        </w:tc>
        <w:tc>
          <w:tcPr>
            <w:tcW w:w="857" w:type="dxa"/>
            <w:tcBorders>
              <w:top w:val="single" w:sz="8" w:space="0" w:color="D9D9D9"/>
              <w:left w:val="single" w:sz="8" w:space="0" w:color="D9D9D9"/>
              <w:bottom w:val="single" w:sz="8" w:space="0" w:color="D9D9D9"/>
              <w:right w:val="nil"/>
            </w:tcBorders>
          </w:tcPr>
          <w:p>
            <w:pPr>
              <w:pStyle w:val="TableParagraph"/>
              <w:spacing w:before="101"/>
              <w:ind w:right="85"/>
              <w:jc w:val="right"/>
              <w:rPr>
                <w:sz w:val="16"/>
              </w:rPr>
            </w:pPr>
            <w:r>
              <w:rPr>
                <w:w w:val="110"/>
                <w:sz w:val="16"/>
              </w:rPr>
              <w:t>2.49%</w:t>
            </w: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5" w:lineRule="exact" w:before="20"/>
              <w:ind w:left="122"/>
              <w:rPr>
                <w:sz w:val="16"/>
              </w:rPr>
            </w:pPr>
            <w:r>
              <w:rPr>
                <w:sz w:val="16"/>
              </w:rPr>
              <w:t>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20"/>
              <w:ind w:right="80"/>
              <w:jc w:val="right"/>
              <w:rPr>
                <w:sz w:val="16"/>
              </w:rPr>
            </w:pPr>
            <w:r>
              <w:rPr>
                <w:w w:val="110"/>
                <w:sz w:val="16"/>
              </w:rPr>
              <w:t>2,926,379.52</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20"/>
              <w:ind w:right="78"/>
              <w:jc w:val="right"/>
              <w:rPr>
                <w:sz w:val="16"/>
              </w:rPr>
            </w:pPr>
            <w:r>
              <w:rPr>
                <w:w w:val="110"/>
                <w:sz w:val="16"/>
              </w:rPr>
              <w:t>2,852,130.45</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5" w:lineRule="exact" w:before="20"/>
              <w:ind w:right="82"/>
              <w:jc w:val="right"/>
              <w:rPr>
                <w:sz w:val="16"/>
              </w:rPr>
            </w:pPr>
            <w:r>
              <w:rPr>
                <w:w w:val="110"/>
                <w:sz w:val="16"/>
              </w:rPr>
              <w:t>6.99%</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rPr>
                <w:rFonts w:ascii="Times New Roman"/>
                <w:sz w:val="16"/>
              </w:rPr>
            </w:pPr>
          </w:p>
        </w:tc>
        <w:tc>
          <w:tcPr>
            <w:tcW w:w="12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857" w:type="dxa"/>
            <w:tcBorders>
              <w:top w:val="single" w:sz="8" w:space="0" w:color="D9D9D9"/>
              <w:left w:val="single" w:sz="8" w:space="0" w:color="D9D9D9"/>
              <w:bottom w:val="single" w:sz="8" w:space="0" w:color="D9D9D9"/>
              <w:right w:val="nil"/>
            </w:tcBorders>
          </w:tcPr>
          <w:p>
            <w:pPr>
              <w:pStyle w:val="TableParagraph"/>
              <w:rPr>
                <w:rFonts w:ascii="Times New Roman"/>
                <w:sz w:val="16"/>
              </w:rPr>
            </w:pP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4" w:lineRule="exact" w:before="20"/>
              <w:ind w:left="122"/>
              <w:rPr>
                <w:sz w:val="16"/>
              </w:rPr>
            </w:pPr>
            <w:r>
              <w:rPr>
                <w:sz w:val="16"/>
              </w:rPr>
              <w:t>GRAND 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4" w:lineRule="exact" w:before="20"/>
              <w:ind w:right="78"/>
              <w:jc w:val="right"/>
              <w:rPr>
                <w:sz w:val="16"/>
              </w:rPr>
            </w:pPr>
            <w:r>
              <w:rPr>
                <w:w w:val="110"/>
                <w:sz w:val="16"/>
              </w:rPr>
              <w:t>32,566,372.31</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4" w:lineRule="exact" w:before="20"/>
              <w:ind w:right="75"/>
              <w:jc w:val="right"/>
              <w:rPr>
                <w:sz w:val="16"/>
              </w:rPr>
            </w:pPr>
            <w:r>
              <w:rPr>
                <w:w w:val="110"/>
                <w:sz w:val="16"/>
              </w:rPr>
              <w:t>40,773,963.51</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4" w:lineRule="exact" w:before="20"/>
              <w:ind w:right="82"/>
              <w:jc w:val="right"/>
              <w:rPr>
                <w:sz w:val="16"/>
              </w:rPr>
            </w:pPr>
            <w:r>
              <w:rPr>
                <w:w w:val="110"/>
                <w:sz w:val="16"/>
              </w:rPr>
              <w:t>100.00%</w:t>
            </w:r>
          </w:p>
        </w:tc>
      </w:tr>
    </w:tbl>
    <w:p>
      <w:pPr>
        <w:spacing w:after="0" w:line="184" w:lineRule="exact"/>
        <w:jc w:val="right"/>
        <w:rPr>
          <w:sz w:val="16"/>
        </w:rPr>
        <w:sectPr>
          <w:pgSz w:w="14400" w:h="10800" w:orient="landscape"/>
          <w:pgMar w:header="601" w:footer="1259" w:top="800" w:bottom="1440" w:left="20" w:right="40"/>
        </w:sectPr>
      </w:pPr>
    </w:p>
    <w:tbl>
      <w:tblPr>
        <w:tblW w:w="0" w:type="auto"/>
        <w:jc w:val="left"/>
        <w:tblInd w:w="7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2"/>
      </w:tblGrid>
      <w:tr>
        <w:trPr>
          <w:trHeight w:val="389" w:hRule="atLeast"/>
        </w:trPr>
        <w:tc>
          <w:tcPr>
            <w:tcW w:w="5532" w:type="dxa"/>
          </w:tcPr>
          <w:p>
            <w:pPr>
              <w:pStyle w:val="TableParagraph"/>
              <w:ind w:right="198"/>
              <w:jc w:val="right"/>
              <w:rPr>
                <w:sz w:val="28"/>
              </w:rPr>
            </w:pPr>
            <w:bookmarkStart w:name="Slide 17: Overall Portfolio" w:id="23"/>
            <w:bookmarkEnd w:id="23"/>
            <w:r>
              <w:rPr/>
            </w:r>
            <w:r>
              <w:rPr>
                <w:w w:val="110"/>
                <w:sz w:val="28"/>
              </w:rPr>
              <w:t>CNY</w:t>
            </w:r>
            <w:r>
              <w:rPr>
                <w:spacing w:val="-56"/>
                <w:w w:val="110"/>
                <w:sz w:val="28"/>
              </w:rPr>
              <w:t> </w:t>
            </w:r>
            <w:r>
              <w:rPr>
                <w:w w:val="110"/>
                <w:sz w:val="28"/>
              </w:rPr>
              <w:t>Centro,</w:t>
            </w:r>
            <w:r>
              <w:rPr>
                <w:spacing w:val="-54"/>
                <w:w w:val="110"/>
                <w:sz w:val="28"/>
              </w:rPr>
              <w:t> </w:t>
            </w:r>
            <w:r>
              <w:rPr>
                <w:w w:val="110"/>
                <w:sz w:val="28"/>
              </w:rPr>
              <w:t>Inc.</w:t>
            </w:r>
            <w:r>
              <w:rPr>
                <w:spacing w:val="-54"/>
                <w:w w:val="110"/>
                <w:sz w:val="28"/>
              </w:rPr>
              <w:t> </w:t>
            </w:r>
            <w:r>
              <w:rPr>
                <w:w w:val="110"/>
                <w:sz w:val="28"/>
              </w:rPr>
              <w:t>Utica</w:t>
            </w:r>
            <w:r>
              <w:rPr>
                <w:spacing w:val="-55"/>
                <w:w w:val="110"/>
                <w:sz w:val="28"/>
              </w:rPr>
              <w:t> </w:t>
            </w:r>
            <w:r>
              <w:rPr>
                <w:spacing w:val="-3"/>
                <w:w w:val="110"/>
                <w:sz w:val="28"/>
              </w:rPr>
              <w:t>Employees</w:t>
            </w:r>
            <w:r>
              <w:rPr>
                <w:spacing w:val="-56"/>
                <w:w w:val="110"/>
                <w:sz w:val="28"/>
              </w:rPr>
              <w:t> </w:t>
            </w:r>
            <w:r>
              <w:rPr>
                <w:w w:val="110"/>
                <w:sz w:val="28"/>
              </w:rPr>
              <w:t>DB</w:t>
            </w:r>
            <w:r>
              <w:rPr>
                <w:spacing w:val="-54"/>
                <w:w w:val="110"/>
                <w:sz w:val="28"/>
              </w:rPr>
              <w:t> </w:t>
            </w:r>
            <w:r>
              <w:rPr>
                <w:w w:val="110"/>
                <w:sz w:val="28"/>
              </w:rPr>
              <w:t>Plan</w:t>
            </w:r>
          </w:p>
        </w:tc>
      </w:tr>
      <w:tr>
        <w:trPr>
          <w:trHeight w:val="363" w:hRule="atLeast"/>
        </w:trPr>
        <w:tc>
          <w:tcPr>
            <w:tcW w:w="5532" w:type="dxa"/>
          </w:tcPr>
          <w:p>
            <w:pPr>
              <w:pStyle w:val="TableParagraph"/>
              <w:spacing w:line="285" w:lineRule="exact" w:before="59"/>
              <w:ind w:right="202"/>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spacing w:before="9"/>
        <w:rPr>
          <w:rFonts w:ascii="Gill Sans MT"/>
          <w:sz w:val="17"/>
        </w:rPr>
      </w:pPr>
    </w:p>
    <w:p>
      <w:pPr>
        <w:spacing w:before="99"/>
        <w:ind w:left="7056" w:right="0" w:firstLine="0"/>
        <w:jc w:val="left"/>
        <w:rPr>
          <w:rFonts w:ascii="Gill Sans MT"/>
          <w:sz w:val="20"/>
        </w:rPr>
      </w:pPr>
      <w:r>
        <w:rPr>
          <w:rFonts w:ascii="Gill Sans MT"/>
          <w:w w:val="110"/>
          <w:sz w:val="20"/>
        </w:rPr>
        <w:t>Cash: 2.5%</w:t>
      </w:r>
    </w:p>
    <w:p>
      <w:pPr>
        <w:spacing w:before="13"/>
        <w:ind w:left="7044" w:right="0" w:firstLine="0"/>
        <w:jc w:val="left"/>
        <w:rPr>
          <w:rFonts w:ascii="Gill Sans MT"/>
          <w:sz w:val="20"/>
        </w:rPr>
      </w:pPr>
      <w:r>
        <w:rPr>
          <w:rFonts w:ascii="Gill Sans MT"/>
          <w:w w:val="115"/>
          <w:sz w:val="20"/>
        </w:rPr>
        <w:t>(IPS Range: 0%-12%)</w:t>
      </w:r>
    </w:p>
    <w:p>
      <w:pPr>
        <w:pStyle w:val="BodyText"/>
        <w:spacing w:before="3"/>
        <w:rPr>
          <w:rFonts w:ascii="Gill Sans MT"/>
          <w:sz w:val="23"/>
        </w:rPr>
      </w:pPr>
    </w:p>
    <w:p>
      <w:pPr>
        <w:spacing w:after="0"/>
        <w:rPr>
          <w:rFonts w:ascii="Gill Sans MT"/>
          <w:sz w:val="23"/>
        </w:rPr>
        <w:sectPr>
          <w:headerReference w:type="default" r:id="rId50"/>
          <w:footerReference w:type="default" r:id="rId51"/>
          <w:pgSz w:w="14400" w:h="10800" w:orient="landscape"/>
          <w:pgMar w:header="601" w:footer="1505" w:top="800" w:bottom="1700" w:left="20" w:right="40"/>
          <w:pgNumType w:start="17"/>
        </w:sectPr>
      </w:pPr>
    </w:p>
    <w:p>
      <w:pPr>
        <w:spacing w:before="99"/>
        <w:ind w:left="2724" w:right="0" w:firstLine="0"/>
        <w:jc w:val="left"/>
        <w:rPr>
          <w:rFonts w:ascii="Gill Sans MT"/>
          <w:sz w:val="20"/>
        </w:rPr>
      </w:pPr>
      <w:r>
        <w:rPr/>
        <w:pict>
          <v:group style="position:absolute;margin-left:224.75pt;margin-top:-7.238022pt;width:270.4pt;height:270.2pt;mso-position-horizontal-relative:page;mso-position-vertical-relative:paragraph;z-index:-267014144" coordorigin="4495,-145" coordsize="5408,5404">
            <v:shape style="position:absolute;left:7202;top:-145;width:428;height:2680" coordorigin="7202,-145" coordsize="428,2680" path="m7202,-145l7202,2535,7629,-111,7544,-123,7459,-132,7374,-139,7288,-143,7202,-145xe" filled="true" fillcolor="#000000" stroked="false">
              <v:path arrowok="t"/>
              <v:fill type="solid"/>
            </v:shape>
            <v:shape style="position:absolute;left:4816;top:-68;width:5086;height:5327" coordorigin="4816,-68" coordsize="5086,5327" path="m7649,-68l7222,2578,4816,3760,4852,3830,4890,3899,4930,3967,4971,4033,5014,4098,5059,4161,5106,4223,5154,4283,5204,4342,5256,4400,5309,4455,5364,4510,5420,4562,5477,4613,5536,4662,5597,4709,5658,4755,5721,4799,5786,4841,5851,4881,5918,4920,5986,4956,6054,4991,6124,5023,6195,5054,6267,5082,6340,5109,6414,5133,6488,5156,6564,5176,6640,5194,6717,5210,6794,5224,6870,5235,6945,5244,7020,5251,7095,5255,7170,5258,7244,5258,7318,5257,7391,5253,7464,5248,7537,5240,7609,5231,7681,5219,7752,5206,7823,5191,7893,5173,7962,5154,8031,5134,8098,5111,8166,5087,8232,5061,8298,5033,8363,5003,8427,4972,8490,4939,8552,4905,8613,4869,8673,4831,8732,4792,8790,4751,8847,4709,8903,4665,8958,4620,9011,4573,9064,4525,9115,4475,9164,4425,9213,4372,9260,4319,9306,4264,9350,4208,9393,4150,9434,4092,9474,4032,9512,3971,9549,3909,9584,3845,9617,3781,9649,3715,9679,3649,9707,3581,9734,3513,9759,3443,9782,3372,9803,3301,9822,3228,9839,3155,9854,3080,9867,3005,9879,2930,9887,2854,9894,2779,9899,2704,9902,2630,9902,2556,9900,2482,9897,2408,9891,2335,9884,2262,9874,2190,9863,2119,9849,2047,9834,1977,9817,1907,9798,1838,9777,1769,9755,1701,9730,1634,9704,1567,9676,1502,9647,1437,9616,1373,9583,1310,9548,1248,9512,1187,9475,1126,9435,1067,9395,1009,9352,952,9308,896,9263,842,9217,788,9168,736,9119,685,9068,635,9016,587,8962,540,8907,494,8851,450,8794,407,8735,366,8675,326,8614,288,8552,251,8489,216,8424,182,8359,151,8292,120,8225,92,8156,66,8086,41,8016,18,7944,-3,7872,-22,7798,-39,7724,-55,7649,-68xe" filled="true" fillcolor="#014612" stroked="false">
              <v:path arrowok="t"/>
              <v:fill type="solid"/>
            </v:shape>
            <v:shape style="position:absolute;left:4495;top:2568;width:2679;height:1183" coordorigin="4495,2568" coordsize="2679,1183" path="m7174,2568l4495,2647,4499,2729,4505,2811,4514,2893,4525,2974,4538,3054,4554,3134,4573,3214,4594,3293,4617,3371,4643,3449,4671,3525,4701,3601,4734,3676,4769,3751,7174,2568xe" filled="true" fillcolor="#432a8d" stroked="false">
              <v:path arrowok="t"/>
              <v:fill type="solid"/>
            </v:shape>
            <v:shape style="position:absolute;left:4500;top:-137;width:2681;height:2759" coordorigin="4501,-137" coordsize="2681,2759" path="m7181,-137l7102,-136,7026,-132,6950,-127,6875,-119,6800,-110,6727,-98,6654,-85,6581,-69,6510,-52,6439,-33,6369,-12,6300,11,6232,36,6165,63,6098,91,6033,121,5968,153,5905,186,5842,221,5781,258,5720,296,5661,335,5603,377,5546,419,5490,463,5436,509,5383,556,5331,604,5280,654,5231,705,5183,757,5136,811,5091,865,5047,921,5005,978,4964,1037,4925,1096,4887,1156,4851,1218,4816,1280,4783,1344,4752,1408,4723,1474,4695,1540,4669,1607,4644,1675,4622,1744,4601,1813,4582,1884,4565,1955,4550,2027,4537,2099,4526,2172,4517,2246,4510,2320,4505,2395,4502,2470,4501,2546,4502,2622,7181,2543,7181,-137xe" filled="true" fillcolor="#001f5f" stroked="false">
              <v:path arrowok="t"/>
              <v:fill type="solid"/>
            </v:shape>
            <w10:wrap type="none"/>
          </v:group>
        </w:pict>
      </w:r>
      <w:r>
        <w:rPr>
          <w:rFonts w:ascii="Gill Sans MT"/>
          <w:w w:val="110"/>
          <w:sz w:val="20"/>
        </w:rPr>
        <w:t>Fixed Income: 25.5%</w:t>
      </w:r>
    </w:p>
    <w:p>
      <w:pPr>
        <w:spacing w:before="9"/>
        <w:ind w:left="2679" w:right="0" w:firstLine="0"/>
        <w:jc w:val="left"/>
        <w:rPr>
          <w:rFonts w:ascii="Gill Sans MT"/>
          <w:sz w:val="20"/>
        </w:rPr>
      </w:pPr>
      <w:r>
        <w:rPr>
          <w:rFonts w:ascii="Gill Sans MT"/>
          <w:w w:val="110"/>
          <w:sz w:val="20"/>
        </w:rPr>
        <w:t>(IPS Range: 15%-35%)</w:t>
      </w:r>
    </w:p>
    <w:p>
      <w:pPr>
        <w:pStyle w:val="BodyText"/>
        <w:rPr>
          <w:rFonts w:ascii="Gill Sans MT"/>
          <w:sz w:val="22"/>
        </w:rPr>
      </w:pPr>
      <w:r>
        <w:rPr/>
        <w:br w:type="column"/>
      </w:r>
      <w:r>
        <w:rPr>
          <w:rFonts w:ascii="Gill Sans MT"/>
          <w:sz w:val="22"/>
        </w:rPr>
      </w:r>
    </w:p>
    <w:p>
      <w:pPr>
        <w:spacing w:before="138"/>
        <w:ind w:left="2719" w:right="0" w:firstLine="0"/>
        <w:jc w:val="left"/>
        <w:rPr>
          <w:rFonts w:ascii="Gill Sans MT"/>
          <w:sz w:val="20"/>
        </w:rPr>
      </w:pPr>
      <w:r>
        <w:rPr>
          <w:rFonts w:ascii="Gill Sans MT"/>
          <w:w w:val="110"/>
          <w:sz w:val="20"/>
        </w:rPr>
        <w:t>Equity: 65.2%</w:t>
      </w:r>
    </w:p>
    <w:p>
      <w:pPr>
        <w:spacing w:before="16"/>
        <w:ind w:left="2679" w:right="0" w:firstLine="0"/>
        <w:jc w:val="left"/>
        <w:rPr>
          <w:rFonts w:ascii="Gill Sans MT"/>
          <w:sz w:val="20"/>
        </w:rPr>
      </w:pPr>
      <w:r>
        <w:rPr>
          <w:rFonts w:ascii="Gill Sans MT"/>
          <w:w w:val="110"/>
          <w:sz w:val="20"/>
        </w:rPr>
        <w:t>(IPS Range: 51%-71%)</w:t>
      </w:r>
    </w:p>
    <w:p>
      <w:pPr>
        <w:spacing w:after="0"/>
        <w:jc w:val="left"/>
        <w:rPr>
          <w:rFonts w:ascii="Gill Sans MT"/>
          <w:sz w:val="20"/>
        </w:rPr>
        <w:sectPr>
          <w:type w:val="continuous"/>
          <w:pgSz w:w="14400" w:h="10800" w:orient="landscape"/>
          <w:pgMar w:top="180" w:bottom="280" w:left="20" w:right="40"/>
          <w:cols w:num="2" w:equalWidth="0">
            <w:col w:w="4661" w:space="2505"/>
            <w:col w:w="7174"/>
          </w:cols>
        </w:sect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2"/>
        <w:rPr>
          <w:rFonts w:ascii="Gill Sans MT"/>
          <w:sz w:val="20"/>
        </w:rPr>
      </w:pPr>
    </w:p>
    <w:p>
      <w:pPr>
        <w:spacing w:line="247" w:lineRule="auto" w:before="0"/>
        <w:ind w:left="2363" w:right="10059" w:hanging="438"/>
        <w:jc w:val="left"/>
        <w:rPr>
          <w:rFonts w:ascii="Gill Sans MT"/>
          <w:sz w:val="20"/>
        </w:rPr>
      </w:pPr>
      <w:r>
        <w:rPr>
          <w:rFonts w:ascii="Gill Sans MT"/>
          <w:w w:val="115"/>
          <w:sz w:val="20"/>
        </w:rPr>
        <w:t>Real Return Assets: 6.8% (IPS Range: 2%-22%)</w:t>
      </w:r>
    </w:p>
    <w:p>
      <w:pPr>
        <w:spacing w:after="0" w:line="247" w:lineRule="auto"/>
        <w:jc w:val="left"/>
        <w:rPr>
          <w:rFonts w:ascii="Gill Sans MT"/>
          <w:sz w:val="20"/>
        </w:rPr>
        <w:sectPr>
          <w:type w:val="continuous"/>
          <w:pgSz w:w="14400" w:h="10800" w:orient="landscape"/>
          <w:pgMar w:top="180" w:bottom="280" w:left="20" w:right="40"/>
        </w:sectPr>
      </w:pPr>
    </w:p>
    <w:tbl>
      <w:tblPr>
        <w:tblW w:w="0" w:type="auto"/>
        <w:jc w:val="left"/>
        <w:tblInd w:w="7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2"/>
      </w:tblGrid>
      <w:tr>
        <w:trPr>
          <w:trHeight w:val="389" w:hRule="atLeast"/>
        </w:trPr>
        <w:tc>
          <w:tcPr>
            <w:tcW w:w="5532" w:type="dxa"/>
          </w:tcPr>
          <w:p>
            <w:pPr>
              <w:pStyle w:val="TableParagraph"/>
              <w:ind w:right="198"/>
              <w:jc w:val="right"/>
              <w:rPr>
                <w:sz w:val="28"/>
              </w:rPr>
            </w:pPr>
            <w:bookmarkStart w:name="Slide 18: Equity" w:id="24"/>
            <w:bookmarkEnd w:id="24"/>
            <w:r>
              <w:rPr/>
            </w:r>
            <w:r>
              <w:rPr>
                <w:w w:val="110"/>
                <w:sz w:val="28"/>
              </w:rPr>
              <w:t>CNY</w:t>
            </w:r>
            <w:r>
              <w:rPr>
                <w:spacing w:val="-56"/>
                <w:w w:val="110"/>
                <w:sz w:val="28"/>
              </w:rPr>
              <w:t> </w:t>
            </w:r>
            <w:r>
              <w:rPr>
                <w:w w:val="110"/>
                <w:sz w:val="28"/>
              </w:rPr>
              <w:t>Centro,</w:t>
            </w:r>
            <w:r>
              <w:rPr>
                <w:spacing w:val="-54"/>
                <w:w w:val="110"/>
                <w:sz w:val="28"/>
              </w:rPr>
              <w:t> </w:t>
            </w:r>
            <w:r>
              <w:rPr>
                <w:w w:val="110"/>
                <w:sz w:val="28"/>
              </w:rPr>
              <w:t>Inc.</w:t>
            </w:r>
            <w:r>
              <w:rPr>
                <w:spacing w:val="-54"/>
                <w:w w:val="110"/>
                <w:sz w:val="28"/>
              </w:rPr>
              <w:t> </w:t>
            </w:r>
            <w:r>
              <w:rPr>
                <w:w w:val="110"/>
                <w:sz w:val="28"/>
              </w:rPr>
              <w:t>Utica</w:t>
            </w:r>
            <w:r>
              <w:rPr>
                <w:spacing w:val="-55"/>
                <w:w w:val="110"/>
                <w:sz w:val="28"/>
              </w:rPr>
              <w:t> </w:t>
            </w:r>
            <w:r>
              <w:rPr>
                <w:spacing w:val="-3"/>
                <w:w w:val="110"/>
                <w:sz w:val="28"/>
              </w:rPr>
              <w:t>Employees</w:t>
            </w:r>
            <w:r>
              <w:rPr>
                <w:spacing w:val="-56"/>
                <w:w w:val="110"/>
                <w:sz w:val="28"/>
              </w:rPr>
              <w:t> </w:t>
            </w:r>
            <w:r>
              <w:rPr>
                <w:w w:val="110"/>
                <w:sz w:val="28"/>
              </w:rPr>
              <w:t>DB</w:t>
            </w:r>
            <w:r>
              <w:rPr>
                <w:spacing w:val="-54"/>
                <w:w w:val="110"/>
                <w:sz w:val="28"/>
              </w:rPr>
              <w:t> </w:t>
            </w:r>
            <w:r>
              <w:rPr>
                <w:w w:val="110"/>
                <w:sz w:val="28"/>
              </w:rPr>
              <w:t>Plan</w:t>
            </w:r>
          </w:p>
        </w:tc>
      </w:tr>
      <w:tr>
        <w:trPr>
          <w:trHeight w:val="363" w:hRule="atLeast"/>
        </w:trPr>
        <w:tc>
          <w:tcPr>
            <w:tcW w:w="5532" w:type="dxa"/>
          </w:tcPr>
          <w:p>
            <w:pPr>
              <w:pStyle w:val="TableParagraph"/>
              <w:spacing w:line="285" w:lineRule="exact" w:before="59"/>
              <w:ind w:right="202"/>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spacing w:before="6"/>
        <w:rPr>
          <w:rFonts w:ascii="Gill Sans MT"/>
          <w:sz w:val="29"/>
        </w:rPr>
      </w:pPr>
    </w:p>
    <w:p>
      <w:pPr>
        <w:spacing w:after="0"/>
        <w:rPr>
          <w:rFonts w:ascii="Gill Sans MT"/>
          <w:sz w:val="29"/>
        </w:rPr>
        <w:sectPr>
          <w:headerReference w:type="default" r:id="rId52"/>
          <w:footerReference w:type="default" r:id="rId53"/>
          <w:pgSz w:w="14400" w:h="10800" w:orient="landscape"/>
          <w:pgMar w:header="601" w:footer="1505" w:top="800" w:bottom="1700" w:left="20" w:right="40"/>
          <w:pgNumType w:start="18"/>
        </w:sectPr>
      </w:pPr>
    </w:p>
    <w:p>
      <w:pPr>
        <w:tabs>
          <w:tab w:pos="5839" w:val="left" w:leader="none"/>
        </w:tabs>
        <w:spacing w:before="99"/>
        <w:ind w:left="3850" w:right="0" w:firstLine="0"/>
        <w:jc w:val="left"/>
        <w:rPr>
          <w:rFonts w:ascii="Gill Sans MT"/>
          <w:sz w:val="18"/>
        </w:rPr>
      </w:pPr>
      <w:r>
        <w:rPr>
          <w:rFonts w:ascii="Gill Sans MT"/>
          <w:w w:val="110"/>
          <w:position w:val="7"/>
          <w:sz w:val="18"/>
        </w:rPr>
        <w:t>U.S. Mid</w:t>
      </w:r>
      <w:r>
        <w:rPr>
          <w:rFonts w:ascii="Gill Sans MT"/>
          <w:spacing w:val="-20"/>
          <w:w w:val="110"/>
          <w:position w:val="7"/>
          <w:sz w:val="18"/>
        </w:rPr>
        <w:t> </w:t>
      </w:r>
      <w:r>
        <w:rPr>
          <w:rFonts w:ascii="Gill Sans MT"/>
          <w:w w:val="110"/>
          <w:position w:val="7"/>
          <w:sz w:val="18"/>
        </w:rPr>
        <w:t>Blend:</w:t>
      </w:r>
      <w:r>
        <w:rPr>
          <w:rFonts w:ascii="Gill Sans MT"/>
          <w:spacing w:val="-10"/>
          <w:w w:val="110"/>
          <w:position w:val="7"/>
          <w:sz w:val="18"/>
        </w:rPr>
        <w:t> </w:t>
      </w:r>
      <w:r>
        <w:rPr>
          <w:rFonts w:ascii="Gill Sans MT"/>
          <w:w w:val="110"/>
          <w:position w:val="7"/>
          <w:sz w:val="18"/>
        </w:rPr>
        <w:t>8.9%</w:t>
        <w:tab/>
      </w:r>
      <w:r>
        <w:rPr>
          <w:rFonts w:ascii="Gill Sans MT"/>
          <w:w w:val="110"/>
          <w:sz w:val="18"/>
        </w:rPr>
        <w:t>U.S. Small Blend:</w:t>
      </w:r>
      <w:r>
        <w:rPr>
          <w:rFonts w:ascii="Gill Sans MT"/>
          <w:spacing w:val="-34"/>
          <w:w w:val="110"/>
          <w:sz w:val="18"/>
        </w:rPr>
        <w:t> </w:t>
      </w:r>
      <w:r>
        <w:rPr>
          <w:rFonts w:ascii="Gill Sans MT"/>
          <w:w w:val="110"/>
          <w:sz w:val="18"/>
        </w:rPr>
        <w:t>6.5%</w:t>
      </w:r>
    </w:p>
    <w:p>
      <w:pPr>
        <w:spacing w:line="181" w:lineRule="exact" w:before="229"/>
        <w:ind w:left="0" w:right="0" w:firstLine="0"/>
        <w:jc w:val="right"/>
        <w:rPr>
          <w:rFonts w:ascii="Gill Sans MT"/>
          <w:sz w:val="18"/>
        </w:rPr>
      </w:pPr>
      <w:r>
        <w:rPr/>
        <w:pict>
          <v:group style="position:absolute;margin-left:158.527039pt;margin-top:10.682781pt;width:430.8pt;height:251.25pt;mso-position-horizontal-relative:page;mso-position-vertical-relative:paragraph;z-index:-267013120" coordorigin="3171,214" coordsize="8616,5025">
            <v:shape style="position:absolute;left:7192;top:590;width:2454;height:4280" coordorigin="7193,590" coordsize="2454,4280" path="m7193,729l9646,590m7193,4731l9646,4870e" filled="false" stroked="true" strokeweight=".75pt" strokecolor="#0d0d0d">
              <v:path arrowok="t"/>
              <v:stroke dashstyle="solid"/>
            </v:shape>
            <v:shape style="position:absolute;left:3170;top:942;width:3979;height:4296" coordorigin="3171,943" coordsize="3979,4296" path="m3942,943l3887,997,3835,1052,3784,1108,3735,1166,3688,1225,3644,1285,3601,1346,3560,1408,3521,1471,3484,1534,3450,1599,3417,1665,3386,1731,3357,1798,3331,1866,3306,1934,3283,2003,3263,2073,3244,2143,3228,2213,3214,2284,3201,2355,3191,2427,3183,2499,3177,2571,3173,2643,3171,2715,3171,2787,3173,2859,3177,2932,3184,3004,3192,3076,3203,3147,3215,3219,3230,3290,3247,3361,3266,3432,3287,3502,3311,3572,3336,3641,3364,3710,3393,3778,3425,3845,3459,3912,3496,3977,3534,4042,3574,4107,3617,4170,3662,4232,3708,4293,3756,4351,3805,4408,3856,4463,3908,4517,3961,4568,4016,4618,4072,4665,4128,4711,4186,4755,4246,4797,4306,4837,4367,4876,4429,4912,4492,4947,4555,4980,4620,5010,4685,5039,4751,5066,4818,5091,4885,5114,4953,5135,5021,5155,5090,5172,5159,5187,5229,5200,5299,5212,5369,5221,5439,5228,5510,5234,5581,5237,5652,5239,5723,5238,5794,5235,5865,5231,5936,5224,6007,5215,6078,5204,6148,5191,6218,5176,6288,5159,6358,5140,6427,5119,6496,5096,6564,5070,6632,5043,6699,5013,6765,4982,6831,4948,6896,4912,6961,4874,7024,4834,7087,4791,7149,4747,5663,2746,3942,943xe" filled="true" fillcolor="#12381b" stroked="false">
              <v:path arrowok="t"/>
              <v:fill type="solid"/>
            </v:shape>
            <v:shape style="position:absolute;left:3946;top:581;width:1721;height:2129" coordorigin="3946,581" coordsize="1721,2129" path="m4371,581l4306,622,4243,665,4180,710,4120,756,4060,805,4002,855,3946,907,5667,2710,4371,581xe" filled="true" fillcolor="#c5dfb4" stroked="false">
              <v:path arrowok="t"/>
              <v:fill type="solid"/>
            </v:shape>
            <v:shape style="position:absolute;left:4379;top:214;width:1330;height:2492" coordorigin="4380,214" coordsize="1330,2492" path="m5709,214l5631,214,5553,217,5476,222,5398,229,5322,239,5245,251,5169,266,5094,283,5019,302,4944,323,4871,347,4798,373,4726,402,4655,432,4585,465,4515,500,4447,537,4380,577,5675,2706,5709,214xe" filled="true" fillcolor="#a9d08e" stroked="false">
              <v:path arrowok="t"/>
              <v:fill type="solid"/>
            </v:shape>
            <v:shape style="position:absolute;left:5687;top:213;width:1020;height:2492" coordorigin="5687,214" coordsize="1020,2492" path="m5721,214l5687,2706,6707,432,6635,401,6562,372,6488,346,6414,322,6339,300,6263,281,6187,264,6110,250,6033,238,5955,228,5878,221,5799,216,5721,214xe" filled="true" fillcolor="#014612" stroked="false">
              <v:path arrowok="t"/>
              <v:fill type="solid"/>
            </v:shape>
            <v:shape style="position:absolute;left:5694;top:434;width:1486;height:2275" coordorigin="5694,434" coordsize="1486,2275" path="m6714,434l5694,2709,7180,708,7118,663,7053,619,6988,578,6921,539,6853,502,6784,467,6714,434xe" filled="true" fillcolor="#375522" stroked="false">
              <v:path arrowok="t"/>
              <v:fill type="solid"/>
            </v:shape>
            <v:shape style="position:absolute;left:5706;top:590;width:6080;height:4141" coordorigin="5707,590" coordsize="6080,4141" path="m8199,2719l8198,2648,8194,2578,8189,2507,8182,2436,8172,2366,8161,2296,8148,2227,8132,2157,8115,2089,8096,2020,8075,1952,8052,1885,8027,1819,8000,1753,7971,1687,7940,1623,7907,1559,7873,1496,7836,1434,7798,1373,7758,1313,7716,1254,7672,1196,7626,1139,7578,1083,7528,1029,7477,975,7424,923,7369,873,7312,823,7253,776,7193,729,5707,2730,7193,4731,7257,4681,7320,4630,7381,4576,7440,4521,7497,4464,7553,4404,7606,4343,7658,4281,7707,4216,7752,4154,7794,4092,7834,4028,7873,3964,7909,3899,7942,3833,7974,3766,8004,3699,8031,3631,8056,3563,8080,3494,8101,3425,8120,3356,8137,3286,8152,3215,8165,3145,8176,3074,8184,3004,8191,2933,8196,2862,8198,2790,8199,2719m11786,590l9646,590,9646,3327,11786,3327,11786,590e" filled="true" fillcolor="#698a70" stroked="false">
              <v:path arrowok="t"/>
              <v:fill type="solid"/>
            </v:shape>
            <w10:wrap type="none"/>
          </v:group>
        </w:pict>
      </w:r>
      <w:r>
        <w:rPr>
          <w:rFonts w:ascii="Gill Sans MT"/>
          <w:w w:val="115"/>
          <w:sz w:val="18"/>
        </w:rPr>
        <w:t>U.S. Small Value: 3.5%</w:t>
      </w:r>
    </w:p>
    <w:p>
      <w:pPr>
        <w:pStyle w:val="BodyText"/>
        <w:rPr>
          <w:rFonts w:ascii="Gill Sans MT"/>
          <w:sz w:val="20"/>
        </w:rPr>
      </w:pPr>
      <w:r>
        <w:rPr/>
        <w:br w:type="column"/>
      </w:r>
      <w:r>
        <w:rPr>
          <w:rFonts w:ascii="Gill Sans MT"/>
          <w:sz w:val="20"/>
        </w:rPr>
      </w:r>
    </w:p>
    <w:p>
      <w:pPr>
        <w:pStyle w:val="BodyText"/>
        <w:rPr>
          <w:rFonts w:ascii="Gill Sans MT"/>
          <w:sz w:val="20"/>
        </w:rPr>
      </w:pPr>
    </w:p>
    <w:p>
      <w:pPr>
        <w:pStyle w:val="BodyText"/>
        <w:spacing w:before="4"/>
        <w:rPr>
          <w:rFonts w:ascii="Gill Sans MT"/>
          <w:sz w:val="17"/>
        </w:rPr>
      </w:pPr>
    </w:p>
    <w:p>
      <w:pPr>
        <w:spacing w:line="122" w:lineRule="exact" w:before="1"/>
        <w:ind w:left="738" w:right="0" w:firstLine="0"/>
        <w:jc w:val="left"/>
        <w:rPr>
          <w:rFonts w:ascii="Gill Sans MT"/>
          <w:sz w:val="18"/>
        </w:rPr>
      </w:pPr>
      <w:r>
        <w:rPr>
          <w:rFonts w:ascii="Gill Sans MT"/>
          <w:w w:val="110"/>
          <w:sz w:val="18"/>
        </w:rPr>
        <w:t>International Equity: 29.7%</w:t>
      </w:r>
    </w:p>
    <w:p>
      <w:pPr>
        <w:spacing w:after="0" w:line="122" w:lineRule="exact"/>
        <w:jc w:val="left"/>
        <w:rPr>
          <w:rFonts w:ascii="Gill Sans MT"/>
          <w:sz w:val="18"/>
        </w:rPr>
        <w:sectPr>
          <w:type w:val="continuous"/>
          <w:pgSz w:w="14400" w:h="10800" w:orient="landscape"/>
          <w:pgMar w:top="180" w:bottom="280" w:left="20" w:right="40"/>
          <w:cols w:num="2" w:equalWidth="0">
            <w:col w:w="8864" w:space="40"/>
            <w:col w:w="5436"/>
          </w:cols>
        </w:sectPr>
      </w:pPr>
    </w:p>
    <w:p>
      <w:pPr>
        <w:spacing w:line="208" w:lineRule="exact" w:before="0"/>
        <w:ind w:left="2182" w:right="0" w:firstLine="0"/>
        <w:jc w:val="left"/>
        <w:rPr>
          <w:rFonts w:ascii="Gill Sans MT"/>
          <w:sz w:val="18"/>
        </w:rPr>
      </w:pPr>
      <w:r>
        <w:rPr>
          <w:rFonts w:ascii="Gill Sans MT"/>
          <w:w w:val="115"/>
          <w:sz w:val="18"/>
        </w:rPr>
        <w:t>U.S. Large Value: 3.4%</w:t>
      </w: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7"/>
        <w:rPr>
          <w:rFonts w:ascii="Gill Sans MT"/>
          <w:sz w:val="28"/>
        </w:rPr>
      </w:pPr>
    </w:p>
    <w:p>
      <w:pPr>
        <w:spacing w:before="100"/>
        <w:ind w:left="8478" w:right="1422" w:firstLine="0"/>
        <w:jc w:val="center"/>
        <w:rPr>
          <w:rFonts w:ascii="Gill Sans MT"/>
          <w:sz w:val="18"/>
        </w:rPr>
      </w:pPr>
      <w:r>
        <w:rPr>
          <w:rFonts w:ascii="Gill Sans MT"/>
          <w:color w:val="FFFFFF"/>
          <w:w w:val="110"/>
          <w:sz w:val="18"/>
        </w:rPr>
        <w:t>Developed Large Blend:</w:t>
      </w:r>
    </w:p>
    <w:p>
      <w:pPr>
        <w:spacing w:before="8"/>
        <w:ind w:left="8475" w:right="1422" w:firstLine="0"/>
        <w:jc w:val="center"/>
        <w:rPr>
          <w:rFonts w:ascii="Gill Sans MT"/>
          <w:sz w:val="18"/>
        </w:rPr>
      </w:pPr>
      <w:r>
        <w:rPr>
          <w:rFonts w:ascii="Gill Sans MT"/>
          <w:color w:val="FFFFFF"/>
          <w:w w:val="115"/>
          <w:sz w:val="18"/>
        </w:rPr>
        <w:t>19.0%</w:t>
      </w: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2"/>
        <w:rPr>
          <w:rFonts w:ascii="Gill Sans MT"/>
          <w:sz w:val="26"/>
        </w:rPr>
      </w:pPr>
    </w:p>
    <w:p>
      <w:pPr>
        <w:spacing w:before="100"/>
        <w:ind w:left="1668" w:right="0" w:firstLine="0"/>
        <w:jc w:val="left"/>
        <w:rPr>
          <w:rFonts w:ascii="Gill Sans MT"/>
          <w:sz w:val="18"/>
        </w:rPr>
      </w:pPr>
      <w:r>
        <w:rPr/>
        <w:pict>
          <v:group style="position:absolute;margin-left:482.320007pt;margin-top:-50.1772pt;width:107pt;height:77.150pt;mso-position-horizontal-relative:page;mso-position-vertical-relative:paragraph;z-index:251689984" coordorigin="9646,-1004" coordsize="2140,1543">
            <v:shape style="position:absolute;left:9646;top:266;width:2140;height:273" type="#_x0000_t202" filled="true" fillcolor="#009e7d" stroked="false">
              <v:textbox inset="0,0,0,0">
                <w:txbxContent>
                  <w:p>
                    <w:pPr>
                      <w:spacing w:before="61"/>
                      <w:ind w:left="97" w:right="93" w:firstLine="0"/>
                      <w:jc w:val="center"/>
                      <w:rPr>
                        <w:rFonts w:ascii="Gill Sans MT"/>
                        <w:sz w:val="18"/>
                      </w:rPr>
                    </w:pPr>
                    <w:r>
                      <w:rPr>
                        <w:rFonts w:ascii="Gill Sans MT"/>
                        <w:color w:val="FFFFFF"/>
                        <w:w w:val="110"/>
                        <w:sz w:val="18"/>
                      </w:rPr>
                      <w:t>1.9%</w:t>
                    </w:r>
                  </w:p>
                </w:txbxContent>
              </v:textbox>
              <v:fill type="solid"/>
              <w10:wrap type="none"/>
            </v:shape>
            <v:shape style="position:absolute;left:9646;top:-715;width:2140;height:981" type="#_x0000_t202" filled="true" fillcolor="#39b664" stroked="false">
              <v:textbox inset="0,0,0,0">
                <w:txbxContent>
                  <w:p>
                    <w:pPr>
                      <w:spacing w:line="240" w:lineRule="auto" w:before="0"/>
                      <w:rPr>
                        <w:rFonts w:ascii="Gill Sans MT"/>
                        <w:sz w:val="24"/>
                      </w:rPr>
                    </w:pPr>
                  </w:p>
                  <w:p>
                    <w:pPr>
                      <w:spacing w:line="247" w:lineRule="auto" w:before="0"/>
                      <w:ind w:left="441" w:right="440" w:firstLine="0"/>
                      <w:jc w:val="center"/>
                      <w:rPr>
                        <w:rFonts w:ascii="Gill Sans MT"/>
                        <w:sz w:val="18"/>
                      </w:rPr>
                    </w:pPr>
                    <w:r>
                      <w:rPr>
                        <w:rFonts w:ascii="Gill Sans MT"/>
                        <w:color w:val="FFFFFF"/>
                        <w:w w:val="110"/>
                        <w:sz w:val="18"/>
                      </w:rPr>
                      <w:t>Emerging Large Blend: 6.8%</w:t>
                    </w:r>
                  </w:p>
                  <w:p>
                    <w:pPr>
                      <w:spacing w:line="155" w:lineRule="exact" w:before="117"/>
                      <w:ind w:left="97" w:right="95" w:firstLine="0"/>
                      <w:jc w:val="center"/>
                      <w:rPr>
                        <w:rFonts w:ascii="Gill Sans MT"/>
                        <w:sz w:val="18"/>
                      </w:rPr>
                    </w:pPr>
                    <w:r>
                      <w:rPr>
                        <w:rFonts w:ascii="Gill Sans MT"/>
                        <w:color w:val="FFFFFF"/>
                        <w:w w:val="115"/>
                        <w:sz w:val="18"/>
                      </w:rPr>
                      <w:t>Emerging Large Value:</w:t>
                    </w:r>
                  </w:p>
                </w:txbxContent>
              </v:textbox>
              <v:fill type="solid"/>
              <w10:wrap type="none"/>
            </v:shape>
            <v:shape style="position:absolute;left:9646;top:-1004;width:2140;height:290" type="#_x0000_t202" filled="true" fillcolor="#09847d" stroked="false">
              <v:textbox inset="0,0,0,0">
                <w:txbxContent>
                  <w:p>
                    <w:pPr>
                      <w:spacing w:line="142" w:lineRule="exact" w:before="0"/>
                      <w:ind w:left="97" w:right="95" w:firstLine="0"/>
                      <w:jc w:val="center"/>
                      <w:rPr>
                        <w:rFonts w:ascii="Gill Sans MT"/>
                        <w:sz w:val="18"/>
                      </w:rPr>
                    </w:pPr>
                    <w:r>
                      <w:rPr>
                        <w:rFonts w:ascii="Gill Sans MT"/>
                        <w:color w:val="FFFFFF"/>
                        <w:w w:val="110"/>
                        <w:sz w:val="18"/>
                      </w:rPr>
                      <w:t>Developed Large Value:</w:t>
                    </w:r>
                  </w:p>
                  <w:p>
                    <w:pPr>
                      <w:spacing w:line="140" w:lineRule="exact" w:before="7"/>
                      <w:ind w:left="96" w:right="95" w:firstLine="0"/>
                      <w:jc w:val="center"/>
                      <w:rPr>
                        <w:rFonts w:ascii="Gill Sans MT"/>
                        <w:sz w:val="18"/>
                      </w:rPr>
                    </w:pPr>
                    <w:r>
                      <w:rPr>
                        <w:rFonts w:ascii="Gill Sans MT"/>
                        <w:color w:val="FFFFFF"/>
                        <w:w w:val="110"/>
                        <w:sz w:val="18"/>
                      </w:rPr>
                      <w:t>2.0%</w:t>
                    </w:r>
                  </w:p>
                </w:txbxContent>
              </v:textbox>
              <v:fill type="solid"/>
              <w10:wrap type="none"/>
            </v:shape>
            <w10:wrap type="none"/>
          </v:group>
        </w:pict>
      </w:r>
      <w:r>
        <w:rPr>
          <w:rFonts w:ascii="Gill Sans MT"/>
          <w:w w:val="115"/>
          <w:sz w:val="18"/>
        </w:rPr>
        <w:t>U.S. Large Blend: 48.0%</w:t>
      </w:r>
    </w:p>
    <w:p>
      <w:pPr>
        <w:spacing w:after="0"/>
        <w:jc w:val="left"/>
        <w:rPr>
          <w:rFonts w:ascii="Gill Sans MT"/>
          <w:sz w:val="18"/>
        </w:rPr>
        <w:sectPr>
          <w:type w:val="continuous"/>
          <w:pgSz w:w="14400" w:h="10800" w:orient="landscape"/>
          <w:pgMar w:top="180" w:bottom="280" w:left="20" w:right="40"/>
        </w:sectPr>
      </w:pPr>
    </w:p>
    <w:tbl>
      <w:tblPr>
        <w:tblW w:w="0" w:type="auto"/>
        <w:jc w:val="left"/>
        <w:tblInd w:w="7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2"/>
      </w:tblGrid>
      <w:tr>
        <w:trPr>
          <w:trHeight w:val="389" w:hRule="atLeast"/>
        </w:trPr>
        <w:tc>
          <w:tcPr>
            <w:tcW w:w="5532" w:type="dxa"/>
          </w:tcPr>
          <w:p>
            <w:pPr>
              <w:pStyle w:val="TableParagraph"/>
              <w:ind w:right="198"/>
              <w:jc w:val="right"/>
              <w:rPr>
                <w:sz w:val="28"/>
              </w:rPr>
            </w:pPr>
            <w:bookmarkStart w:name="Slide 19: Fixed Income" w:id="25"/>
            <w:bookmarkEnd w:id="25"/>
            <w:r>
              <w:rPr/>
            </w:r>
            <w:r>
              <w:rPr>
                <w:w w:val="110"/>
                <w:sz w:val="28"/>
              </w:rPr>
              <w:t>CNY</w:t>
            </w:r>
            <w:r>
              <w:rPr>
                <w:spacing w:val="-56"/>
                <w:w w:val="110"/>
                <w:sz w:val="28"/>
              </w:rPr>
              <w:t> </w:t>
            </w:r>
            <w:r>
              <w:rPr>
                <w:w w:val="110"/>
                <w:sz w:val="28"/>
              </w:rPr>
              <w:t>Centro,</w:t>
            </w:r>
            <w:r>
              <w:rPr>
                <w:spacing w:val="-54"/>
                <w:w w:val="110"/>
                <w:sz w:val="28"/>
              </w:rPr>
              <w:t> </w:t>
            </w:r>
            <w:r>
              <w:rPr>
                <w:w w:val="110"/>
                <w:sz w:val="28"/>
              </w:rPr>
              <w:t>Inc.</w:t>
            </w:r>
            <w:r>
              <w:rPr>
                <w:spacing w:val="-54"/>
                <w:w w:val="110"/>
                <w:sz w:val="28"/>
              </w:rPr>
              <w:t> </w:t>
            </w:r>
            <w:r>
              <w:rPr>
                <w:w w:val="110"/>
                <w:sz w:val="28"/>
              </w:rPr>
              <w:t>Utica</w:t>
            </w:r>
            <w:r>
              <w:rPr>
                <w:spacing w:val="-55"/>
                <w:w w:val="110"/>
                <w:sz w:val="28"/>
              </w:rPr>
              <w:t> </w:t>
            </w:r>
            <w:r>
              <w:rPr>
                <w:spacing w:val="-3"/>
                <w:w w:val="110"/>
                <w:sz w:val="28"/>
              </w:rPr>
              <w:t>Employees</w:t>
            </w:r>
            <w:r>
              <w:rPr>
                <w:spacing w:val="-56"/>
                <w:w w:val="110"/>
                <w:sz w:val="28"/>
              </w:rPr>
              <w:t> </w:t>
            </w:r>
            <w:r>
              <w:rPr>
                <w:w w:val="110"/>
                <w:sz w:val="28"/>
              </w:rPr>
              <w:t>DB</w:t>
            </w:r>
            <w:r>
              <w:rPr>
                <w:spacing w:val="-54"/>
                <w:w w:val="110"/>
                <w:sz w:val="28"/>
              </w:rPr>
              <w:t> </w:t>
            </w:r>
            <w:r>
              <w:rPr>
                <w:w w:val="110"/>
                <w:sz w:val="28"/>
              </w:rPr>
              <w:t>Plan</w:t>
            </w:r>
          </w:p>
        </w:tc>
      </w:tr>
      <w:tr>
        <w:trPr>
          <w:trHeight w:val="363" w:hRule="atLeast"/>
        </w:trPr>
        <w:tc>
          <w:tcPr>
            <w:tcW w:w="5532" w:type="dxa"/>
          </w:tcPr>
          <w:p>
            <w:pPr>
              <w:pStyle w:val="TableParagraph"/>
              <w:spacing w:line="285" w:lineRule="exact" w:before="59"/>
              <w:ind w:right="202"/>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6"/>
        <w:rPr>
          <w:rFonts w:ascii="Gill Sans MT"/>
          <w:sz w:val="23"/>
        </w:rPr>
      </w:pPr>
    </w:p>
    <w:p>
      <w:pPr>
        <w:spacing w:before="100"/>
        <w:ind w:left="3594" w:right="0" w:firstLine="0"/>
        <w:jc w:val="left"/>
        <w:rPr>
          <w:rFonts w:ascii="Gill Sans MT"/>
          <w:sz w:val="20"/>
        </w:rPr>
      </w:pPr>
      <w:r>
        <w:rPr/>
        <w:pict>
          <v:group style="position:absolute;margin-left:244.600006pt;margin-top:17.152002pt;width:235.25pt;height:239.75pt;mso-position-horizontal-relative:page;mso-position-vertical-relative:paragraph;z-index:-267008000" coordorigin="4892,343" coordsize="4705,4795">
            <v:shape style="position:absolute;left:4892;top:432;width:4705;height:4705" coordorigin="4892,433" coordsize="4705,4705" path="m5869,877l5806,924,5745,972,5687,1022,5630,1074,5574,1128,5521,1184,5470,1241,5421,1299,5373,1359,5328,1421,5285,1483,5244,1547,5205,1613,5168,1679,5133,1747,5101,1816,5071,1886,5043,1957,5017,2028,4994,2101,4973,2174,4954,2249,4938,2324,4924,2399,4912,2475,4904,2552,4897,2629,4893,2707,4892,2785,4893,2861,4897,2937,4903,3012,4911,3086,4922,3159,4934,3232,4949,3304,4967,3375,4986,3445,5007,3515,5031,3583,5056,3651,5084,3717,5113,3783,5145,3847,5178,3910,5213,3972,5250,4033,5289,4093,5329,4151,5371,4208,5415,4264,5461,4319,5508,4372,5556,4423,5606,4473,5658,4522,5711,4569,5765,4614,5821,4658,5878,4700,5937,4741,5996,4779,6057,4816,6119,4851,6182,4885,6247,4916,6312,4946,6379,4973,6446,4999,6515,5022,6584,5043,6654,5063,6725,5080,6797,5095,6870,5108,6944,5118,7018,5127,7093,5133,7168,5136,7244,5137,7321,5136,7396,5133,7471,5127,7545,5118,7619,5108,7691,5095,7763,5080,7835,5063,7905,5043,7974,5022,8043,4999,8110,4973,8177,4946,8242,4916,8306,4885,8370,4851,8432,4816,8493,4779,8552,4741,8611,4700,8668,4658,8724,4614,8778,4569,8831,4522,8883,4473,8933,4423,8981,4372,9028,4319,9074,4264,9118,4208,9160,4151,9200,4093,9239,4033,9276,3972,9311,3910,9344,3847,9376,3783,9405,3717,9433,3651,9458,3583,9482,3515,9503,3445,9522,3375,9540,3304,9555,3232,9567,3159,9578,3086,9586,3012,9592,2937,9596,2861,9597,2785,7244,2785,5869,877xm7244,433l7244,2785,9597,2785,9596,2709,9592,2633,9586,2558,9578,2484,9567,2411,9555,2338,9540,2266,9522,2195,9503,2125,9482,2055,9458,1987,9433,1919,9405,1853,9376,1787,9344,1723,9311,1660,9276,1598,9239,1537,9200,1477,9160,1419,9118,1362,9074,1306,9028,1251,8981,1198,8933,1147,8883,1097,8831,1048,8778,1001,8724,956,8668,912,8611,870,8552,829,8493,791,8432,754,8370,719,8306,685,8242,654,8177,625,8110,597,8043,572,7974,548,7905,527,7835,507,7763,490,7691,475,7619,462,7545,452,7471,443,7396,437,7321,434,7244,433xe" filled="true" fillcolor="#5f86d1" stroked="false">
              <v:path arrowok="t"/>
              <v:fill type="solid"/>
            </v:shape>
            <v:shape style="position:absolute;left:5839;top:343;width:1376;height:2353" coordorigin="5840,343" coordsize="1376,2353" path="m7216,343l7138,344,7060,348,6983,355,6906,363,6830,375,6754,389,6678,405,6604,424,6530,445,6456,469,6384,495,6312,523,6241,554,6172,587,6103,623,6035,661,5969,701,5904,743,5840,787,7216,2695,7216,343xe" filled="true" fillcolor="#bcd6ed" stroked="false">
              <v:path arrowok="t"/>
              <v:fill type="solid"/>
            </v:shape>
            <w10:wrap type="none"/>
          </v:group>
        </w:pict>
      </w:r>
      <w:r>
        <w:rPr>
          <w:rFonts w:ascii="Gill Sans MT"/>
          <w:w w:val="110"/>
          <w:sz w:val="20"/>
        </w:rPr>
        <w:t>Intermediate Government: 9.9%</w:t>
      </w:r>
    </w:p>
    <w:p>
      <w:pPr>
        <w:spacing w:before="97"/>
        <w:ind w:left="9199" w:right="0" w:firstLine="0"/>
        <w:jc w:val="left"/>
        <w:rPr>
          <w:rFonts w:ascii="Gill Sans MT"/>
          <w:sz w:val="20"/>
        </w:rPr>
      </w:pPr>
      <w:r>
        <w:rPr>
          <w:rFonts w:ascii="Gill Sans MT"/>
          <w:w w:val="110"/>
          <w:sz w:val="20"/>
        </w:rPr>
        <w:t>Intermediate Core Bond: 90.1%</w:t>
      </w:r>
    </w:p>
    <w:p>
      <w:pPr>
        <w:spacing w:after="0"/>
        <w:jc w:val="left"/>
        <w:rPr>
          <w:rFonts w:ascii="Gill Sans MT"/>
          <w:sz w:val="20"/>
        </w:rPr>
        <w:sectPr>
          <w:headerReference w:type="default" r:id="rId54"/>
          <w:footerReference w:type="default" r:id="rId55"/>
          <w:pgSz w:w="14400" w:h="10800" w:orient="landscape"/>
          <w:pgMar w:header="601" w:footer="1505" w:top="800" w:bottom="1700" w:left="20" w:right="40"/>
          <w:pgNumType w:start="19"/>
        </w:sectPr>
      </w:pPr>
    </w:p>
    <w:tbl>
      <w:tblPr>
        <w:tblW w:w="0" w:type="auto"/>
        <w:jc w:val="left"/>
        <w:tblInd w:w="7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2"/>
      </w:tblGrid>
      <w:tr>
        <w:trPr>
          <w:trHeight w:val="389" w:hRule="atLeast"/>
        </w:trPr>
        <w:tc>
          <w:tcPr>
            <w:tcW w:w="5532" w:type="dxa"/>
          </w:tcPr>
          <w:p>
            <w:pPr>
              <w:pStyle w:val="TableParagraph"/>
              <w:ind w:right="198"/>
              <w:jc w:val="right"/>
              <w:rPr>
                <w:sz w:val="28"/>
              </w:rPr>
            </w:pPr>
            <w:bookmarkStart w:name="Slide 20: Real Return" w:id="26"/>
            <w:bookmarkEnd w:id="26"/>
            <w:r>
              <w:rPr/>
            </w:r>
            <w:r>
              <w:rPr>
                <w:w w:val="110"/>
                <w:sz w:val="28"/>
              </w:rPr>
              <w:t>CNY</w:t>
            </w:r>
            <w:r>
              <w:rPr>
                <w:spacing w:val="-56"/>
                <w:w w:val="110"/>
                <w:sz w:val="28"/>
              </w:rPr>
              <w:t> </w:t>
            </w:r>
            <w:r>
              <w:rPr>
                <w:w w:val="110"/>
                <w:sz w:val="28"/>
              </w:rPr>
              <w:t>Centro,</w:t>
            </w:r>
            <w:r>
              <w:rPr>
                <w:spacing w:val="-54"/>
                <w:w w:val="110"/>
                <w:sz w:val="28"/>
              </w:rPr>
              <w:t> </w:t>
            </w:r>
            <w:r>
              <w:rPr>
                <w:w w:val="110"/>
                <w:sz w:val="28"/>
              </w:rPr>
              <w:t>Inc.</w:t>
            </w:r>
            <w:r>
              <w:rPr>
                <w:spacing w:val="-54"/>
                <w:w w:val="110"/>
                <w:sz w:val="28"/>
              </w:rPr>
              <w:t> </w:t>
            </w:r>
            <w:r>
              <w:rPr>
                <w:w w:val="110"/>
                <w:sz w:val="28"/>
              </w:rPr>
              <w:t>Utica</w:t>
            </w:r>
            <w:r>
              <w:rPr>
                <w:spacing w:val="-55"/>
                <w:w w:val="110"/>
                <w:sz w:val="28"/>
              </w:rPr>
              <w:t> </w:t>
            </w:r>
            <w:r>
              <w:rPr>
                <w:spacing w:val="-3"/>
                <w:w w:val="110"/>
                <w:sz w:val="28"/>
              </w:rPr>
              <w:t>Employees</w:t>
            </w:r>
            <w:r>
              <w:rPr>
                <w:spacing w:val="-56"/>
                <w:w w:val="110"/>
                <w:sz w:val="28"/>
              </w:rPr>
              <w:t> </w:t>
            </w:r>
            <w:r>
              <w:rPr>
                <w:w w:val="110"/>
                <w:sz w:val="28"/>
              </w:rPr>
              <w:t>DB</w:t>
            </w:r>
            <w:r>
              <w:rPr>
                <w:spacing w:val="-54"/>
                <w:w w:val="110"/>
                <w:sz w:val="28"/>
              </w:rPr>
              <w:t> </w:t>
            </w:r>
            <w:r>
              <w:rPr>
                <w:w w:val="110"/>
                <w:sz w:val="28"/>
              </w:rPr>
              <w:t>Plan</w:t>
            </w:r>
          </w:p>
        </w:tc>
      </w:tr>
      <w:tr>
        <w:trPr>
          <w:trHeight w:val="363" w:hRule="atLeast"/>
        </w:trPr>
        <w:tc>
          <w:tcPr>
            <w:tcW w:w="5532" w:type="dxa"/>
          </w:tcPr>
          <w:p>
            <w:pPr>
              <w:pStyle w:val="TableParagraph"/>
              <w:spacing w:line="285" w:lineRule="exact" w:before="59"/>
              <w:ind w:right="202"/>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7"/>
        <w:rPr>
          <w:rFonts w:ascii="Gill Sans MT"/>
          <w:sz w:val="25"/>
        </w:rPr>
      </w:pPr>
    </w:p>
    <w:p>
      <w:pPr>
        <w:spacing w:after="0"/>
        <w:rPr>
          <w:rFonts w:ascii="Gill Sans MT"/>
          <w:sz w:val="25"/>
        </w:rPr>
        <w:sectPr>
          <w:headerReference w:type="default" r:id="rId56"/>
          <w:footerReference w:type="default" r:id="rId57"/>
          <w:pgSz w:w="14400" w:h="10800" w:orient="landscape"/>
          <w:pgMar w:header="601" w:footer="1505" w:top="800" w:bottom="1700" w:left="20" w:right="40"/>
          <w:pgNumType w:start="20"/>
        </w:sectPr>
      </w:pPr>
    </w:p>
    <w:p>
      <w:pPr>
        <w:spacing w:before="99"/>
        <w:ind w:left="0" w:right="38" w:firstLine="0"/>
        <w:jc w:val="right"/>
        <w:rPr>
          <w:rFonts w:ascii="Gill Sans MT"/>
          <w:sz w:val="20"/>
        </w:rPr>
      </w:pPr>
      <w:r>
        <w:rPr>
          <w:rFonts w:ascii="Gill Sans MT"/>
          <w:w w:val="115"/>
          <w:sz w:val="20"/>
        </w:rPr>
        <w:t>TIPS: 64.3%</w:t>
      </w:r>
    </w:p>
    <w:p>
      <w:pPr>
        <w:pStyle w:val="BodyText"/>
        <w:spacing w:before="4"/>
        <w:rPr>
          <w:rFonts w:ascii="Gill Sans MT"/>
        </w:rPr>
      </w:pPr>
      <w:r>
        <w:rPr/>
        <w:br w:type="column"/>
      </w:r>
      <w:r>
        <w:rPr>
          <w:rFonts w:ascii="Gill Sans MT"/>
        </w:rPr>
      </w:r>
    </w:p>
    <w:p>
      <w:pPr>
        <w:spacing w:before="0"/>
        <w:ind w:left="3671" w:right="0" w:firstLine="0"/>
        <w:jc w:val="left"/>
        <w:rPr>
          <w:rFonts w:ascii="Gill Sans MT"/>
          <w:sz w:val="20"/>
        </w:rPr>
      </w:pPr>
      <w:r>
        <w:rPr/>
        <w:pict>
          <v:group style="position:absolute;margin-left:241.759628pt;margin-top:-54.948013pt;width:239.5pt;height:237.3pt;mso-position-horizontal-relative:page;mso-position-vertical-relative:paragraph;z-index:251692032" coordorigin="4835,-1099" coordsize="4790,4746">
            <v:shape style="position:absolute;left:7272;top:-1099;width:2353;height:3814" coordorigin="7272,-1099" coordsize="2353,3814" path="m7272,-1099l7272,1253,9116,2715,9164,2652,9210,2587,9254,2521,9295,2454,9334,2385,9371,2316,9405,2245,9437,2173,9467,2101,9494,2027,9518,1952,9541,1877,9560,1801,9577,1724,9592,1647,9604,1569,9613,1491,9619,1412,9623,1333,9625,1253,9624,1177,9620,1102,9614,1027,9606,953,9595,879,9582,806,9567,734,9550,663,9531,593,9509,524,9486,455,9460,388,9433,321,9403,256,9372,191,9339,128,9304,66,9267,5,9228,-54,9188,-113,9145,-170,9102,-226,9056,-280,9009,-333,8961,-385,8911,-435,8859,-483,8806,-530,8752,-576,8696,-620,8639,-662,8580,-702,8521,-741,8460,-778,8398,-813,8334,-846,8270,-878,8205,-907,8138,-935,8071,-960,8002,-984,7933,-1005,7863,-1024,7791,-1042,7719,-1057,7647,-1069,7573,-1080,7499,-1088,7424,-1094,7349,-1098,7272,-1099xe" filled="true" fillcolor="#66799f" stroked="false">
              <v:path arrowok="t"/>
              <v:fill type="solid"/>
            </v:shape>
            <v:shape style="position:absolute;left:4835;top:-1059;width:4196;height:4705" coordorigin="4835,-1058" coordsize="4196,4705" path="m7188,-1058l7108,-1057,7029,-1053,6950,-1046,6872,-1037,6794,-1025,6717,-1011,6640,-994,6564,-974,6489,-952,6415,-928,6342,-901,6270,-872,6199,-840,6129,-806,6060,-770,5992,-732,5926,-691,5861,-648,5797,-603,5735,-556,5674,-506,5615,-455,5557,-401,5501,-346,5447,-288,5395,-229,5344,-167,5298,-107,5254,-45,5212,17,5172,81,5135,145,5100,210,5067,275,5036,342,5007,409,4981,477,4957,545,4935,614,4915,683,4898,752,4882,822,4869,893,4858,963,4849,1034,4843,1105,4838,1175,4836,1246,4835,1317,4837,1388,4841,1459,4847,1530,4855,1600,4865,1670,4878,1740,4892,1809,4909,1878,4927,1947,4948,2015,4971,2082,4995,2149,5022,2215,5051,2280,5082,2345,5115,2409,5150,2471,5187,2533,5226,2594,5267,2654,5310,2713,5355,2771,5402,2827,5451,2882,5503,2936,5556,2989,5611,3040,5667,3090,5726,3138,5787,3184,5848,3228,5911,3270,5974,3310,6038,3347,6103,3382,6169,3415,6235,3446,6302,3475,6370,3501,6438,3525,6507,3547,6576,3567,6646,3584,6716,3600,6786,3613,6856,3624,6927,3633,6998,3639,7069,3644,7140,3647,7211,3647,7281,3645,7352,3641,7423,3635,7493,3627,7563,3617,7633,3604,7702,3590,7771,3573,7840,3555,7908,3534,7975,3511,8042,3487,8108,3460,8173,3431,8238,3400,8302,3367,8365,3332,8427,3295,8487,3256,8547,3215,8606,3172,8664,3127,8720,3080,8776,3031,8829,2980,8882,2927,8933,2872,8983,2815,9031,2756,7188,1294,7188,-1058xe" filled="true" fillcolor="#3b43d7" stroked="false">
              <v:path arrowok="t"/>
              <v:fill type="solid"/>
            </v:shape>
            <w10:wrap type="none"/>
          </v:group>
        </w:pict>
      </w:r>
      <w:r>
        <w:rPr>
          <w:rFonts w:ascii="Gill Sans MT"/>
          <w:w w:val="110"/>
          <w:sz w:val="20"/>
        </w:rPr>
        <w:t>Short-Term TIPS: 35.7%</w:t>
      </w:r>
    </w:p>
    <w:p>
      <w:pPr>
        <w:spacing w:after="0"/>
        <w:jc w:val="left"/>
        <w:rPr>
          <w:rFonts w:ascii="Gill Sans MT"/>
          <w:sz w:val="20"/>
        </w:rPr>
        <w:sectPr>
          <w:type w:val="continuous"/>
          <w:pgSz w:w="14400" w:h="10800" w:orient="landscape"/>
          <w:pgMar w:top="180" w:bottom="280" w:left="20" w:right="40"/>
          <w:cols w:num="2" w:equalWidth="0">
            <w:col w:w="4764" w:space="1136"/>
            <w:col w:w="8440"/>
          </w:cols>
        </w:sectPr>
      </w:pPr>
    </w:p>
    <w:tbl>
      <w:tblPr>
        <w:tblW w:w="0" w:type="auto"/>
        <w:jc w:val="left"/>
        <w:tblInd w:w="7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2"/>
      </w:tblGrid>
      <w:tr>
        <w:trPr>
          <w:trHeight w:val="389" w:hRule="atLeast"/>
        </w:trPr>
        <w:tc>
          <w:tcPr>
            <w:tcW w:w="5532" w:type="dxa"/>
          </w:tcPr>
          <w:p>
            <w:pPr>
              <w:pStyle w:val="TableParagraph"/>
              <w:ind w:right="198"/>
              <w:jc w:val="right"/>
              <w:rPr>
                <w:sz w:val="28"/>
              </w:rPr>
            </w:pPr>
            <w:bookmarkStart w:name="Slide 21: Portfolio Activity" w:id="27"/>
            <w:bookmarkEnd w:id="27"/>
            <w:r>
              <w:rPr/>
            </w:r>
            <w:r>
              <w:rPr>
                <w:w w:val="110"/>
                <w:sz w:val="28"/>
              </w:rPr>
              <w:t>CNY</w:t>
            </w:r>
            <w:r>
              <w:rPr>
                <w:spacing w:val="-56"/>
                <w:w w:val="110"/>
                <w:sz w:val="28"/>
              </w:rPr>
              <w:t> </w:t>
            </w:r>
            <w:r>
              <w:rPr>
                <w:w w:val="110"/>
                <w:sz w:val="28"/>
              </w:rPr>
              <w:t>Centro,</w:t>
            </w:r>
            <w:r>
              <w:rPr>
                <w:spacing w:val="-54"/>
                <w:w w:val="110"/>
                <w:sz w:val="28"/>
              </w:rPr>
              <w:t> </w:t>
            </w:r>
            <w:r>
              <w:rPr>
                <w:w w:val="110"/>
                <w:sz w:val="28"/>
              </w:rPr>
              <w:t>Inc.</w:t>
            </w:r>
            <w:r>
              <w:rPr>
                <w:spacing w:val="-54"/>
                <w:w w:val="110"/>
                <w:sz w:val="28"/>
              </w:rPr>
              <w:t> </w:t>
            </w:r>
            <w:r>
              <w:rPr>
                <w:w w:val="110"/>
                <w:sz w:val="28"/>
              </w:rPr>
              <w:t>Utica</w:t>
            </w:r>
            <w:r>
              <w:rPr>
                <w:spacing w:val="-55"/>
                <w:w w:val="110"/>
                <w:sz w:val="28"/>
              </w:rPr>
              <w:t> </w:t>
            </w:r>
            <w:r>
              <w:rPr>
                <w:spacing w:val="-3"/>
                <w:w w:val="110"/>
                <w:sz w:val="28"/>
              </w:rPr>
              <w:t>Employees</w:t>
            </w:r>
            <w:r>
              <w:rPr>
                <w:spacing w:val="-56"/>
                <w:w w:val="110"/>
                <w:sz w:val="28"/>
              </w:rPr>
              <w:t> </w:t>
            </w:r>
            <w:r>
              <w:rPr>
                <w:w w:val="110"/>
                <w:sz w:val="28"/>
              </w:rPr>
              <w:t>DB</w:t>
            </w:r>
            <w:r>
              <w:rPr>
                <w:spacing w:val="-54"/>
                <w:w w:val="110"/>
                <w:sz w:val="28"/>
              </w:rPr>
              <w:t> </w:t>
            </w:r>
            <w:r>
              <w:rPr>
                <w:w w:val="110"/>
                <w:sz w:val="28"/>
              </w:rPr>
              <w:t>Plan</w:t>
            </w:r>
          </w:p>
        </w:tc>
      </w:tr>
      <w:tr>
        <w:trPr>
          <w:trHeight w:val="363" w:hRule="atLeast"/>
        </w:trPr>
        <w:tc>
          <w:tcPr>
            <w:tcW w:w="5532" w:type="dxa"/>
          </w:tcPr>
          <w:p>
            <w:pPr>
              <w:pStyle w:val="TableParagraph"/>
              <w:spacing w:line="285" w:lineRule="exact" w:before="59"/>
              <w:ind w:right="202"/>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spacing w:before="2"/>
        <w:rPr>
          <w:rFonts w:ascii="Gill Sans MT"/>
          <w:sz w:val="28"/>
        </w:rPr>
      </w:pPr>
    </w:p>
    <w:tbl>
      <w:tblPr>
        <w:tblW w:w="0" w:type="auto"/>
        <w:jc w:val="left"/>
        <w:tblInd w:w="69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982"/>
        <w:gridCol w:w="1668"/>
        <w:gridCol w:w="1668"/>
        <w:gridCol w:w="1668"/>
        <w:gridCol w:w="1668"/>
        <w:gridCol w:w="1668"/>
        <w:gridCol w:w="1675"/>
      </w:tblGrid>
      <w:tr>
        <w:trPr>
          <w:trHeight w:val="248" w:hRule="atLeast"/>
        </w:trPr>
        <w:tc>
          <w:tcPr>
            <w:tcW w:w="12997" w:type="dxa"/>
            <w:gridSpan w:val="7"/>
            <w:tcBorders>
              <w:bottom w:val="single" w:sz="12" w:space="0" w:color="FFFFFF"/>
              <w:right w:val="nil"/>
            </w:tcBorders>
          </w:tcPr>
          <w:p>
            <w:pPr>
              <w:pStyle w:val="TableParagraph"/>
              <w:rPr>
                <w:rFonts w:ascii="Times New Roman"/>
                <w:sz w:val="18"/>
              </w:rPr>
            </w:pPr>
          </w:p>
        </w:tc>
      </w:tr>
      <w:tr>
        <w:trPr>
          <w:trHeight w:val="546" w:hRule="atLeast"/>
        </w:trPr>
        <w:tc>
          <w:tcPr>
            <w:tcW w:w="2982" w:type="dxa"/>
            <w:tcBorders>
              <w:top w:val="single" w:sz="12" w:space="0" w:color="FFFFFF"/>
              <w:bottom w:val="single" w:sz="12" w:space="0" w:color="E6E6E6"/>
              <w:right w:val="single" w:sz="4" w:space="0" w:color="D9D9D9"/>
            </w:tcBorders>
            <w:shd w:val="clear" w:color="auto" w:fill="014612"/>
          </w:tcPr>
          <w:p>
            <w:pPr>
              <w:pStyle w:val="TableParagraph"/>
              <w:spacing w:before="157"/>
              <w:ind w:left="94"/>
              <w:rPr>
                <w:sz w:val="20"/>
              </w:rPr>
            </w:pPr>
            <w:r>
              <w:rPr>
                <w:color w:val="FFFFFF"/>
                <w:w w:val="105"/>
                <w:sz w:val="20"/>
              </w:rPr>
              <w:t>Activity</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500"/>
              <w:rPr>
                <w:sz w:val="20"/>
              </w:rPr>
            </w:pPr>
            <w:r>
              <w:rPr>
                <w:color w:val="FFFFFF"/>
                <w:sz w:val="20"/>
              </w:rPr>
              <w:t>QTD ($)</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507"/>
              <w:rPr>
                <w:sz w:val="20"/>
              </w:rPr>
            </w:pPr>
            <w:r>
              <w:rPr>
                <w:color w:val="FFFFFF"/>
                <w:sz w:val="20"/>
              </w:rPr>
              <w:t>YTD ($)</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411"/>
              <w:rPr>
                <w:sz w:val="20"/>
              </w:rPr>
            </w:pPr>
            <w:r>
              <w:rPr>
                <w:color w:val="FFFFFF"/>
                <w:w w:val="105"/>
                <w:sz w:val="20"/>
              </w:rPr>
              <w:t>1 Year ($)</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411"/>
              <w:rPr>
                <w:sz w:val="20"/>
              </w:rPr>
            </w:pPr>
            <w:r>
              <w:rPr>
                <w:color w:val="FFFFFF"/>
                <w:w w:val="105"/>
                <w:sz w:val="20"/>
              </w:rPr>
              <w:t>3 Year ($)</w:t>
            </w:r>
          </w:p>
        </w:tc>
        <w:tc>
          <w:tcPr>
            <w:tcW w:w="1668"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left="411"/>
              <w:rPr>
                <w:sz w:val="20"/>
              </w:rPr>
            </w:pPr>
            <w:r>
              <w:rPr>
                <w:color w:val="FFFFFF"/>
                <w:w w:val="105"/>
                <w:sz w:val="20"/>
              </w:rPr>
              <w:t>5 Year ($)</w:t>
            </w:r>
          </w:p>
        </w:tc>
        <w:tc>
          <w:tcPr>
            <w:tcW w:w="1675" w:type="dxa"/>
            <w:tcBorders>
              <w:top w:val="single" w:sz="12" w:space="0" w:color="FFFFFF"/>
              <w:left w:val="single" w:sz="4" w:space="0" w:color="D9D9D9"/>
              <w:bottom w:val="single" w:sz="12" w:space="0" w:color="E6E6E6"/>
              <w:right w:val="single" w:sz="4" w:space="0" w:color="D9D9D9"/>
            </w:tcBorders>
            <w:shd w:val="clear" w:color="auto" w:fill="014612"/>
          </w:tcPr>
          <w:p>
            <w:pPr>
              <w:pStyle w:val="TableParagraph"/>
              <w:spacing w:before="157"/>
              <w:ind w:right="3"/>
              <w:jc w:val="right"/>
              <w:rPr>
                <w:sz w:val="20"/>
              </w:rPr>
            </w:pPr>
            <w:r>
              <w:rPr>
                <w:color w:val="FFFFFF"/>
                <w:w w:val="110"/>
                <w:sz w:val="20"/>
              </w:rPr>
              <w:t>Since Inception</w:t>
            </w:r>
            <w:r>
              <w:rPr>
                <w:color w:val="FFFFFF"/>
                <w:spacing w:val="-45"/>
                <w:w w:val="110"/>
                <w:sz w:val="20"/>
              </w:rPr>
              <w:t> </w:t>
            </w:r>
            <w:r>
              <w:rPr>
                <w:color w:val="FFFFFF"/>
                <w:w w:val="110"/>
                <w:sz w:val="20"/>
              </w:rPr>
              <w:t>($)</w:t>
            </w:r>
          </w:p>
        </w:tc>
      </w:tr>
      <w:tr>
        <w:trPr>
          <w:trHeight w:val="407" w:hRule="atLeast"/>
        </w:trPr>
        <w:tc>
          <w:tcPr>
            <w:tcW w:w="2982" w:type="dxa"/>
            <w:tcBorders>
              <w:top w:val="single" w:sz="12" w:space="0" w:color="E6E6E6"/>
              <w:right w:val="single" w:sz="4" w:space="0" w:color="D9D9D9"/>
            </w:tcBorders>
          </w:tcPr>
          <w:p>
            <w:pPr>
              <w:pStyle w:val="TableParagraph"/>
              <w:spacing w:before="85"/>
              <w:ind w:left="94"/>
              <w:rPr>
                <w:sz w:val="20"/>
              </w:rPr>
            </w:pPr>
            <w:r>
              <w:rPr>
                <w:w w:val="115"/>
                <w:sz w:val="20"/>
              </w:rPr>
              <w:t>Value at Beginning of Period</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12,283,716.30</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12,376,227.07</w:t>
            </w:r>
          </w:p>
        </w:tc>
        <w:tc>
          <w:tcPr>
            <w:tcW w:w="1668" w:type="dxa"/>
            <w:tcBorders>
              <w:top w:val="single" w:sz="12" w:space="0" w:color="E6E6E6"/>
              <w:left w:val="single" w:sz="4" w:space="0" w:color="D9D9D9"/>
              <w:right w:val="single" w:sz="4" w:space="0" w:color="D9D9D9"/>
            </w:tcBorders>
          </w:tcPr>
          <w:p>
            <w:pPr>
              <w:pStyle w:val="TableParagraph"/>
              <w:spacing w:before="85"/>
              <w:ind w:right="74"/>
              <w:jc w:val="right"/>
              <w:rPr>
                <w:sz w:val="20"/>
              </w:rPr>
            </w:pPr>
            <w:r>
              <w:rPr>
                <w:w w:val="105"/>
                <w:sz w:val="20"/>
              </w:rPr>
              <w:t>11,861,865.66</w:t>
            </w:r>
          </w:p>
        </w:tc>
        <w:tc>
          <w:tcPr>
            <w:tcW w:w="1668" w:type="dxa"/>
            <w:tcBorders>
              <w:top w:val="single" w:sz="12" w:space="0" w:color="E6E6E6"/>
              <w:left w:val="single" w:sz="4" w:space="0" w:color="D9D9D9"/>
              <w:right w:val="single" w:sz="4" w:space="0" w:color="D9D9D9"/>
            </w:tcBorders>
          </w:tcPr>
          <w:p>
            <w:pPr>
              <w:pStyle w:val="TableParagraph"/>
              <w:spacing w:before="85"/>
              <w:ind w:right="77"/>
              <w:jc w:val="right"/>
              <w:rPr>
                <w:sz w:val="20"/>
              </w:rPr>
            </w:pPr>
            <w:r>
              <w:rPr>
                <w:w w:val="105"/>
                <w:sz w:val="20"/>
              </w:rPr>
              <w:t>9,740,948.99</w:t>
            </w:r>
          </w:p>
        </w:tc>
        <w:tc>
          <w:tcPr>
            <w:tcW w:w="1668" w:type="dxa"/>
            <w:tcBorders>
              <w:top w:val="single" w:sz="12" w:space="0" w:color="E6E6E6"/>
              <w:left w:val="single" w:sz="4" w:space="0" w:color="D9D9D9"/>
              <w:right w:val="single" w:sz="4" w:space="0" w:color="D9D9D9"/>
            </w:tcBorders>
          </w:tcPr>
          <w:p>
            <w:pPr>
              <w:pStyle w:val="TableParagraph"/>
              <w:spacing w:before="85"/>
              <w:ind w:right="77"/>
              <w:jc w:val="right"/>
              <w:rPr>
                <w:sz w:val="20"/>
              </w:rPr>
            </w:pPr>
            <w:r>
              <w:rPr>
                <w:w w:val="105"/>
                <w:sz w:val="20"/>
              </w:rPr>
              <w:t>8,678,183.25</w:t>
            </w:r>
          </w:p>
        </w:tc>
        <w:tc>
          <w:tcPr>
            <w:tcW w:w="1675" w:type="dxa"/>
            <w:tcBorders>
              <w:top w:val="single" w:sz="12" w:space="0" w:color="E6E6E6"/>
              <w:left w:val="single" w:sz="4" w:space="0" w:color="D9D9D9"/>
              <w:right w:val="single" w:sz="4" w:space="0" w:color="D9D9D9"/>
            </w:tcBorders>
          </w:tcPr>
          <w:p>
            <w:pPr>
              <w:pStyle w:val="TableParagraph"/>
              <w:spacing w:before="85"/>
              <w:ind w:right="77"/>
              <w:jc w:val="right"/>
              <w:rPr>
                <w:sz w:val="20"/>
              </w:rPr>
            </w:pPr>
            <w:r>
              <w:rPr>
                <w:w w:val="105"/>
                <w:sz w:val="20"/>
              </w:rPr>
              <w:t>8,814,270.32</w:t>
            </w:r>
          </w:p>
        </w:tc>
      </w:tr>
      <w:tr>
        <w:trPr>
          <w:trHeight w:val="411" w:hRule="atLeast"/>
        </w:trPr>
        <w:tc>
          <w:tcPr>
            <w:tcW w:w="2982" w:type="dxa"/>
            <w:tcBorders>
              <w:right w:val="single" w:sz="4" w:space="0" w:color="D9D9D9"/>
            </w:tcBorders>
            <w:shd w:val="clear" w:color="auto" w:fill="BEBEBE"/>
          </w:tcPr>
          <w:p>
            <w:pPr>
              <w:pStyle w:val="TableParagraph"/>
              <w:spacing w:before="90"/>
              <w:ind w:left="200"/>
              <w:rPr>
                <w:sz w:val="20"/>
              </w:rPr>
            </w:pPr>
            <w:r>
              <w:rPr>
                <w:w w:val="105"/>
                <w:sz w:val="20"/>
              </w:rPr>
              <w:t>Contributions</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150,297.16</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272,114.80</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549,307.67</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1,555,313.22</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2,417,205.26</w:t>
            </w:r>
          </w:p>
        </w:tc>
        <w:tc>
          <w:tcPr>
            <w:tcW w:w="1675"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2,868,697.75</w:t>
            </w:r>
          </w:p>
        </w:tc>
      </w:tr>
      <w:tr>
        <w:trPr>
          <w:trHeight w:val="412" w:hRule="atLeast"/>
        </w:trPr>
        <w:tc>
          <w:tcPr>
            <w:tcW w:w="2982" w:type="dxa"/>
            <w:tcBorders>
              <w:right w:val="single" w:sz="4" w:space="0" w:color="D9D9D9"/>
            </w:tcBorders>
          </w:tcPr>
          <w:p>
            <w:pPr>
              <w:pStyle w:val="TableParagraph"/>
              <w:spacing w:before="90"/>
              <w:ind w:left="200"/>
              <w:rPr>
                <w:sz w:val="20"/>
              </w:rPr>
            </w:pPr>
            <w:r>
              <w:rPr>
                <w:w w:val="110"/>
                <w:sz w:val="20"/>
              </w:rPr>
              <w:t>Withdrawals</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-161,191.34</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-314,989.69</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-608,139.40</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-1,753,539.40</w:t>
            </w:r>
          </w:p>
        </w:tc>
        <w:tc>
          <w:tcPr>
            <w:tcW w:w="1668" w:type="dxa"/>
            <w:tcBorders>
              <w:left w:val="single" w:sz="4" w:space="0" w:color="D9D9D9"/>
              <w:right w:val="single" w:sz="4" w:space="0" w:color="D9D9D9"/>
            </w:tcBorders>
          </w:tcPr>
          <w:p>
            <w:pPr>
              <w:pStyle w:val="TableParagraph"/>
              <w:spacing w:before="90"/>
              <w:ind w:right="80"/>
              <w:jc w:val="right"/>
              <w:rPr>
                <w:sz w:val="20"/>
              </w:rPr>
            </w:pPr>
            <w:r>
              <w:rPr>
                <w:w w:val="105"/>
                <w:sz w:val="20"/>
              </w:rPr>
              <w:t>-2,616,554.37</w:t>
            </w:r>
          </w:p>
        </w:tc>
        <w:tc>
          <w:tcPr>
            <w:tcW w:w="1675" w:type="dxa"/>
            <w:tcBorders>
              <w:left w:val="single" w:sz="4" w:space="0" w:color="D9D9D9"/>
              <w:right w:val="single" w:sz="4" w:space="0" w:color="D9D9D9"/>
            </w:tcBorders>
          </w:tcPr>
          <w:p>
            <w:pPr>
              <w:pStyle w:val="TableParagraph"/>
              <w:spacing w:before="90"/>
              <w:ind w:right="80"/>
              <w:jc w:val="right"/>
              <w:rPr>
                <w:sz w:val="20"/>
              </w:rPr>
            </w:pPr>
            <w:r>
              <w:rPr>
                <w:w w:val="105"/>
                <w:sz w:val="20"/>
              </w:rPr>
              <w:t>-3,103,021.55</w:t>
            </w:r>
          </w:p>
        </w:tc>
      </w:tr>
      <w:tr>
        <w:trPr>
          <w:trHeight w:val="412" w:hRule="atLeast"/>
        </w:trPr>
        <w:tc>
          <w:tcPr>
            <w:tcW w:w="2982" w:type="dxa"/>
            <w:tcBorders>
              <w:right w:val="single" w:sz="4" w:space="0" w:color="D9D9D9"/>
            </w:tcBorders>
            <w:shd w:val="clear" w:color="auto" w:fill="BEBEBE"/>
          </w:tcPr>
          <w:p>
            <w:pPr>
              <w:pStyle w:val="TableParagraph"/>
              <w:spacing w:before="90"/>
              <w:ind w:left="200"/>
              <w:rPr>
                <w:sz w:val="20"/>
              </w:rPr>
            </w:pPr>
            <w:r>
              <w:rPr>
                <w:w w:val="110"/>
                <w:sz w:val="20"/>
              </w:rPr>
              <w:t>Income Received</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99,370.33</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132,558.56</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285,158.86</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10"/>
                <w:sz w:val="20"/>
              </w:rPr>
              <w:t>744,168.45</w:t>
            </w:r>
          </w:p>
        </w:tc>
        <w:tc>
          <w:tcPr>
            <w:tcW w:w="1668"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1,137,885.70</w:t>
            </w:r>
          </w:p>
        </w:tc>
        <w:tc>
          <w:tcPr>
            <w:tcW w:w="1675" w:type="dxa"/>
            <w:tcBorders>
              <w:left w:val="single" w:sz="4" w:space="0" w:color="D9D9D9"/>
              <w:right w:val="single" w:sz="4" w:space="0" w:color="D9D9D9"/>
            </w:tcBorders>
            <w:shd w:val="clear" w:color="auto" w:fill="BEBEBE"/>
          </w:tcPr>
          <w:p>
            <w:pPr>
              <w:pStyle w:val="TableParagraph"/>
              <w:spacing w:before="90"/>
              <w:ind w:right="80"/>
              <w:jc w:val="right"/>
              <w:rPr>
                <w:sz w:val="20"/>
              </w:rPr>
            </w:pPr>
            <w:r>
              <w:rPr>
                <w:w w:val="105"/>
                <w:sz w:val="20"/>
              </w:rPr>
              <w:t>1,213,329.08</w:t>
            </w:r>
          </w:p>
        </w:tc>
      </w:tr>
      <w:tr>
        <w:trPr>
          <w:trHeight w:val="411" w:hRule="atLeast"/>
        </w:trPr>
        <w:tc>
          <w:tcPr>
            <w:tcW w:w="2982" w:type="dxa"/>
            <w:tcBorders>
              <w:bottom w:val="single" w:sz="8" w:space="0" w:color="000000"/>
              <w:right w:val="single" w:sz="4" w:space="0" w:color="D9D9D9"/>
            </w:tcBorders>
          </w:tcPr>
          <w:p>
            <w:pPr>
              <w:pStyle w:val="TableParagraph"/>
              <w:spacing w:before="90"/>
              <w:ind w:left="200"/>
              <w:rPr>
                <w:sz w:val="20"/>
              </w:rPr>
            </w:pPr>
            <w:r>
              <w:rPr>
                <w:w w:val="115"/>
                <w:sz w:val="20"/>
              </w:rPr>
              <w:t>Capital Gain/Loss</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10"/>
                <w:sz w:val="20"/>
              </w:rPr>
              <w:t>744,127.80</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10"/>
                <w:sz w:val="20"/>
              </w:rPr>
              <w:t>650,409.51</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05"/>
                <w:sz w:val="20"/>
              </w:rPr>
              <w:t>1,028,127.46</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05"/>
                <w:sz w:val="20"/>
              </w:rPr>
              <w:t>2,829,428.99</w:t>
            </w:r>
          </w:p>
        </w:tc>
        <w:tc>
          <w:tcPr>
            <w:tcW w:w="1668"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05"/>
                <w:sz w:val="20"/>
              </w:rPr>
              <w:t>3,499,600.41</w:t>
            </w:r>
          </w:p>
        </w:tc>
        <w:tc>
          <w:tcPr>
            <w:tcW w:w="1675" w:type="dxa"/>
            <w:tcBorders>
              <w:left w:val="single" w:sz="4" w:space="0" w:color="D9D9D9"/>
              <w:bottom w:val="single" w:sz="8" w:space="0" w:color="000000"/>
              <w:right w:val="single" w:sz="4" w:space="0" w:color="D9D9D9"/>
            </w:tcBorders>
          </w:tcPr>
          <w:p>
            <w:pPr>
              <w:pStyle w:val="TableParagraph"/>
              <w:spacing w:before="90"/>
              <w:ind w:right="80"/>
              <w:jc w:val="right"/>
              <w:rPr>
                <w:sz w:val="20"/>
              </w:rPr>
            </w:pPr>
            <w:r>
              <w:rPr>
                <w:w w:val="105"/>
                <w:sz w:val="20"/>
              </w:rPr>
              <w:t>3,323,044.65</w:t>
            </w:r>
          </w:p>
        </w:tc>
      </w:tr>
      <w:tr>
        <w:trPr>
          <w:trHeight w:val="412" w:hRule="atLeast"/>
        </w:trPr>
        <w:tc>
          <w:tcPr>
            <w:tcW w:w="2982" w:type="dxa"/>
            <w:tcBorders>
              <w:top w:val="single" w:sz="8" w:space="0" w:color="000000"/>
              <w:bottom w:val="single" w:sz="8" w:space="0" w:color="000000"/>
              <w:right w:val="single" w:sz="4" w:space="0" w:color="D9D9D9"/>
            </w:tcBorders>
          </w:tcPr>
          <w:p>
            <w:pPr>
              <w:pStyle w:val="TableParagraph"/>
              <w:spacing w:before="90"/>
              <w:ind w:left="94"/>
              <w:rPr>
                <w:sz w:val="20"/>
              </w:rPr>
            </w:pPr>
            <w:r>
              <w:rPr>
                <w:w w:val="115"/>
                <w:sz w:val="20"/>
              </w:rPr>
              <w:t>Value at End of Period</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13,116,320.25</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13,116,320.25</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13,116,320.25</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13,116,320.25</w:t>
            </w:r>
          </w:p>
        </w:tc>
        <w:tc>
          <w:tcPr>
            <w:tcW w:w="1668"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13,116,320.25</w:t>
            </w:r>
          </w:p>
        </w:tc>
        <w:tc>
          <w:tcPr>
            <w:tcW w:w="1675" w:type="dxa"/>
            <w:tcBorders>
              <w:top w:val="single" w:sz="8" w:space="0" w:color="000000"/>
              <w:left w:val="single" w:sz="4" w:space="0" w:color="D9D9D9"/>
              <w:bottom w:val="single" w:sz="8" w:space="0" w:color="000000"/>
              <w:right w:val="single" w:sz="4" w:space="0" w:color="D9D9D9"/>
            </w:tcBorders>
          </w:tcPr>
          <w:p>
            <w:pPr>
              <w:pStyle w:val="TableParagraph"/>
              <w:spacing w:before="90"/>
              <w:ind w:right="74"/>
              <w:jc w:val="right"/>
              <w:rPr>
                <w:sz w:val="20"/>
              </w:rPr>
            </w:pPr>
            <w:r>
              <w:rPr>
                <w:w w:val="105"/>
                <w:sz w:val="20"/>
              </w:rPr>
              <w:t>13,116,320.25</w:t>
            </w:r>
          </w:p>
        </w:tc>
      </w:tr>
      <w:tr>
        <w:trPr>
          <w:trHeight w:val="416" w:hRule="atLeast"/>
        </w:trPr>
        <w:tc>
          <w:tcPr>
            <w:tcW w:w="2982" w:type="dxa"/>
            <w:tcBorders>
              <w:top w:val="single" w:sz="8" w:space="0" w:color="000000"/>
              <w:bottom w:val="single" w:sz="4" w:space="0" w:color="7E7E7E"/>
              <w:right w:val="single" w:sz="4" w:space="0" w:color="D9D9D9"/>
            </w:tcBorders>
          </w:tcPr>
          <w:p>
            <w:pPr>
              <w:pStyle w:val="TableParagraph"/>
              <w:spacing w:before="90"/>
              <w:ind w:left="94"/>
              <w:rPr>
                <w:sz w:val="20"/>
              </w:rPr>
            </w:pPr>
            <w:r>
              <w:rPr>
                <w:w w:val="110"/>
                <w:sz w:val="20"/>
              </w:rPr>
              <w:t>Total</w:t>
            </w:r>
            <w:r>
              <w:rPr>
                <w:spacing w:val="-25"/>
                <w:w w:val="110"/>
                <w:sz w:val="20"/>
              </w:rPr>
              <w:t> </w:t>
            </w:r>
            <w:r>
              <w:rPr>
                <w:w w:val="110"/>
                <w:sz w:val="20"/>
              </w:rPr>
              <w:t>Investment</w:t>
            </w:r>
            <w:r>
              <w:rPr>
                <w:spacing w:val="-22"/>
                <w:w w:val="110"/>
                <w:sz w:val="20"/>
              </w:rPr>
              <w:t> </w:t>
            </w:r>
            <w:r>
              <w:rPr>
                <w:w w:val="110"/>
                <w:sz w:val="20"/>
              </w:rPr>
              <w:t>Gain</w:t>
            </w:r>
            <w:r>
              <w:rPr>
                <w:spacing w:val="-24"/>
                <w:w w:val="110"/>
                <w:sz w:val="20"/>
              </w:rPr>
              <w:t> </w:t>
            </w:r>
            <w:r>
              <w:rPr>
                <w:w w:val="110"/>
                <w:sz w:val="20"/>
              </w:rPr>
              <w:t>after</w:t>
            </w:r>
            <w:r>
              <w:rPr>
                <w:spacing w:val="-23"/>
                <w:w w:val="110"/>
                <w:sz w:val="20"/>
              </w:rPr>
              <w:t> </w:t>
            </w:r>
            <w:r>
              <w:rPr>
                <w:w w:val="110"/>
                <w:sz w:val="20"/>
              </w:rPr>
              <w:t>Fees</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7"/>
              <w:jc w:val="right"/>
              <w:rPr>
                <w:sz w:val="20"/>
              </w:rPr>
            </w:pPr>
            <w:r>
              <w:rPr>
                <w:w w:val="110"/>
                <w:sz w:val="20"/>
              </w:rPr>
              <w:t>843,498.13</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7"/>
              <w:jc w:val="right"/>
              <w:rPr>
                <w:sz w:val="20"/>
              </w:rPr>
            </w:pPr>
            <w:r>
              <w:rPr>
                <w:w w:val="110"/>
                <w:sz w:val="20"/>
              </w:rPr>
              <w:t>782,968.07</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7"/>
              <w:jc w:val="right"/>
              <w:rPr>
                <w:sz w:val="20"/>
              </w:rPr>
            </w:pPr>
            <w:r>
              <w:rPr>
                <w:w w:val="105"/>
                <w:sz w:val="20"/>
              </w:rPr>
              <w:t>1,313,286.32</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7"/>
              <w:jc w:val="right"/>
              <w:rPr>
                <w:sz w:val="20"/>
              </w:rPr>
            </w:pPr>
            <w:r>
              <w:rPr>
                <w:w w:val="105"/>
                <w:sz w:val="20"/>
              </w:rPr>
              <w:t>3,573,597.44</w:t>
            </w:r>
          </w:p>
        </w:tc>
        <w:tc>
          <w:tcPr>
            <w:tcW w:w="1668" w:type="dxa"/>
            <w:tcBorders>
              <w:top w:val="single" w:sz="8" w:space="0" w:color="000000"/>
              <w:left w:val="single" w:sz="4" w:space="0" w:color="D9D9D9"/>
              <w:bottom w:val="single" w:sz="4" w:space="0" w:color="7E7E7E"/>
              <w:right w:val="single" w:sz="4" w:space="0" w:color="D9D9D9"/>
            </w:tcBorders>
          </w:tcPr>
          <w:p>
            <w:pPr>
              <w:pStyle w:val="TableParagraph"/>
              <w:spacing w:before="90"/>
              <w:ind w:right="77"/>
              <w:jc w:val="right"/>
              <w:rPr>
                <w:sz w:val="20"/>
              </w:rPr>
            </w:pPr>
            <w:r>
              <w:rPr>
                <w:w w:val="105"/>
                <w:sz w:val="20"/>
              </w:rPr>
              <w:t>4,637,486.11</w:t>
            </w:r>
          </w:p>
        </w:tc>
        <w:tc>
          <w:tcPr>
            <w:tcW w:w="1675" w:type="dxa"/>
            <w:tcBorders>
              <w:top w:val="single" w:sz="8" w:space="0" w:color="000000"/>
              <w:left w:val="single" w:sz="4" w:space="0" w:color="D9D9D9"/>
              <w:bottom w:val="single" w:sz="4" w:space="0" w:color="7E7E7E"/>
              <w:right w:val="single" w:sz="4" w:space="0" w:color="D9D9D9"/>
            </w:tcBorders>
          </w:tcPr>
          <w:p>
            <w:pPr>
              <w:pStyle w:val="TableParagraph"/>
              <w:spacing w:before="90"/>
              <w:ind w:right="77"/>
              <w:jc w:val="right"/>
              <w:rPr>
                <w:sz w:val="20"/>
              </w:rPr>
            </w:pPr>
            <w:r>
              <w:rPr>
                <w:w w:val="105"/>
                <w:sz w:val="20"/>
              </w:rPr>
              <w:t>4,536,373.73</w:t>
            </w:r>
          </w:p>
        </w:tc>
      </w:tr>
      <w:tr>
        <w:trPr>
          <w:trHeight w:val="411" w:hRule="atLeast"/>
        </w:trPr>
        <w:tc>
          <w:tcPr>
            <w:tcW w:w="12997" w:type="dxa"/>
            <w:gridSpan w:val="7"/>
            <w:tcBorders>
              <w:top w:val="single" w:sz="4" w:space="0" w:color="7E7E7E"/>
              <w:bottom w:val="single" w:sz="12" w:space="0" w:color="D9D9D9"/>
              <w:right w:val="nil"/>
            </w:tcBorders>
            <w:shd w:val="clear" w:color="auto" w:fill="014612"/>
          </w:tcPr>
          <w:p>
            <w:pPr>
              <w:pStyle w:val="TableParagraph"/>
              <w:spacing w:before="95"/>
              <w:ind w:left="94"/>
              <w:rPr>
                <w:sz w:val="20"/>
              </w:rPr>
            </w:pPr>
            <w:r>
              <w:rPr>
                <w:color w:val="FFFFFF"/>
                <w:w w:val="110"/>
                <w:sz w:val="20"/>
              </w:rPr>
              <w:t>Performance</w:t>
            </w:r>
          </w:p>
        </w:tc>
      </w:tr>
      <w:tr>
        <w:trPr>
          <w:trHeight w:val="401" w:hRule="atLeast"/>
        </w:trPr>
        <w:tc>
          <w:tcPr>
            <w:tcW w:w="2982" w:type="dxa"/>
            <w:tcBorders>
              <w:top w:val="single" w:sz="12" w:space="0" w:color="D9D9D9"/>
              <w:bottom w:val="single" w:sz="12" w:space="0" w:color="D9D9D9"/>
              <w:right w:val="single" w:sz="4" w:space="0" w:color="D9D9D9"/>
            </w:tcBorders>
          </w:tcPr>
          <w:p>
            <w:pPr>
              <w:pStyle w:val="TableParagraph"/>
              <w:spacing w:before="86"/>
              <w:ind w:left="94"/>
              <w:rPr>
                <w:sz w:val="20"/>
              </w:rPr>
            </w:pPr>
            <w:r>
              <w:rPr>
                <w:w w:val="105"/>
                <w:sz w:val="20"/>
              </w:rPr>
              <w:t>Portfolio Return</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6.89%</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6.38%</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11.16%</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11.14%</w:t>
            </w:r>
          </w:p>
        </w:tc>
        <w:tc>
          <w:tcPr>
            <w:tcW w:w="1668"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9"/>
              <w:jc w:val="right"/>
              <w:rPr>
                <w:sz w:val="20"/>
              </w:rPr>
            </w:pPr>
            <w:r>
              <w:rPr>
                <w:w w:val="110"/>
                <w:sz w:val="20"/>
              </w:rPr>
              <w:t>9.04%</w:t>
            </w:r>
          </w:p>
        </w:tc>
        <w:tc>
          <w:tcPr>
            <w:tcW w:w="1675" w:type="dxa"/>
            <w:tcBorders>
              <w:top w:val="single" w:sz="12" w:space="0" w:color="D9D9D9"/>
              <w:left w:val="single" w:sz="4" w:space="0" w:color="D9D9D9"/>
              <w:bottom w:val="single" w:sz="12" w:space="0" w:color="D9D9D9"/>
              <w:right w:val="single" w:sz="4" w:space="0" w:color="D9D9D9"/>
            </w:tcBorders>
          </w:tcPr>
          <w:p>
            <w:pPr>
              <w:pStyle w:val="TableParagraph"/>
              <w:spacing w:before="86"/>
              <w:ind w:right="78"/>
              <w:jc w:val="right"/>
              <w:rPr>
                <w:sz w:val="20"/>
              </w:rPr>
            </w:pPr>
            <w:r>
              <w:rPr>
                <w:w w:val="110"/>
                <w:sz w:val="20"/>
              </w:rPr>
              <w:t>8.05%</w:t>
            </w:r>
          </w:p>
        </w:tc>
      </w:tr>
    </w:tbl>
    <w:p>
      <w:pPr>
        <w:spacing w:before="25"/>
        <w:ind w:left="776" w:right="0" w:firstLine="0"/>
        <w:jc w:val="left"/>
        <w:rPr>
          <w:rFonts w:ascii="Gill Sans MT"/>
          <w:sz w:val="14"/>
        </w:rPr>
      </w:pPr>
      <w:r>
        <w:rPr>
          <w:rFonts w:ascii="Gill Sans MT"/>
          <w:w w:val="110"/>
          <w:sz w:val="14"/>
        </w:rPr>
        <w:t>Inception Date: 1/1/2020</w:t>
      </w:r>
    </w:p>
    <w:p>
      <w:pPr>
        <w:spacing w:before="80"/>
        <w:ind w:left="776" w:right="0" w:firstLine="0"/>
        <w:jc w:val="left"/>
        <w:rPr>
          <w:rFonts w:ascii="Gill Sans MT"/>
          <w:sz w:val="14"/>
        </w:rPr>
      </w:pPr>
      <w:r>
        <w:rPr>
          <w:rFonts w:ascii="Gill Sans MT"/>
          <w:w w:val="110"/>
          <w:sz w:val="14"/>
        </w:rPr>
        <w:t>Portfolio Return is net of fees. Periods greater than 12 months are annualized.</w:t>
      </w:r>
    </w:p>
    <w:p>
      <w:pPr>
        <w:spacing w:after="0"/>
        <w:jc w:val="left"/>
        <w:rPr>
          <w:rFonts w:ascii="Gill Sans MT"/>
          <w:sz w:val="14"/>
        </w:rPr>
        <w:sectPr>
          <w:headerReference w:type="default" r:id="rId58"/>
          <w:footerReference w:type="default" r:id="rId59"/>
          <w:pgSz w:w="14400" w:h="10800" w:orient="landscape"/>
          <w:pgMar w:header="601" w:footer="1259" w:top="800" w:bottom="1440" w:left="20" w:right="40"/>
          <w:pgNumType w:start="21"/>
        </w:sectPr>
      </w:pPr>
    </w:p>
    <w:tbl>
      <w:tblPr>
        <w:tblW w:w="0" w:type="auto"/>
        <w:jc w:val="left"/>
        <w:tblInd w:w="7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2"/>
      </w:tblGrid>
      <w:tr>
        <w:trPr>
          <w:trHeight w:val="389" w:hRule="atLeast"/>
        </w:trPr>
        <w:tc>
          <w:tcPr>
            <w:tcW w:w="5532" w:type="dxa"/>
          </w:tcPr>
          <w:p>
            <w:pPr>
              <w:pStyle w:val="TableParagraph"/>
              <w:ind w:right="198"/>
              <w:jc w:val="right"/>
              <w:rPr>
                <w:sz w:val="28"/>
              </w:rPr>
            </w:pPr>
            <w:bookmarkStart w:name="Slide 22: Performance" w:id="28"/>
            <w:bookmarkEnd w:id="28"/>
            <w:r>
              <w:rPr/>
            </w:r>
            <w:r>
              <w:rPr>
                <w:w w:val="110"/>
                <w:sz w:val="28"/>
              </w:rPr>
              <w:t>CNY</w:t>
            </w:r>
            <w:r>
              <w:rPr>
                <w:spacing w:val="-56"/>
                <w:w w:val="110"/>
                <w:sz w:val="28"/>
              </w:rPr>
              <w:t> </w:t>
            </w:r>
            <w:r>
              <w:rPr>
                <w:w w:val="110"/>
                <w:sz w:val="28"/>
              </w:rPr>
              <w:t>Centro,</w:t>
            </w:r>
            <w:r>
              <w:rPr>
                <w:spacing w:val="-54"/>
                <w:w w:val="110"/>
                <w:sz w:val="28"/>
              </w:rPr>
              <w:t> </w:t>
            </w:r>
            <w:r>
              <w:rPr>
                <w:w w:val="110"/>
                <w:sz w:val="28"/>
              </w:rPr>
              <w:t>Inc.</w:t>
            </w:r>
            <w:r>
              <w:rPr>
                <w:spacing w:val="-54"/>
                <w:w w:val="110"/>
                <w:sz w:val="28"/>
              </w:rPr>
              <w:t> </w:t>
            </w:r>
            <w:r>
              <w:rPr>
                <w:w w:val="110"/>
                <w:sz w:val="28"/>
              </w:rPr>
              <w:t>Utica</w:t>
            </w:r>
            <w:r>
              <w:rPr>
                <w:spacing w:val="-55"/>
                <w:w w:val="110"/>
                <w:sz w:val="28"/>
              </w:rPr>
              <w:t> </w:t>
            </w:r>
            <w:r>
              <w:rPr>
                <w:spacing w:val="-3"/>
                <w:w w:val="110"/>
                <w:sz w:val="28"/>
              </w:rPr>
              <w:t>Employees</w:t>
            </w:r>
            <w:r>
              <w:rPr>
                <w:spacing w:val="-56"/>
                <w:w w:val="110"/>
                <w:sz w:val="28"/>
              </w:rPr>
              <w:t> </w:t>
            </w:r>
            <w:r>
              <w:rPr>
                <w:w w:val="110"/>
                <w:sz w:val="28"/>
              </w:rPr>
              <w:t>DB</w:t>
            </w:r>
            <w:r>
              <w:rPr>
                <w:spacing w:val="-54"/>
                <w:w w:val="110"/>
                <w:sz w:val="28"/>
              </w:rPr>
              <w:t> </w:t>
            </w:r>
            <w:r>
              <w:rPr>
                <w:w w:val="110"/>
                <w:sz w:val="28"/>
              </w:rPr>
              <w:t>Plan</w:t>
            </w:r>
          </w:p>
        </w:tc>
      </w:tr>
      <w:tr>
        <w:trPr>
          <w:trHeight w:val="363" w:hRule="atLeast"/>
        </w:trPr>
        <w:tc>
          <w:tcPr>
            <w:tcW w:w="5532" w:type="dxa"/>
          </w:tcPr>
          <w:p>
            <w:pPr>
              <w:pStyle w:val="TableParagraph"/>
              <w:spacing w:line="285" w:lineRule="exact" w:before="59"/>
              <w:ind w:right="202"/>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spacing w:before="3" w:after="1"/>
        <w:rPr>
          <w:rFonts w:ascii="Gill Sans MT"/>
          <w:sz w:val="29"/>
        </w:rPr>
      </w:pPr>
    </w:p>
    <w:tbl>
      <w:tblPr>
        <w:tblW w:w="0" w:type="auto"/>
        <w:jc w:val="left"/>
        <w:tblInd w:w="99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709"/>
        <w:gridCol w:w="1613"/>
        <w:gridCol w:w="1613"/>
        <w:gridCol w:w="1613"/>
        <w:gridCol w:w="1613"/>
        <w:gridCol w:w="1613"/>
        <w:gridCol w:w="1613"/>
      </w:tblGrid>
      <w:tr>
        <w:trPr>
          <w:trHeight w:val="239" w:hRule="atLeast"/>
        </w:trPr>
        <w:tc>
          <w:tcPr>
            <w:tcW w:w="12387" w:type="dxa"/>
            <w:gridSpan w:val="7"/>
            <w:tcBorders>
              <w:bottom w:val="single" w:sz="12" w:space="0" w:color="FFFFFF"/>
              <w:right w:val="nil"/>
            </w:tcBorders>
          </w:tcPr>
          <w:p>
            <w:pPr>
              <w:pStyle w:val="TableParagraph"/>
              <w:rPr>
                <w:rFonts w:ascii="Times New Roman"/>
                <w:sz w:val="16"/>
              </w:rPr>
            </w:pPr>
          </w:p>
        </w:tc>
      </w:tr>
      <w:tr>
        <w:trPr>
          <w:trHeight w:val="546" w:hRule="atLeast"/>
        </w:trPr>
        <w:tc>
          <w:tcPr>
            <w:tcW w:w="2709" w:type="dxa"/>
            <w:tcBorders>
              <w:top w:val="single" w:sz="12" w:space="0" w:color="FFFFFF"/>
              <w:bottom w:val="single" w:sz="12" w:space="0" w:color="E6E6E6"/>
              <w:right w:val="single" w:sz="4" w:space="0" w:color="D9D9D9"/>
            </w:tcBorders>
            <w:shd w:val="clear" w:color="auto" w:fill="014612"/>
          </w:tcPr>
          <w:p>
            <w:pPr>
              <w:pStyle w:val="TableParagraph"/>
              <w:rPr>
                <w:rFonts w:ascii="Times New Roman"/>
                <w:sz w:val="20"/>
              </w:rPr>
            </w:pP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before="157"/>
              <w:ind w:left="573" w:right="554"/>
              <w:jc w:val="center"/>
              <w:rPr>
                <w:sz w:val="20"/>
              </w:rPr>
            </w:pPr>
            <w:r>
              <w:rPr>
                <w:color w:val="FFFFFF"/>
                <w:sz w:val="20"/>
              </w:rPr>
              <w:t>QTD</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before="157"/>
              <w:ind w:left="573" w:right="552"/>
              <w:jc w:val="center"/>
              <w:rPr>
                <w:sz w:val="20"/>
              </w:rPr>
            </w:pPr>
            <w:r>
              <w:rPr>
                <w:color w:val="FFFFFF"/>
                <w:sz w:val="20"/>
              </w:rPr>
              <w:t>YTD</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before="157"/>
              <w:ind w:left="530"/>
              <w:rPr>
                <w:sz w:val="20"/>
              </w:rPr>
            </w:pPr>
            <w:r>
              <w:rPr>
                <w:color w:val="FFFFFF"/>
                <w:w w:val="105"/>
                <w:sz w:val="20"/>
              </w:rPr>
              <w:t>1 Year</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line="247" w:lineRule="auto" w:before="37"/>
              <w:ind w:left="324" w:right="282" w:firstLine="206"/>
              <w:rPr>
                <w:sz w:val="20"/>
              </w:rPr>
            </w:pPr>
            <w:r>
              <w:rPr>
                <w:color w:val="FFFFFF"/>
                <w:w w:val="110"/>
                <w:sz w:val="20"/>
              </w:rPr>
              <w:t>3 Year Annualized</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line="247" w:lineRule="auto" w:before="37"/>
              <w:ind w:left="324" w:firstLine="206"/>
              <w:rPr>
                <w:sz w:val="20"/>
              </w:rPr>
            </w:pPr>
            <w:r>
              <w:rPr>
                <w:color w:val="FFFFFF"/>
                <w:w w:val="110"/>
                <w:sz w:val="20"/>
              </w:rPr>
              <w:t>5 Year Annualized</w:t>
            </w:r>
          </w:p>
        </w:tc>
        <w:tc>
          <w:tcPr>
            <w:tcW w:w="1613" w:type="dxa"/>
            <w:tcBorders>
              <w:top w:val="single" w:sz="12" w:space="0" w:color="FFFFFF"/>
              <w:left w:val="single" w:sz="4" w:space="0" w:color="D9D9D9"/>
              <w:right w:val="single" w:sz="4" w:space="0" w:color="D9D9D9"/>
            </w:tcBorders>
            <w:shd w:val="clear" w:color="auto" w:fill="014612"/>
          </w:tcPr>
          <w:p>
            <w:pPr>
              <w:pStyle w:val="TableParagraph"/>
              <w:spacing w:line="247" w:lineRule="auto" w:before="37"/>
              <w:ind w:left="323" w:hanging="185"/>
              <w:rPr>
                <w:sz w:val="20"/>
              </w:rPr>
            </w:pPr>
            <w:r>
              <w:rPr>
                <w:color w:val="FFFFFF"/>
                <w:w w:val="110"/>
                <w:sz w:val="20"/>
              </w:rPr>
              <w:t>Since Inception Annualized</w:t>
            </w:r>
          </w:p>
        </w:tc>
      </w:tr>
      <w:tr>
        <w:trPr>
          <w:trHeight w:val="335" w:hRule="atLeast"/>
        </w:trPr>
        <w:tc>
          <w:tcPr>
            <w:tcW w:w="2709" w:type="dxa"/>
            <w:tcBorders>
              <w:top w:val="single" w:sz="12" w:space="0" w:color="E6E6E6"/>
              <w:right w:val="single" w:sz="4" w:space="0" w:color="D9D9D9"/>
            </w:tcBorders>
            <w:shd w:val="clear" w:color="auto" w:fill="BEBEBE"/>
          </w:tcPr>
          <w:p>
            <w:pPr>
              <w:pStyle w:val="TableParagraph"/>
              <w:spacing w:before="49"/>
              <w:ind w:left="91"/>
              <w:rPr>
                <w:sz w:val="20"/>
              </w:rPr>
            </w:pPr>
            <w:r>
              <w:rPr>
                <w:w w:val="110"/>
                <w:sz w:val="20"/>
              </w:rPr>
              <w:t>Equities</w:t>
            </w:r>
          </w:p>
        </w:tc>
        <w:tc>
          <w:tcPr>
            <w:tcW w:w="1613" w:type="dxa"/>
            <w:tcBorders>
              <w:left w:val="single" w:sz="4" w:space="0" w:color="D9D9D9"/>
              <w:right w:val="single" w:sz="4" w:space="0" w:color="D9D9D9"/>
            </w:tcBorders>
            <w:shd w:val="clear" w:color="auto" w:fill="BEBEBE"/>
          </w:tcPr>
          <w:p>
            <w:pPr>
              <w:pStyle w:val="TableParagraph"/>
              <w:spacing w:before="49"/>
              <w:ind w:right="77"/>
              <w:jc w:val="right"/>
              <w:rPr>
                <w:sz w:val="20"/>
              </w:rPr>
            </w:pPr>
            <w:r>
              <w:rPr>
                <w:w w:val="110"/>
                <w:sz w:val="20"/>
              </w:rPr>
              <w:t>10.05%</w:t>
            </w:r>
          </w:p>
        </w:tc>
        <w:tc>
          <w:tcPr>
            <w:tcW w:w="1613" w:type="dxa"/>
            <w:tcBorders>
              <w:left w:val="single" w:sz="4" w:space="0" w:color="D9D9D9"/>
              <w:right w:val="single" w:sz="4" w:space="0" w:color="D9D9D9"/>
            </w:tcBorders>
            <w:shd w:val="clear" w:color="auto" w:fill="BEBEBE"/>
          </w:tcPr>
          <w:p>
            <w:pPr>
              <w:pStyle w:val="TableParagraph"/>
              <w:spacing w:before="49"/>
              <w:ind w:right="77"/>
              <w:jc w:val="right"/>
              <w:rPr>
                <w:sz w:val="20"/>
              </w:rPr>
            </w:pPr>
            <w:r>
              <w:rPr>
                <w:w w:val="110"/>
                <w:sz w:val="20"/>
              </w:rPr>
              <w:t>7.86%</w:t>
            </w:r>
          </w:p>
        </w:tc>
        <w:tc>
          <w:tcPr>
            <w:tcW w:w="1613" w:type="dxa"/>
            <w:tcBorders>
              <w:left w:val="single" w:sz="4" w:space="0" w:color="D9D9D9"/>
              <w:right w:val="single" w:sz="4" w:space="0" w:color="D9D9D9"/>
            </w:tcBorders>
            <w:shd w:val="clear" w:color="auto" w:fill="BEBEBE"/>
          </w:tcPr>
          <w:p>
            <w:pPr>
              <w:pStyle w:val="TableParagraph"/>
              <w:spacing w:before="49"/>
              <w:ind w:right="77"/>
              <w:jc w:val="right"/>
              <w:rPr>
                <w:sz w:val="20"/>
              </w:rPr>
            </w:pPr>
            <w:r>
              <w:rPr>
                <w:w w:val="110"/>
                <w:sz w:val="20"/>
              </w:rPr>
              <w:t>14.22%</w:t>
            </w:r>
          </w:p>
        </w:tc>
        <w:tc>
          <w:tcPr>
            <w:tcW w:w="1613" w:type="dxa"/>
            <w:tcBorders>
              <w:left w:val="single" w:sz="4" w:space="0" w:color="D9D9D9"/>
              <w:right w:val="single" w:sz="4" w:space="0" w:color="D9D9D9"/>
            </w:tcBorders>
            <w:shd w:val="clear" w:color="auto" w:fill="BEBEBE"/>
          </w:tcPr>
          <w:p>
            <w:pPr>
              <w:pStyle w:val="TableParagraph"/>
              <w:spacing w:before="49"/>
              <w:ind w:right="77"/>
              <w:jc w:val="right"/>
              <w:rPr>
                <w:sz w:val="20"/>
              </w:rPr>
            </w:pPr>
            <w:r>
              <w:rPr>
                <w:w w:val="110"/>
                <w:sz w:val="20"/>
              </w:rPr>
              <w:t>16.03%</w:t>
            </w:r>
          </w:p>
        </w:tc>
        <w:tc>
          <w:tcPr>
            <w:tcW w:w="1613" w:type="dxa"/>
            <w:tcBorders>
              <w:left w:val="single" w:sz="4" w:space="0" w:color="D9D9D9"/>
              <w:right w:val="single" w:sz="4" w:space="0" w:color="D9D9D9"/>
            </w:tcBorders>
            <w:shd w:val="clear" w:color="auto" w:fill="BEBEBE"/>
          </w:tcPr>
          <w:p>
            <w:pPr>
              <w:pStyle w:val="TableParagraph"/>
              <w:spacing w:before="49"/>
              <w:ind w:right="78"/>
              <w:jc w:val="right"/>
              <w:rPr>
                <w:sz w:val="20"/>
              </w:rPr>
            </w:pPr>
            <w:r>
              <w:rPr>
                <w:w w:val="110"/>
                <w:sz w:val="20"/>
              </w:rPr>
              <w:t>14.15%</w:t>
            </w:r>
          </w:p>
        </w:tc>
        <w:tc>
          <w:tcPr>
            <w:tcW w:w="1613" w:type="dxa"/>
            <w:tcBorders>
              <w:left w:val="single" w:sz="4" w:space="0" w:color="D9D9D9"/>
              <w:right w:val="single" w:sz="4" w:space="0" w:color="D9D9D9"/>
            </w:tcBorders>
            <w:shd w:val="clear" w:color="auto" w:fill="BEBEBE"/>
          </w:tcPr>
          <w:p>
            <w:pPr>
              <w:pStyle w:val="TableParagraph"/>
              <w:spacing w:before="49"/>
              <w:ind w:right="78"/>
              <w:jc w:val="right"/>
              <w:rPr>
                <w:sz w:val="20"/>
              </w:rPr>
            </w:pPr>
            <w:r>
              <w:rPr>
                <w:w w:val="110"/>
                <w:sz w:val="20"/>
              </w:rPr>
              <w:t>10.84%</w:t>
            </w:r>
          </w:p>
        </w:tc>
      </w:tr>
      <w:tr>
        <w:trPr>
          <w:trHeight w:val="340" w:hRule="atLeast"/>
        </w:trPr>
        <w:tc>
          <w:tcPr>
            <w:tcW w:w="2709" w:type="dxa"/>
            <w:tcBorders>
              <w:right w:val="single" w:sz="4" w:space="0" w:color="D9D9D9"/>
            </w:tcBorders>
          </w:tcPr>
          <w:p>
            <w:pPr>
              <w:pStyle w:val="TableParagraph"/>
              <w:spacing w:before="54"/>
              <w:ind w:left="91"/>
              <w:rPr>
                <w:sz w:val="20"/>
              </w:rPr>
            </w:pPr>
            <w:r>
              <w:rPr>
                <w:w w:val="110"/>
                <w:sz w:val="20"/>
              </w:rPr>
              <w:t>S&amp;P 500 Large Cap</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10.94%</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6.20%</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15.16%</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19.70%</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16.64%</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14.37%</w:t>
            </w:r>
          </w:p>
        </w:tc>
      </w:tr>
      <w:tr>
        <w:trPr>
          <w:trHeight w:val="340" w:hRule="atLeast"/>
        </w:trPr>
        <w:tc>
          <w:tcPr>
            <w:tcW w:w="2709" w:type="dxa"/>
            <w:tcBorders>
              <w:right w:val="single" w:sz="4" w:space="0" w:color="D9D9D9"/>
            </w:tcBorders>
          </w:tcPr>
          <w:p>
            <w:pPr>
              <w:pStyle w:val="TableParagraph"/>
              <w:spacing w:before="54"/>
              <w:ind w:left="91"/>
              <w:rPr>
                <w:sz w:val="20"/>
              </w:rPr>
            </w:pPr>
            <w:r>
              <w:rPr>
                <w:w w:val="115"/>
                <w:sz w:val="20"/>
              </w:rPr>
              <w:t>S&amp;P 500 Value</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3.00%</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3.28%</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9.63%</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14.89%</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15.02%</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10.14%</w:t>
            </w:r>
          </w:p>
        </w:tc>
      </w:tr>
      <w:tr>
        <w:trPr>
          <w:trHeight w:val="340" w:hRule="atLeast"/>
        </w:trPr>
        <w:tc>
          <w:tcPr>
            <w:tcW w:w="2709" w:type="dxa"/>
            <w:tcBorders>
              <w:right w:val="single" w:sz="4" w:space="0" w:color="D9D9D9"/>
            </w:tcBorders>
          </w:tcPr>
          <w:p>
            <w:pPr>
              <w:pStyle w:val="TableParagraph"/>
              <w:spacing w:before="54"/>
              <w:ind w:left="91"/>
              <w:rPr>
                <w:sz w:val="20"/>
              </w:rPr>
            </w:pPr>
            <w:r>
              <w:rPr>
                <w:w w:val="110"/>
                <w:sz w:val="20"/>
              </w:rPr>
              <w:t>S&amp;P 400 Mid Cap</w:t>
            </w:r>
          </w:p>
        </w:tc>
        <w:tc>
          <w:tcPr>
            <w:tcW w:w="1613" w:type="dxa"/>
            <w:tcBorders>
              <w:left w:val="single" w:sz="4" w:space="0" w:color="D9D9D9"/>
              <w:right w:val="single" w:sz="4" w:space="0" w:color="D9D9D9"/>
            </w:tcBorders>
          </w:tcPr>
          <w:p>
            <w:pPr>
              <w:pStyle w:val="TableParagraph"/>
              <w:spacing w:before="54"/>
              <w:ind w:right="76"/>
              <w:jc w:val="right"/>
              <w:rPr>
                <w:sz w:val="20"/>
              </w:rPr>
            </w:pPr>
            <w:r>
              <w:rPr>
                <w:w w:val="110"/>
                <w:sz w:val="20"/>
              </w:rPr>
              <w:t>6.71%</w:t>
            </w:r>
          </w:p>
        </w:tc>
        <w:tc>
          <w:tcPr>
            <w:tcW w:w="1613" w:type="dxa"/>
            <w:tcBorders>
              <w:left w:val="single" w:sz="4" w:space="0" w:color="D9D9D9"/>
              <w:right w:val="single" w:sz="4" w:space="0" w:color="D9D9D9"/>
            </w:tcBorders>
          </w:tcPr>
          <w:p>
            <w:pPr>
              <w:pStyle w:val="TableParagraph"/>
              <w:spacing w:before="54"/>
              <w:ind w:right="76"/>
              <w:jc w:val="right"/>
              <w:rPr>
                <w:sz w:val="20"/>
              </w:rPr>
            </w:pPr>
            <w:r>
              <w:rPr>
                <w:w w:val="110"/>
                <w:sz w:val="20"/>
              </w:rPr>
              <w:t>0.20%</w:t>
            </w:r>
          </w:p>
        </w:tc>
        <w:tc>
          <w:tcPr>
            <w:tcW w:w="1613" w:type="dxa"/>
            <w:tcBorders>
              <w:left w:val="single" w:sz="4" w:space="0" w:color="D9D9D9"/>
              <w:right w:val="single" w:sz="4" w:space="0" w:color="D9D9D9"/>
            </w:tcBorders>
          </w:tcPr>
          <w:p>
            <w:pPr>
              <w:pStyle w:val="TableParagraph"/>
              <w:spacing w:before="54"/>
              <w:ind w:right="76"/>
              <w:jc w:val="right"/>
              <w:rPr>
                <w:sz w:val="20"/>
              </w:rPr>
            </w:pPr>
            <w:r>
              <w:rPr>
                <w:w w:val="110"/>
                <w:sz w:val="20"/>
              </w:rPr>
              <w:t>7.53%</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12.82%</w:t>
            </w:r>
          </w:p>
        </w:tc>
        <w:tc>
          <w:tcPr>
            <w:tcW w:w="1613" w:type="dxa"/>
            <w:tcBorders>
              <w:left w:val="single" w:sz="4" w:space="0" w:color="D9D9D9"/>
              <w:right w:val="single" w:sz="4" w:space="0" w:color="D9D9D9"/>
            </w:tcBorders>
          </w:tcPr>
          <w:p>
            <w:pPr>
              <w:pStyle w:val="TableParagraph"/>
              <w:spacing w:before="54"/>
              <w:ind w:right="78"/>
              <w:jc w:val="right"/>
              <w:rPr>
                <w:sz w:val="20"/>
              </w:rPr>
            </w:pPr>
            <w:r>
              <w:rPr>
                <w:w w:val="110"/>
                <w:sz w:val="20"/>
              </w:rPr>
              <w:t>13.44%</w:t>
            </w:r>
          </w:p>
        </w:tc>
        <w:tc>
          <w:tcPr>
            <w:tcW w:w="1613" w:type="dxa"/>
            <w:tcBorders>
              <w:left w:val="single" w:sz="4" w:space="0" w:color="D9D9D9"/>
              <w:right w:val="single" w:sz="4" w:space="0" w:color="D9D9D9"/>
            </w:tcBorders>
          </w:tcPr>
          <w:p>
            <w:pPr>
              <w:pStyle w:val="TableParagraph"/>
              <w:spacing w:before="54"/>
              <w:ind w:right="77"/>
              <w:jc w:val="right"/>
              <w:rPr>
                <w:sz w:val="20"/>
              </w:rPr>
            </w:pPr>
            <w:r>
              <w:rPr>
                <w:w w:val="110"/>
                <w:sz w:val="20"/>
              </w:rPr>
              <w:t>9.40%</w:t>
            </w:r>
          </w:p>
        </w:tc>
      </w:tr>
      <w:tr>
        <w:trPr>
          <w:trHeight w:val="340" w:hRule="atLeast"/>
        </w:trPr>
        <w:tc>
          <w:tcPr>
            <w:tcW w:w="2709" w:type="dxa"/>
            <w:tcBorders>
              <w:right w:val="single" w:sz="4" w:space="0" w:color="D9D9D9"/>
            </w:tcBorders>
          </w:tcPr>
          <w:p>
            <w:pPr>
              <w:pStyle w:val="TableParagraph"/>
              <w:spacing w:before="55"/>
              <w:ind w:left="91"/>
              <w:rPr>
                <w:sz w:val="20"/>
              </w:rPr>
            </w:pPr>
            <w:r>
              <w:rPr>
                <w:w w:val="115"/>
                <w:sz w:val="20"/>
              </w:rPr>
              <w:t>S&amp;P 600 Small Cap</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4.90%</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05"/>
                <w:sz w:val="20"/>
              </w:rPr>
              <w:t>-4.46%</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4.60%</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7.65%</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11.68%</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6.68%</w:t>
            </w:r>
          </w:p>
        </w:tc>
      </w:tr>
      <w:tr>
        <w:trPr>
          <w:trHeight w:val="340" w:hRule="atLeast"/>
        </w:trPr>
        <w:tc>
          <w:tcPr>
            <w:tcW w:w="2709" w:type="dxa"/>
            <w:tcBorders>
              <w:right w:val="single" w:sz="4" w:space="0" w:color="D9D9D9"/>
            </w:tcBorders>
          </w:tcPr>
          <w:p>
            <w:pPr>
              <w:pStyle w:val="TableParagraph"/>
              <w:spacing w:before="55"/>
              <w:ind w:left="91"/>
              <w:rPr>
                <w:sz w:val="20"/>
              </w:rPr>
            </w:pPr>
            <w:r>
              <w:rPr>
                <w:w w:val="110"/>
                <w:sz w:val="20"/>
              </w:rPr>
              <w:t>MSCI EAFE</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11.78%</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19.45%</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17.73%</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15.96%</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11.16%</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7.72%</w:t>
            </w:r>
          </w:p>
        </w:tc>
      </w:tr>
      <w:tr>
        <w:trPr>
          <w:trHeight w:val="340" w:hRule="atLeast"/>
        </w:trPr>
        <w:tc>
          <w:tcPr>
            <w:tcW w:w="2709" w:type="dxa"/>
            <w:tcBorders>
              <w:right w:val="single" w:sz="4" w:space="0" w:color="D9D9D9"/>
            </w:tcBorders>
          </w:tcPr>
          <w:p>
            <w:pPr>
              <w:pStyle w:val="TableParagraph"/>
              <w:spacing w:before="55"/>
              <w:ind w:left="91"/>
              <w:rPr>
                <w:sz w:val="20"/>
              </w:rPr>
            </w:pPr>
            <w:r>
              <w:rPr>
                <w:w w:val="110"/>
                <w:sz w:val="20"/>
              </w:rPr>
              <w:t>MSCI Emerging Markets</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11.99%</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15.27%</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15.29%</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9.70%</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6.81%</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4.20%</w:t>
            </w:r>
          </w:p>
        </w:tc>
      </w:tr>
      <w:tr>
        <w:trPr>
          <w:trHeight w:val="340" w:hRule="atLeast"/>
        </w:trPr>
        <w:tc>
          <w:tcPr>
            <w:tcW w:w="2709" w:type="dxa"/>
            <w:tcBorders>
              <w:right w:val="single" w:sz="4" w:space="0" w:color="D9D9D9"/>
            </w:tcBorders>
            <w:shd w:val="clear" w:color="auto" w:fill="BEBEBE"/>
          </w:tcPr>
          <w:p>
            <w:pPr>
              <w:pStyle w:val="TableParagraph"/>
              <w:spacing w:before="55"/>
              <w:ind w:left="91"/>
              <w:rPr>
                <w:sz w:val="20"/>
              </w:rPr>
            </w:pPr>
            <w:r>
              <w:rPr>
                <w:w w:val="110"/>
                <w:sz w:val="20"/>
              </w:rPr>
              <w:t>Fixed Income</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1.24%</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3.82%</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5.83%</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2.59%</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05"/>
                <w:sz w:val="20"/>
              </w:rPr>
              <w:t>-0.44%</w:t>
            </w:r>
          </w:p>
        </w:tc>
        <w:tc>
          <w:tcPr>
            <w:tcW w:w="1613" w:type="dxa"/>
            <w:tcBorders>
              <w:left w:val="single" w:sz="4" w:space="0" w:color="D9D9D9"/>
              <w:right w:val="single" w:sz="4" w:space="0" w:color="D9D9D9"/>
            </w:tcBorders>
            <w:shd w:val="clear" w:color="auto" w:fill="BEBEBE"/>
          </w:tcPr>
          <w:p>
            <w:pPr>
              <w:pStyle w:val="TableParagraph"/>
              <w:spacing w:before="55"/>
              <w:ind w:right="78"/>
              <w:jc w:val="right"/>
              <w:rPr>
                <w:sz w:val="20"/>
              </w:rPr>
            </w:pPr>
            <w:r>
              <w:rPr>
                <w:w w:val="110"/>
                <w:sz w:val="20"/>
              </w:rPr>
              <w:t>0.53%</w:t>
            </w:r>
          </w:p>
        </w:tc>
      </w:tr>
      <w:tr>
        <w:trPr>
          <w:trHeight w:val="340" w:hRule="atLeast"/>
        </w:trPr>
        <w:tc>
          <w:tcPr>
            <w:tcW w:w="2709" w:type="dxa"/>
            <w:tcBorders>
              <w:right w:val="single" w:sz="4" w:space="0" w:color="D9D9D9"/>
            </w:tcBorders>
          </w:tcPr>
          <w:p>
            <w:pPr>
              <w:pStyle w:val="TableParagraph"/>
              <w:spacing w:before="55"/>
              <w:ind w:left="91"/>
              <w:rPr>
                <w:sz w:val="20"/>
              </w:rPr>
            </w:pPr>
            <w:r>
              <w:rPr>
                <w:w w:val="110"/>
                <w:sz w:val="20"/>
              </w:rPr>
              <w:t>Bloomberg US Agg Bond</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1.21%</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4.02%</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6.08%</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2.55%</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05"/>
                <w:sz w:val="20"/>
              </w:rPr>
              <w:t>-0.73%</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0.42%</w:t>
            </w:r>
          </w:p>
        </w:tc>
      </w:tr>
      <w:tr>
        <w:trPr>
          <w:trHeight w:val="340" w:hRule="atLeast"/>
        </w:trPr>
        <w:tc>
          <w:tcPr>
            <w:tcW w:w="2709" w:type="dxa"/>
            <w:tcBorders>
              <w:right w:val="single" w:sz="4" w:space="0" w:color="D9D9D9"/>
            </w:tcBorders>
            <w:shd w:val="clear" w:color="auto" w:fill="BEBEBE"/>
          </w:tcPr>
          <w:p>
            <w:pPr>
              <w:pStyle w:val="TableParagraph"/>
              <w:spacing w:before="55"/>
              <w:ind w:left="91"/>
              <w:rPr>
                <w:sz w:val="20"/>
              </w:rPr>
            </w:pPr>
            <w:r>
              <w:rPr>
                <w:w w:val="110"/>
                <w:sz w:val="20"/>
              </w:rPr>
              <w:t>Real Return Assets</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0.62%</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4.41%</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6.06%</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2.91%</w:t>
            </w:r>
          </w:p>
        </w:tc>
        <w:tc>
          <w:tcPr>
            <w:tcW w:w="1613" w:type="dxa"/>
            <w:tcBorders>
              <w:left w:val="single" w:sz="4" w:space="0" w:color="D9D9D9"/>
              <w:right w:val="single" w:sz="4" w:space="0" w:color="D9D9D9"/>
            </w:tcBorders>
            <w:shd w:val="clear" w:color="auto" w:fill="BEBEBE"/>
          </w:tcPr>
          <w:p>
            <w:pPr>
              <w:pStyle w:val="TableParagraph"/>
              <w:spacing w:before="55"/>
              <w:ind w:right="77"/>
              <w:jc w:val="right"/>
              <w:rPr>
                <w:sz w:val="20"/>
              </w:rPr>
            </w:pPr>
            <w:r>
              <w:rPr>
                <w:w w:val="110"/>
                <w:sz w:val="20"/>
              </w:rPr>
              <w:t>2.34%</w:t>
            </w:r>
          </w:p>
        </w:tc>
        <w:tc>
          <w:tcPr>
            <w:tcW w:w="1613" w:type="dxa"/>
            <w:tcBorders>
              <w:left w:val="single" w:sz="4" w:space="0" w:color="D9D9D9"/>
              <w:right w:val="single" w:sz="4" w:space="0" w:color="D9D9D9"/>
            </w:tcBorders>
            <w:shd w:val="clear" w:color="auto" w:fill="BEBEBE"/>
          </w:tcPr>
          <w:p>
            <w:pPr>
              <w:pStyle w:val="TableParagraph"/>
              <w:spacing w:before="55"/>
              <w:ind w:right="78"/>
              <w:jc w:val="right"/>
              <w:rPr>
                <w:sz w:val="20"/>
              </w:rPr>
            </w:pPr>
            <w:r>
              <w:rPr>
                <w:w w:val="110"/>
                <w:sz w:val="20"/>
              </w:rPr>
              <w:t>3.75%</w:t>
            </w:r>
          </w:p>
        </w:tc>
      </w:tr>
      <w:tr>
        <w:trPr>
          <w:trHeight w:val="340" w:hRule="atLeast"/>
        </w:trPr>
        <w:tc>
          <w:tcPr>
            <w:tcW w:w="2709" w:type="dxa"/>
            <w:tcBorders>
              <w:right w:val="single" w:sz="4" w:space="0" w:color="D9D9D9"/>
            </w:tcBorders>
          </w:tcPr>
          <w:p>
            <w:pPr>
              <w:pStyle w:val="TableParagraph"/>
              <w:spacing w:before="55"/>
              <w:ind w:left="91"/>
              <w:rPr>
                <w:sz w:val="20"/>
              </w:rPr>
            </w:pPr>
            <w:r>
              <w:rPr>
                <w:w w:val="110"/>
                <w:sz w:val="20"/>
              </w:rPr>
              <w:t>Bloomberg</w:t>
            </w:r>
            <w:r>
              <w:rPr>
                <w:spacing w:val="-15"/>
                <w:w w:val="110"/>
                <w:sz w:val="20"/>
              </w:rPr>
              <w:t> </w:t>
            </w:r>
            <w:r>
              <w:rPr>
                <w:w w:val="110"/>
                <w:sz w:val="20"/>
              </w:rPr>
              <w:t>US</w:t>
            </w:r>
            <w:r>
              <w:rPr>
                <w:spacing w:val="-19"/>
                <w:w w:val="110"/>
                <w:sz w:val="20"/>
              </w:rPr>
              <w:t> </w:t>
            </w:r>
            <w:r>
              <w:rPr>
                <w:w w:val="110"/>
                <w:sz w:val="20"/>
              </w:rPr>
              <w:t>Treasury</w:t>
            </w:r>
            <w:r>
              <w:rPr>
                <w:spacing w:val="-17"/>
                <w:w w:val="110"/>
                <w:sz w:val="20"/>
              </w:rPr>
              <w:t> </w:t>
            </w:r>
            <w:r>
              <w:rPr>
                <w:w w:val="110"/>
                <w:sz w:val="20"/>
              </w:rPr>
              <w:t>TIPS</w:t>
            </w:r>
          </w:p>
        </w:tc>
        <w:tc>
          <w:tcPr>
            <w:tcW w:w="1613" w:type="dxa"/>
            <w:tcBorders>
              <w:left w:val="single" w:sz="4" w:space="0" w:color="D9D9D9"/>
              <w:right w:val="single" w:sz="4" w:space="0" w:color="D9D9D9"/>
            </w:tcBorders>
          </w:tcPr>
          <w:p>
            <w:pPr>
              <w:pStyle w:val="TableParagraph"/>
              <w:spacing w:before="55"/>
              <w:ind w:right="76"/>
              <w:jc w:val="right"/>
              <w:rPr>
                <w:sz w:val="20"/>
              </w:rPr>
            </w:pPr>
            <w:r>
              <w:rPr>
                <w:w w:val="110"/>
                <w:sz w:val="20"/>
              </w:rPr>
              <w:t>0.48%</w:t>
            </w:r>
          </w:p>
        </w:tc>
        <w:tc>
          <w:tcPr>
            <w:tcW w:w="1613" w:type="dxa"/>
            <w:tcBorders>
              <w:left w:val="single" w:sz="4" w:space="0" w:color="D9D9D9"/>
              <w:right w:val="single" w:sz="4" w:space="0" w:color="D9D9D9"/>
            </w:tcBorders>
          </w:tcPr>
          <w:p>
            <w:pPr>
              <w:pStyle w:val="TableParagraph"/>
              <w:spacing w:before="55"/>
              <w:ind w:right="76"/>
              <w:jc w:val="right"/>
              <w:rPr>
                <w:sz w:val="20"/>
              </w:rPr>
            </w:pPr>
            <w:r>
              <w:rPr>
                <w:w w:val="110"/>
                <w:sz w:val="20"/>
              </w:rPr>
              <w:t>4.67%</w:t>
            </w:r>
          </w:p>
        </w:tc>
        <w:tc>
          <w:tcPr>
            <w:tcW w:w="1613" w:type="dxa"/>
            <w:tcBorders>
              <w:left w:val="single" w:sz="4" w:space="0" w:color="D9D9D9"/>
              <w:right w:val="single" w:sz="4" w:space="0" w:color="D9D9D9"/>
            </w:tcBorders>
          </w:tcPr>
          <w:p>
            <w:pPr>
              <w:pStyle w:val="TableParagraph"/>
              <w:spacing w:before="55"/>
              <w:ind w:right="76"/>
              <w:jc w:val="right"/>
              <w:rPr>
                <w:sz w:val="20"/>
              </w:rPr>
            </w:pPr>
            <w:r>
              <w:rPr>
                <w:w w:val="110"/>
                <w:sz w:val="20"/>
              </w:rPr>
              <w:t>5.84%</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2.34%</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1.61%</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2.54%</w:t>
            </w:r>
          </w:p>
        </w:tc>
      </w:tr>
      <w:tr>
        <w:trPr>
          <w:trHeight w:val="340" w:hRule="atLeast"/>
        </w:trPr>
        <w:tc>
          <w:tcPr>
            <w:tcW w:w="2709" w:type="dxa"/>
            <w:tcBorders>
              <w:right w:val="single" w:sz="4" w:space="0" w:color="D9D9D9"/>
            </w:tcBorders>
          </w:tcPr>
          <w:p>
            <w:pPr>
              <w:pStyle w:val="TableParagraph"/>
              <w:spacing w:before="55"/>
              <w:ind w:left="91"/>
              <w:rPr>
                <w:sz w:val="20"/>
              </w:rPr>
            </w:pPr>
            <w:r>
              <w:rPr>
                <w:w w:val="105"/>
                <w:sz w:val="20"/>
              </w:rPr>
              <w:t>CPI</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0.30%</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0.94%</w:t>
            </w:r>
          </w:p>
        </w:tc>
        <w:tc>
          <w:tcPr>
            <w:tcW w:w="1613" w:type="dxa"/>
            <w:tcBorders>
              <w:left w:val="single" w:sz="4" w:space="0" w:color="D9D9D9"/>
              <w:right w:val="single" w:sz="4" w:space="0" w:color="D9D9D9"/>
            </w:tcBorders>
          </w:tcPr>
          <w:p>
            <w:pPr>
              <w:pStyle w:val="TableParagraph"/>
              <w:spacing w:before="55"/>
              <w:ind w:right="77"/>
              <w:jc w:val="right"/>
              <w:rPr>
                <w:sz w:val="20"/>
              </w:rPr>
            </w:pPr>
            <w:r>
              <w:rPr>
                <w:w w:val="110"/>
                <w:sz w:val="20"/>
              </w:rPr>
              <w:t>2.38%</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2.80%</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4.52%</w:t>
            </w:r>
          </w:p>
        </w:tc>
        <w:tc>
          <w:tcPr>
            <w:tcW w:w="1613" w:type="dxa"/>
            <w:tcBorders>
              <w:left w:val="single" w:sz="4" w:space="0" w:color="D9D9D9"/>
              <w:right w:val="single" w:sz="4" w:space="0" w:color="D9D9D9"/>
            </w:tcBorders>
          </w:tcPr>
          <w:p>
            <w:pPr>
              <w:pStyle w:val="TableParagraph"/>
              <w:spacing w:before="55"/>
              <w:ind w:right="78"/>
              <w:jc w:val="right"/>
              <w:rPr>
                <w:sz w:val="20"/>
              </w:rPr>
            </w:pPr>
            <w:r>
              <w:rPr>
                <w:w w:val="110"/>
                <w:sz w:val="20"/>
              </w:rPr>
              <w:t>3.98%</w:t>
            </w:r>
          </w:p>
        </w:tc>
      </w:tr>
      <w:tr>
        <w:trPr>
          <w:trHeight w:val="350" w:hRule="atLeast"/>
        </w:trPr>
        <w:tc>
          <w:tcPr>
            <w:tcW w:w="2709" w:type="dxa"/>
            <w:tcBorders>
              <w:bottom w:val="nil"/>
              <w:right w:val="single" w:sz="4" w:space="0" w:color="D9D9D9"/>
            </w:tcBorders>
            <w:shd w:val="clear" w:color="auto" w:fill="BEBEBE"/>
          </w:tcPr>
          <w:p>
            <w:pPr>
              <w:pStyle w:val="TableParagraph"/>
              <w:spacing w:before="55"/>
              <w:ind w:left="91"/>
              <w:rPr>
                <w:sz w:val="20"/>
              </w:rPr>
            </w:pPr>
            <w:r>
              <w:rPr>
                <w:w w:val="110"/>
                <w:sz w:val="20"/>
              </w:rPr>
              <w:t>Total Portfolio</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6.89%</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6.38%</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11.16%</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11.14%</w:t>
            </w:r>
          </w:p>
        </w:tc>
        <w:tc>
          <w:tcPr>
            <w:tcW w:w="1613" w:type="dxa"/>
            <w:tcBorders>
              <w:left w:val="single" w:sz="4" w:space="0" w:color="D9D9D9"/>
              <w:bottom w:val="nil"/>
              <w:right w:val="single" w:sz="4" w:space="0" w:color="D9D9D9"/>
            </w:tcBorders>
            <w:shd w:val="clear" w:color="auto" w:fill="BEBEBE"/>
          </w:tcPr>
          <w:p>
            <w:pPr>
              <w:pStyle w:val="TableParagraph"/>
              <w:spacing w:before="55"/>
              <w:ind w:right="77"/>
              <w:jc w:val="right"/>
              <w:rPr>
                <w:sz w:val="20"/>
              </w:rPr>
            </w:pPr>
            <w:r>
              <w:rPr>
                <w:w w:val="110"/>
                <w:sz w:val="20"/>
              </w:rPr>
              <w:t>9.04%</w:t>
            </w:r>
          </w:p>
        </w:tc>
        <w:tc>
          <w:tcPr>
            <w:tcW w:w="1613" w:type="dxa"/>
            <w:tcBorders>
              <w:left w:val="single" w:sz="4" w:space="0" w:color="D9D9D9"/>
              <w:bottom w:val="nil"/>
              <w:right w:val="single" w:sz="4" w:space="0" w:color="D9D9D9"/>
            </w:tcBorders>
            <w:shd w:val="clear" w:color="auto" w:fill="BEBEBE"/>
          </w:tcPr>
          <w:p>
            <w:pPr>
              <w:pStyle w:val="TableParagraph"/>
              <w:spacing w:before="55"/>
              <w:ind w:right="78"/>
              <w:jc w:val="right"/>
              <w:rPr>
                <w:sz w:val="20"/>
              </w:rPr>
            </w:pPr>
            <w:r>
              <w:rPr>
                <w:w w:val="110"/>
                <w:sz w:val="20"/>
              </w:rPr>
              <w:t>8.05%</w:t>
            </w:r>
          </w:p>
        </w:tc>
      </w:tr>
    </w:tbl>
    <w:p>
      <w:pPr>
        <w:spacing w:before="36"/>
        <w:ind w:left="1079" w:right="0" w:firstLine="0"/>
        <w:jc w:val="left"/>
        <w:rPr>
          <w:rFonts w:ascii="Gill Sans MT"/>
          <w:sz w:val="14"/>
        </w:rPr>
      </w:pPr>
      <w:r>
        <w:rPr>
          <w:rFonts w:ascii="Gill Sans MT"/>
          <w:w w:val="110"/>
          <w:sz w:val="14"/>
        </w:rPr>
        <w:t>Inception Date: 1/1/2020</w:t>
      </w:r>
    </w:p>
    <w:p>
      <w:pPr>
        <w:spacing w:before="71"/>
        <w:ind w:left="1079" w:right="0" w:firstLine="0"/>
        <w:jc w:val="left"/>
        <w:rPr>
          <w:rFonts w:ascii="Gill Sans MT"/>
          <w:sz w:val="14"/>
        </w:rPr>
      </w:pPr>
      <w:r>
        <w:rPr>
          <w:rFonts w:ascii="Gill Sans MT"/>
          <w:w w:val="115"/>
          <w:sz w:val="14"/>
        </w:rPr>
        <w:t>Total Portfolio is net of fees. CPI as of May 2025.</w:t>
      </w:r>
    </w:p>
    <w:p>
      <w:pPr>
        <w:spacing w:after="0"/>
        <w:jc w:val="left"/>
        <w:rPr>
          <w:rFonts w:ascii="Gill Sans MT"/>
          <w:sz w:val="14"/>
        </w:rPr>
        <w:sectPr>
          <w:headerReference w:type="default" r:id="rId60"/>
          <w:footerReference w:type="default" r:id="rId61"/>
          <w:pgSz w:w="14400" w:h="10800" w:orient="landscape"/>
          <w:pgMar w:header="601" w:footer="1259" w:top="800" w:bottom="1440" w:left="20" w:right="40"/>
          <w:pgNumType w:start="22"/>
        </w:sectPr>
      </w:pPr>
    </w:p>
    <w:tbl>
      <w:tblPr>
        <w:tblW w:w="0" w:type="auto"/>
        <w:jc w:val="left"/>
        <w:tblInd w:w="7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2"/>
      </w:tblGrid>
      <w:tr>
        <w:trPr>
          <w:trHeight w:val="389" w:hRule="atLeast"/>
        </w:trPr>
        <w:tc>
          <w:tcPr>
            <w:tcW w:w="5532" w:type="dxa"/>
          </w:tcPr>
          <w:p>
            <w:pPr>
              <w:pStyle w:val="TableParagraph"/>
              <w:ind w:right="198"/>
              <w:jc w:val="right"/>
              <w:rPr>
                <w:sz w:val="28"/>
              </w:rPr>
            </w:pPr>
            <w:bookmarkStart w:name="Slide 23: Portfolio Holdings" w:id="29"/>
            <w:bookmarkEnd w:id="29"/>
            <w:r>
              <w:rPr/>
            </w:r>
            <w:r>
              <w:rPr>
                <w:w w:val="110"/>
                <w:sz w:val="28"/>
              </w:rPr>
              <w:t>CNY</w:t>
            </w:r>
            <w:r>
              <w:rPr>
                <w:spacing w:val="-56"/>
                <w:w w:val="110"/>
                <w:sz w:val="28"/>
              </w:rPr>
              <w:t> </w:t>
            </w:r>
            <w:r>
              <w:rPr>
                <w:w w:val="110"/>
                <w:sz w:val="28"/>
              </w:rPr>
              <w:t>Centro,</w:t>
            </w:r>
            <w:r>
              <w:rPr>
                <w:spacing w:val="-54"/>
                <w:w w:val="110"/>
                <w:sz w:val="28"/>
              </w:rPr>
              <w:t> </w:t>
            </w:r>
            <w:r>
              <w:rPr>
                <w:w w:val="110"/>
                <w:sz w:val="28"/>
              </w:rPr>
              <w:t>Inc.</w:t>
            </w:r>
            <w:r>
              <w:rPr>
                <w:spacing w:val="-54"/>
                <w:w w:val="110"/>
                <w:sz w:val="28"/>
              </w:rPr>
              <w:t> </w:t>
            </w:r>
            <w:r>
              <w:rPr>
                <w:w w:val="110"/>
                <w:sz w:val="28"/>
              </w:rPr>
              <w:t>Utica</w:t>
            </w:r>
            <w:r>
              <w:rPr>
                <w:spacing w:val="-55"/>
                <w:w w:val="110"/>
                <w:sz w:val="28"/>
              </w:rPr>
              <w:t> </w:t>
            </w:r>
            <w:r>
              <w:rPr>
                <w:spacing w:val="-3"/>
                <w:w w:val="110"/>
                <w:sz w:val="28"/>
              </w:rPr>
              <w:t>Employees</w:t>
            </w:r>
            <w:r>
              <w:rPr>
                <w:spacing w:val="-56"/>
                <w:w w:val="110"/>
                <w:sz w:val="28"/>
              </w:rPr>
              <w:t> </w:t>
            </w:r>
            <w:r>
              <w:rPr>
                <w:w w:val="110"/>
                <w:sz w:val="28"/>
              </w:rPr>
              <w:t>DB</w:t>
            </w:r>
            <w:r>
              <w:rPr>
                <w:spacing w:val="-54"/>
                <w:w w:val="110"/>
                <w:sz w:val="28"/>
              </w:rPr>
              <w:t> </w:t>
            </w:r>
            <w:r>
              <w:rPr>
                <w:w w:val="110"/>
                <w:sz w:val="28"/>
              </w:rPr>
              <w:t>Plan</w:t>
            </w:r>
          </w:p>
        </w:tc>
      </w:tr>
      <w:tr>
        <w:trPr>
          <w:trHeight w:val="363" w:hRule="atLeast"/>
        </w:trPr>
        <w:tc>
          <w:tcPr>
            <w:tcW w:w="5532" w:type="dxa"/>
          </w:tcPr>
          <w:p>
            <w:pPr>
              <w:pStyle w:val="TableParagraph"/>
              <w:spacing w:line="285" w:lineRule="exact" w:before="59"/>
              <w:ind w:right="202"/>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3"/>
        <w:rPr>
          <w:rFonts w:ascii="Gill Sans MT"/>
          <w:sz w:val="20"/>
        </w:rPr>
      </w:pPr>
    </w:p>
    <w:tbl>
      <w:tblPr>
        <w:tblW w:w="0" w:type="auto"/>
        <w:jc w:val="left"/>
        <w:tblInd w:w="11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3097"/>
        <w:gridCol w:w="1244"/>
        <w:gridCol w:w="1544"/>
        <w:gridCol w:w="886"/>
        <w:gridCol w:w="1544"/>
        <w:gridCol w:w="886"/>
        <w:gridCol w:w="1544"/>
        <w:gridCol w:w="857"/>
      </w:tblGrid>
      <w:tr>
        <w:trPr>
          <w:trHeight w:val="429" w:hRule="atLeast"/>
        </w:trPr>
        <w:tc>
          <w:tcPr>
            <w:tcW w:w="3097" w:type="dxa"/>
            <w:tcBorders>
              <w:left w:val="single" w:sz="8" w:space="0" w:color="D9D9D9"/>
              <w:bottom w:val="single" w:sz="8" w:space="0" w:color="D9D9D9"/>
              <w:right w:val="single" w:sz="8" w:space="0" w:color="D9D9D9"/>
            </w:tcBorders>
            <w:shd w:val="clear" w:color="auto" w:fill="014612"/>
          </w:tcPr>
          <w:p>
            <w:pPr>
              <w:pStyle w:val="TableParagraph"/>
              <w:spacing w:before="119"/>
              <w:ind w:left="1244" w:right="1218"/>
              <w:jc w:val="center"/>
              <w:rPr>
                <w:sz w:val="16"/>
              </w:rPr>
            </w:pPr>
            <w:r>
              <w:rPr>
                <w:color w:val="FFFFFF"/>
                <w:w w:val="110"/>
                <w:sz w:val="16"/>
              </w:rPr>
              <w:t>Security</w:t>
            </w:r>
          </w:p>
        </w:tc>
        <w:tc>
          <w:tcPr>
            <w:tcW w:w="1244" w:type="dxa"/>
            <w:tcBorders>
              <w:left w:val="single" w:sz="8" w:space="0" w:color="D9D9D9"/>
              <w:bottom w:val="single" w:sz="8" w:space="0" w:color="D9D9D9"/>
              <w:right w:val="single" w:sz="8" w:space="0" w:color="D9D9D9"/>
            </w:tcBorders>
            <w:shd w:val="clear" w:color="auto" w:fill="014612"/>
          </w:tcPr>
          <w:p>
            <w:pPr>
              <w:pStyle w:val="TableParagraph"/>
              <w:spacing w:before="119"/>
              <w:ind w:left="359"/>
              <w:rPr>
                <w:sz w:val="16"/>
              </w:rPr>
            </w:pPr>
            <w:r>
              <w:rPr>
                <w:color w:val="FFFFFF"/>
                <w:w w:val="115"/>
                <w:sz w:val="16"/>
              </w:rPr>
              <w:t>Symbol</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477"/>
              <w:rPr>
                <w:sz w:val="16"/>
              </w:rPr>
            </w:pPr>
            <w:r>
              <w:rPr>
                <w:color w:val="FFFFFF"/>
                <w:w w:val="105"/>
                <w:sz w:val="16"/>
              </w:rPr>
              <w:t>Quantity</w:t>
            </w:r>
          </w:p>
        </w:tc>
        <w:tc>
          <w:tcPr>
            <w:tcW w:w="886" w:type="dxa"/>
            <w:tcBorders>
              <w:left w:val="single" w:sz="8" w:space="0" w:color="D9D9D9"/>
              <w:bottom w:val="single" w:sz="8" w:space="0" w:color="D9D9D9"/>
              <w:right w:val="single" w:sz="8" w:space="0" w:color="D9D9D9"/>
            </w:tcBorders>
            <w:shd w:val="clear" w:color="auto" w:fill="014612"/>
          </w:tcPr>
          <w:p>
            <w:pPr>
              <w:pStyle w:val="TableParagraph"/>
              <w:spacing w:before="119"/>
              <w:ind w:left="2" w:right="-29"/>
              <w:rPr>
                <w:sz w:val="16"/>
              </w:rPr>
            </w:pPr>
            <w:r>
              <w:rPr>
                <w:color w:val="FFFFFF"/>
                <w:w w:val="105"/>
                <w:sz w:val="16"/>
              </w:rPr>
              <w:t>Unit Cost</w:t>
            </w:r>
            <w:r>
              <w:rPr>
                <w:color w:val="FFFFFF"/>
                <w:spacing w:val="-39"/>
                <w:w w:val="105"/>
                <w:sz w:val="16"/>
              </w:rPr>
              <w:t> </w:t>
            </w:r>
            <w:r>
              <w:rPr>
                <w:color w:val="FFFFFF"/>
                <w:w w:val="105"/>
                <w:sz w:val="16"/>
              </w:rPr>
              <w:t>($)</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292"/>
              <w:rPr>
                <w:sz w:val="16"/>
              </w:rPr>
            </w:pPr>
            <w:r>
              <w:rPr>
                <w:color w:val="FFFFFF"/>
                <w:w w:val="105"/>
                <w:sz w:val="16"/>
              </w:rPr>
              <w:t>Total Cost ($)</w:t>
            </w:r>
          </w:p>
        </w:tc>
        <w:tc>
          <w:tcPr>
            <w:tcW w:w="886" w:type="dxa"/>
            <w:tcBorders>
              <w:left w:val="single" w:sz="8" w:space="0" w:color="D9D9D9"/>
              <w:bottom w:val="single" w:sz="8" w:space="0" w:color="D9D9D9"/>
              <w:right w:val="single" w:sz="8" w:space="0" w:color="D9D9D9"/>
            </w:tcBorders>
            <w:shd w:val="clear" w:color="auto" w:fill="014612"/>
          </w:tcPr>
          <w:p>
            <w:pPr>
              <w:pStyle w:val="TableParagraph"/>
              <w:spacing w:before="119"/>
              <w:ind w:right="117"/>
              <w:jc w:val="right"/>
              <w:rPr>
                <w:sz w:val="16"/>
              </w:rPr>
            </w:pPr>
            <w:r>
              <w:rPr>
                <w:color w:val="FFFFFF"/>
                <w:w w:val="110"/>
                <w:sz w:val="16"/>
              </w:rPr>
              <w:t>Price ($)</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459"/>
              <w:rPr>
                <w:sz w:val="16"/>
              </w:rPr>
            </w:pPr>
            <w:r>
              <w:rPr>
                <w:color w:val="FFFFFF"/>
                <w:w w:val="110"/>
                <w:sz w:val="16"/>
              </w:rPr>
              <w:t>Value ($)</w:t>
            </w:r>
          </w:p>
        </w:tc>
        <w:tc>
          <w:tcPr>
            <w:tcW w:w="857" w:type="dxa"/>
            <w:tcBorders>
              <w:left w:val="single" w:sz="8" w:space="0" w:color="D9D9D9"/>
              <w:bottom w:val="single" w:sz="8" w:space="0" w:color="D9D9D9"/>
              <w:right w:val="nil"/>
            </w:tcBorders>
            <w:shd w:val="clear" w:color="auto" w:fill="014612"/>
          </w:tcPr>
          <w:p>
            <w:pPr>
              <w:pStyle w:val="TableParagraph"/>
              <w:spacing w:line="247" w:lineRule="auto" w:before="23"/>
              <w:ind w:left="128" w:right="17" w:hanging="60"/>
              <w:rPr>
                <w:sz w:val="16"/>
              </w:rPr>
            </w:pPr>
            <w:r>
              <w:rPr>
                <w:color w:val="FFFFFF"/>
                <w:w w:val="110"/>
                <w:sz w:val="16"/>
              </w:rPr>
              <w:t>Percent of Portfolio</w:t>
            </w:r>
          </w:p>
        </w:tc>
      </w:tr>
      <w:tr>
        <w:trPr>
          <w:trHeight w:val="171" w:hRule="atLeast"/>
        </w:trPr>
        <w:tc>
          <w:tcPr>
            <w:tcW w:w="3097" w:type="dxa"/>
            <w:tcBorders>
              <w:top w:val="single" w:sz="8" w:space="0" w:color="D9D9D9"/>
              <w:left w:val="nil"/>
              <w:bottom w:val="single" w:sz="8" w:space="0" w:color="D9D9D9"/>
              <w:right w:val="single" w:sz="8" w:space="0" w:color="D9D9D9"/>
            </w:tcBorders>
          </w:tcPr>
          <w:p>
            <w:pPr>
              <w:pStyle w:val="TableParagraph"/>
              <w:rPr>
                <w:rFonts w:ascii="Times New Roman"/>
                <w:sz w:val="10"/>
              </w:rPr>
            </w:pPr>
          </w:p>
        </w:tc>
        <w:tc>
          <w:tcPr>
            <w:tcW w:w="12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57" w:type="dxa"/>
            <w:tcBorders>
              <w:top w:val="single" w:sz="8" w:space="0" w:color="D9D9D9"/>
              <w:left w:val="single" w:sz="8" w:space="0" w:color="D9D9D9"/>
              <w:bottom w:val="single" w:sz="8" w:space="0" w:color="D9D9D9"/>
              <w:right w:val="nil"/>
            </w:tcBorders>
          </w:tcPr>
          <w:p>
            <w:pPr>
              <w:pStyle w:val="TableParagraph"/>
              <w:rPr>
                <w:rFonts w:ascii="Times New Roman"/>
                <w:sz w:val="10"/>
              </w:rPr>
            </w:pPr>
          </w:p>
        </w:tc>
      </w:tr>
      <w:tr>
        <w:trPr>
          <w:trHeight w:val="341" w:hRule="atLeast"/>
        </w:trPr>
        <w:tc>
          <w:tcPr>
            <w:tcW w:w="11602" w:type="dxa"/>
            <w:gridSpan w:val="8"/>
            <w:tcBorders>
              <w:top w:val="single" w:sz="8" w:space="0" w:color="D9D9D9"/>
              <w:left w:val="nil"/>
              <w:bottom w:val="single" w:sz="8" w:space="0" w:color="D9D9D9"/>
              <w:right w:val="nil"/>
            </w:tcBorders>
            <w:shd w:val="clear" w:color="auto" w:fill="014612"/>
          </w:tcPr>
          <w:p>
            <w:pPr>
              <w:pStyle w:val="TableParagraph"/>
              <w:spacing w:before="78"/>
              <w:ind w:left="122"/>
              <w:rPr>
                <w:sz w:val="16"/>
              </w:rPr>
            </w:pPr>
            <w:r>
              <w:rPr>
                <w:color w:val="FFFFFF"/>
                <w:w w:val="115"/>
                <w:sz w:val="16"/>
              </w:rPr>
              <w:t>Cash</w:t>
            </w:r>
          </w:p>
        </w:tc>
      </w:tr>
      <w:tr>
        <w:trPr>
          <w:trHeight w:val="363" w:hRule="atLeast"/>
        </w:trPr>
        <w:tc>
          <w:tcPr>
            <w:tcW w:w="3097" w:type="dxa"/>
            <w:tcBorders>
              <w:top w:val="single" w:sz="8" w:space="0" w:color="D9D9D9"/>
              <w:left w:val="nil"/>
              <w:bottom w:val="single" w:sz="8" w:space="0" w:color="D9D9D9"/>
              <w:right w:val="single" w:sz="8" w:space="0" w:color="D9D9D9"/>
            </w:tcBorders>
          </w:tcPr>
          <w:p>
            <w:pPr>
              <w:pStyle w:val="TableParagraph"/>
              <w:spacing w:line="179" w:lineRule="exact"/>
              <w:ind w:left="122"/>
              <w:rPr>
                <w:sz w:val="16"/>
              </w:rPr>
            </w:pPr>
            <w:r>
              <w:rPr>
                <w:sz w:val="16"/>
              </w:rPr>
              <w:t>FEDERATED HERMES GOVERNMENT</w:t>
            </w:r>
          </w:p>
          <w:p>
            <w:pPr>
              <w:pStyle w:val="TableParagraph"/>
              <w:spacing w:line="159" w:lineRule="exact" w:before="6"/>
              <w:ind w:left="122"/>
              <w:rPr>
                <w:sz w:val="16"/>
              </w:rPr>
            </w:pPr>
            <w:r>
              <w:rPr>
                <w:sz w:val="16"/>
              </w:rPr>
              <w:t>OBLIGATIONS FUND PREMIER</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89"/>
              <w:ind w:left="105"/>
              <w:rPr>
                <w:sz w:val="16"/>
              </w:rPr>
            </w:pPr>
            <w:r>
              <w:rPr>
                <w:sz w:val="16"/>
              </w:rPr>
              <w:t>GOFXX</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3"/>
              <w:jc w:val="right"/>
              <w:rPr>
                <w:sz w:val="16"/>
              </w:rPr>
            </w:pPr>
            <w:r>
              <w:rPr>
                <w:w w:val="110"/>
                <w:sz w:val="16"/>
              </w:rPr>
              <w:t>334,238.29</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left="465"/>
              <w:rPr>
                <w:sz w:val="16"/>
              </w:rPr>
            </w:pPr>
            <w:r>
              <w:rPr>
                <w:w w:val="115"/>
                <w:sz w:val="16"/>
              </w:rPr>
              <w:t>1.00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1"/>
              <w:jc w:val="right"/>
              <w:rPr>
                <w:sz w:val="16"/>
              </w:rPr>
            </w:pPr>
            <w:r>
              <w:rPr>
                <w:w w:val="110"/>
                <w:sz w:val="16"/>
              </w:rPr>
              <w:t>334,238.29</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right="79"/>
              <w:jc w:val="right"/>
              <w:rPr>
                <w:sz w:val="16"/>
              </w:rPr>
            </w:pPr>
            <w:r>
              <w:rPr>
                <w:w w:val="110"/>
                <w:sz w:val="16"/>
              </w:rPr>
              <w:t>1.00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79"/>
              <w:jc w:val="right"/>
              <w:rPr>
                <w:sz w:val="16"/>
              </w:rPr>
            </w:pPr>
            <w:r>
              <w:rPr>
                <w:w w:val="110"/>
                <w:sz w:val="16"/>
              </w:rPr>
              <w:t>334,238.29</w:t>
            </w:r>
          </w:p>
        </w:tc>
        <w:tc>
          <w:tcPr>
            <w:tcW w:w="857" w:type="dxa"/>
            <w:tcBorders>
              <w:top w:val="single" w:sz="8" w:space="0" w:color="D9D9D9"/>
              <w:left w:val="single" w:sz="8" w:space="0" w:color="D9D9D9"/>
              <w:bottom w:val="single" w:sz="8" w:space="0" w:color="D9D9D9"/>
              <w:right w:val="nil"/>
            </w:tcBorders>
          </w:tcPr>
          <w:p>
            <w:pPr>
              <w:pStyle w:val="TableParagraph"/>
              <w:spacing w:before="89"/>
              <w:ind w:right="85"/>
              <w:jc w:val="right"/>
              <w:rPr>
                <w:sz w:val="16"/>
              </w:rPr>
            </w:pPr>
            <w:r>
              <w:rPr>
                <w:w w:val="110"/>
                <w:sz w:val="16"/>
              </w:rPr>
              <w:t>2.55%</w:t>
            </w: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5" w:lineRule="exact" w:before="19"/>
              <w:ind w:left="122"/>
              <w:rPr>
                <w:sz w:val="16"/>
              </w:rPr>
            </w:pPr>
            <w:r>
              <w:rPr>
                <w:sz w:val="16"/>
              </w:rPr>
              <w:t>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80"/>
              <w:jc w:val="right"/>
              <w:rPr>
                <w:sz w:val="16"/>
              </w:rPr>
            </w:pPr>
            <w:r>
              <w:rPr>
                <w:w w:val="110"/>
                <w:sz w:val="16"/>
              </w:rPr>
              <w:t>334,238.29</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78"/>
              <w:jc w:val="right"/>
              <w:rPr>
                <w:sz w:val="16"/>
              </w:rPr>
            </w:pPr>
            <w:r>
              <w:rPr>
                <w:w w:val="110"/>
                <w:sz w:val="16"/>
              </w:rPr>
              <w:t>334,238.29</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5" w:lineRule="exact" w:before="19"/>
              <w:ind w:right="82"/>
              <w:jc w:val="right"/>
              <w:rPr>
                <w:sz w:val="16"/>
              </w:rPr>
            </w:pPr>
            <w:r>
              <w:rPr>
                <w:w w:val="110"/>
                <w:sz w:val="16"/>
              </w:rPr>
              <w:t>2.55%</w:t>
            </w:r>
          </w:p>
        </w:tc>
      </w:tr>
      <w:tr>
        <w:trPr>
          <w:trHeight w:val="224" w:hRule="atLeast"/>
        </w:trPr>
        <w:tc>
          <w:tcPr>
            <w:tcW w:w="11602" w:type="dxa"/>
            <w:gridSpan w:val="8"/>
            <w:tcBorders>
              <w:top w:val="single" w:sz="8" w:space="0" w:color="D9D9D9"/>
              <w:left w:val="nil"/>
              <w:bottom w:val="single" w:sz="8" w:space="0" w:color="D9D9D9"/>
              <w:right w:val="nil"/>
            </w:tcBorders>
            <w:shd w:val="clear" w:color="auto" w:fill="014612"/>
          </w:tcPr>
          <w:p>
            <w:pPr>
              <w:pStyle w:val="TableParagraph"/>
              <w:spacing w:line="185" w:lineRule="exact" w:before="19"/>
              <w:ind w:left="122"/>
              <w:rPr>
                <w:sz w:val="16"/>
              </w:rPr>
            </w:pPr>
            <w:r>
              <w:rPr>
                <w:color w:val="FFFFFF"/>
                <w:w w:val="110"/>
                <w:sz w:val="16"/>
              </w:rPr>
              <w:t>Equity</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10"/>
                <w:sz w:val="16"/>
              </w:rPr>
              <w:t>ISHARES CORE S&amp;P 500</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05"/>
                <w:sz w:val="16"/>
              </w:rPr>
              <w:t>IVV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6,135.00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283"/>
              <w:rPr>
                <w:sz w:val="16"/>
              </w:rPr>
            </w:pPr>
            <w:r>
              <w:rPr>
                <w:w w:val="115"/>
                <w:sz w:val="16"/>
              </w:rPr>
              <w:t>316.98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1,944,662.44</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620.90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3,809,221.50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29.04%</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10"/>
                <w:sz w:val="16"/>
              </w:rPr>
              <w:t>ISHARES CORE MSCI INTL DEV MKTS</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05"/>
                <w:sz w:val="16"/>
              </w:rPr>
              <w:t>IDEV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21,330.00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63.77</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1,360,216.80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76.04</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1,621,933.20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12.37%</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10"/>
                <w:sz w:val="16"/>
              </w:rPr>
              <w:t>ISHARES CORE S&amp;P MID-CAP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25"/>
                <w:sz w:val="16"/>
              </w:rPr>
              <w:t>IJH</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12,290.00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40.58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498,736.35</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62.02</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762,225.80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5.81%</w:t>
            </w:r>
          </w:p>
        </w:tc>
      </w:tr>
      <w:tr>
        <w:trPr>
          <w:trHeight w:val="387" w:hRule="atLeast"/>
        </w:trPr>
        <w:tc>
          <w:tcPr>
            <w:tcW w:w="3097" w:type="dxa"/>
            <w:tcBorders>
              <w:top w:val="single" w:sz="8" w:space="0" w:color="D9D9D9"/>
              <w:left w:val="nil"/>
              <w:bottom w:val="single" w:sz="8" w:space="0" w:color="D9D9D9"/>
              <w:right w:val="single" w:sz="8" w:space="0" w:color="D9D9D9"/>
            </w:tcBorders>
          </w:tcPr>
          <w:p>
            <w:pPr>
              <w:pStyle w:val="TableParagraph"/>
              <w:spacing w:line="192" w:lineRule="exact" w:before="1"/>
              <w:ind w:left="122" w:right="554"/>
              <w:rPr>
                <w:sz w:val="16"/>
              </w:rPr>
            </w:pPr>
            <w:r>
              <w:rPr>
                <w:w w:val="105"/>
                <w:sz w:val="16"/>
              </w:rPr>
              <w:t>ISHARES CORE MSCI EMERGING MARKETS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101"/>
              <w:ind w:left="105"/>
              <w:rPr>
                <w:sz w:val="16"/>
              </w:rPr>
            </w:pPr>
            <w:r>
              <w:rPr>
                <w:w w:val="105"/>
                <w:sz w:val="16"/>
              </w:rPr>
              <w:t>IEMG</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5"/>
              <w:jc w:val="right"/>
              <w:rPr>
                <w:sz w:val="16"/>
              </w:rPr>
            </w:pPr>
            <w:r>
              <w:rPr>
                <w:w w:val="110"/>
                <w:sz w:val="16"/>
              </w:rPr>
              <w:t>9,680.00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left="374"/>
              <w:rPr>
                <w:sz w:val="16"/>
              </w:rPr>
            </w:pPr>
            <w:r>
              <w:rPr>
                <w:w w:val="115"/>
                <w:sz w:val="16"/>
              </w:rPr>
              <w:t>50.80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1"/>
              <w:jc w:val="right"/>
              <w:rPr>
                <w:sz w:val="16"/>
              </w:rPr>
            </w:pPr>
            <w:r>
              <w:rPr>
                <w:w w:val="110"/>
                <w:sz w:val="16"/>
              </w:rPr>
              <w:t>491,781.47</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60.03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581,090.40</w:t>
            </w:r>
          </w:p>
        </w:tc>
        <w:tc>
          <w:tcPr>
            <w:tcW w:w="857" w:type="dxa"/>
            <w:tcBorders>
              <w:top w:val="single" w:sz="8" w:space="0" w:color="D9D9D9"/>
              <w:left w:val="single" w:sz="8" w:space="0" w:color="D9D9D9"/>
              <w:bottom w:val="single" w:sz="8" w:space="0" w:color="D9D9D9"/>
              <w:right w:val="nil"/>
            </w:tcBorders>
          </w:tcPr>
          <w:p>
            <w:pPr>
              <w:pStyle w:val="TableParagraph"/>
              <w:spacing w:before="101"/>
              <w:ind w:right="85"/>
              <w:jc w:val="right"/>
              <w:rPr>
                <w:sz w:val="16"/>
              </w:rPr>
            </w:pPr>
            <w:r>
              <w:rPr>
                <w:w w:val="110"/>
                <w:sz w:val="16"/>
              </w:rPr>
              <w:t>4.43%</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19"/>
              <w:ind w:left="122"/>
              <w:rPr>
                <w:sz w:val="16"/>
              </w:rPr>
            </w:pPr>
            <w:r>
              <w:rPr>
                <w:w w:val="105"/>
                <w:sz w:val="16"/>
              </w:rPr>
              <w:t>ISHARES CORE S&amp;P SMALL-CAP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left="105"/>
              <w:rPr>
                <w:sz w:val="16"/>
              </w:rPr>
            </w:pPr>
            <w:r>
              <w:rPr>
                <w:w w:val="130"/>
                <w:sz w:val="16"/>
              </w:rPr>
              <w:t>IJR</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5"/>
              <w:jc w:val="right"/>
              <w:rPr>
                <w:sz w:val="16"/>
              </w:rPr>
            </w:pPr>
            <w:r>
              <w:rPr>
                <w:w w:val="110"/>
                <w:sz w:val="16"/>
              </w:rPr>
              <w:t>5,080.00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left="374"/>
              <w:rPr>
                <w:sz w:val="16"/>
              </w:rPr>
            </w:pPr>
            <w:r>
              <w:rPr>
                <w:w w:val="115"/>
                <w:sz w:val="16"/>
              </w:rPr>
              <w:t>85.16</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1"/>
              <w:jc w:val="right"/>
              <w:rPr>
                <w:sz w:val="16"/>
              </w:rPr>
            </w:pPr>
            <w:r>
              <w:rPr>
                <w:w w:val="110"/>
                <w:sz w:val="16"/>
              </w:rPr>
              <w:t>432,608.01</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1"/>
              <w:jc w:val="right"/>
              <w:rPr>
                <w:sz w:val="16"/>
              </w:rPr>
            </w:pPr>
            <w:r>
              <w:rPr>
                <w:w w:val="115"/>
                <w:sz w:val="16"/>
              </w:rPr>
              <w:t>109.29</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79"/>
              <w:jc w:val="right"/>
              <w:rPr>
                <w:sz w:val="16"/>
              </w:rPr>
            </w:pPr>
            <w:r>
              <w:rPr>
                <w:w w:val="110"/>
                <w:sz w:val="16"/>
              </w:rPr>
              <w:t>555,193.20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19"/>
              <w:ind w:right="85"/>
              <w:jc w:val="right"/>
              <w:rPr>
                <w:sz w:val="16"/>
              </w:rPr>
            </w:pPr>
            <w:r>
              <w:rPr>
                <w:w w:val="110"/>
                <w:sz w:val="16"/>
              </w:rPr>
              <w:t>4.23%</w:t>
            </w:r>
          </w:p>
        </w:tc>
      </w:tr>
      <w:tr>
        <w:trPr>
          <w:trHeight w:val="364" w:hRule="atLeast"/>
        </w:trPr>
        <w:tc>
          <w:tcPr>
            <w:tcW w:w="3097" w:type="dxa"/>
            <w:tcBorders>
              <w:top w:val="single" w:sz="8" w:space="0" w:color="D9D9D9"/>
              <w:left w:val="nil"/>
              <w:bottom w:val="single" w:sz="8" w:space="0" w:color="D9D9D9"/>
              <w:right w:val="single" w:sz="8" w:space="0" w:color="D9D9D9"/>
            </w:tcBorders>
          </w:tcPr>
          <w:p>
            <w:pPr>
              <w:pStyle w:val="TableParagraph"/>
              <w:spacing w:line="179" w:lineRule="exact"/>
              <w:ind w:left="122"/>
              <w:rPr>
                <w:sz w:val="16"/>
              </w:rPr>
            </w:pPr>
            <w:r>
              <w:rPr>
                <w:w w:val="105"/>
                <w:sz w:val="16"/>
              </w:rPr>
              <w:t>DIMENSIONAL</w:t>
            </w:r>
            <w:r>
              <w:rPr>
                <w:spacing w:val="-29"/>
                <w:w w:val="105"/>
                <w:sz w:val="16"/>
              </w:rPr>
              <w:t> </w:t>
            </w:r>
            <w:r>
              <w:rPr>
                <w:w w:val="105"/>
                <w:sz w:val="16"/>
              </w:rPr>
              <w:t>US</w:t>
            </w:r>
            <w:r>
              <w:rPr>
                <w:spacing w:val="-23"/>
                <w:w w:val="105"/>
                <w:sz w:val="16"/>
              </w:rPr>
              <w:t> </w:t>
            </w:r>
            <w:r>
              <w:rPr>
                <w:w w:val="105"/>
                <w:sz w:val="16"/>
              </w:rPr>
              <w:t>HIGH</w:t>
            </w:r>
            <w:r>
              <w:rPr>
                <w:spacing w:val="-23"/>
                <w:w w:val="105"/>
                <w:sz w:val="16"/>
              </w:rPr>
              <w:t> </w:t>
            </w:r>
            <w:r>
              <w:rPr>
                <w:w w:val="105"/>
                <w:sz w:val="16"/>
              </w:rPr>
              <w:t>PROFITABILITY</w:t>
            </w:r>
          </w:p>
          <w:p>
            <w:pPr>
              <w:pStyle w:val="TableParagraph"/>
              <w:spacing w:line="158" w:lineRule="exact" w:before="7"/>
              <w:ind w:left="122"/>
              <w:rPr>
                <w:sz w:val="16"/>
              </w:rPr>
            </w:pPr>
            <w:r>
              <w:rPr>
                <w:w w:val="110"/>
                <w:sz w:val="16"/>
              </w:rPr>
              <w:t>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89"/>
              <w:ind w:left="105"/>
              <w:rPr>
                <w:sz w:val="16"/>
              </w:rPr>
            </w:pPr>
            <w:r>
              <w:rPr>
                <w:sz w:val="16"/>
              </w:rPr>
              <w:t>DUHP</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5"/>
              <w:jc w:val="right"/>
              <w:rPr>
                <w:sz w:val="16"/>
              </w:rPr>
            </w:pPr>
            <w:r>
              <w:rPr>
                <w:w w:val="110"/>
                <w:sz w:val="16"/>
              </w:rPr>
              <w:t>8,380.00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left="374"/>
              <w:rPr>
                <w:sz w:val="16"/>
              </w:rPr>
            </w:pPr>
            <w:r>
              <w:rPr>
                <w:w w:val="115"/>
                <w:sz w:val="16"/>
              </w:rPr>
              <w:t>27.38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81"/>
              <w:jc w:val="right"/>
              <w:rPr>
                <w:sz w:val="16"/>
              </w:rPr>
            </w:pPr>
            <w:r>
              <w:rPr>
                <w:w w:val="110"/>
                <w:sz w:val="16"/>
              </w:rPr>
              <w:t>229,423.45</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89"/>
              <w:ind w:right="81"/>
              <w:jc w:val="right"/>
              <w:rPr>
                <w:sz w:val="16"/>
              </w:rPr>
            </w:pPr>
            <w:r>
              <w:rPr>
                <w:w w:val="115"/>
                <w:sz w:val="16"/>
              </w:rPr>
              <w:t>35.56</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89"/>
              <w:ind w:right="79"/>
              <w:jc w:val="right"/>
              <w:rPr>
                <w:sz w:val="16"/>
              </w:rPr>
            </w:pPr>
            <w:r>
              <w:rPr>
                <w:w w:val="110"/>
                <w:sz w:val="16"/>
              </w:rPr>
              <w:t>297,992.80</w:t>
            </w:r>
          </w:p>
        </w:tc>
        <w:tc>
          <w:tcPr>
            <w:tcW w:w="857" w:type="dxa"/>
            <w:tcBorders>
              <w:top w:val="single" w:sz="8" w:space="0" w:color="D9D9D9"/>
              <w:left w:val="single" w:sz="8" w:space="0" w:color="D9D9D9"/>
              <w:bottom w:val="single" w:sz="8" w:space="0" w:color="D9D9D9"/>
              <w:right w:val="nil"/>
            </w:tcBorders>
          </w:tcPr>
          <w:p>
            <w:pPr>
              <w:pStyle w:val="TableParagraph"/>
              <w:spacing w:before="89"/>
              <w:ind w:right="85"/>
              <w:jc w:val="right"/>
              <w:rPr>
                <w:sz w:val="16"/>
              </w:rPr>
            </w:pPr>
            <w:r>
              <w:rPr>
                <w:w w:val="110"/>
                <w:sz w:val="16"/>
              </w:rPr>
              <w:t>2.27%</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05"/>
                <w:sz w:val="16"/>
              </w:rPr>
              <w:t>AVANTIS US SMALL CAP VALUE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sz w:val="16"/>
              </w:rPr>
              <w:t>AVUV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3,245.00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84.51</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274,234.99</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5"/>
                <w:sz w:val="16"/>
              </w:rPr>
              <w:t>91.10</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295,619.50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2.25%</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05"/>
                <w:sz w:val="16"/>
              </w:rPr>
              <w:t>AVANTIS US LARGE CAP VALUE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05"/>
                <w:sz w:val="16"/>
              </w:rPr>
              <w:t>AVLV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4,295.00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55.15</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236,884.35</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68.21</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292,961.95</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2.23%</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20"/>
              <w:ind w:left="122"/>
              <w:rPr>
                <w:sz w:val="16"/>
              </w:rPr>
            </w:pPr>
            <w:r>
              <w:rPr>
                <w:w w:val="110"/>
                <w:sz w:val="16"/>
              </w:rPr>
              <w:t>ISHARES MSCI EAFE VALUE</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105"/>
              <w:rPr>
                <w:sz w:val="16"/>
              </w:rPr>
            </w:pPr>
            <w:r>
              <w:rPr>
                <w:w w:val="110"/>
                <w:sz w:val="16"/>
              </w:rPr>
              <w:t>EFV</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5"/>
              <w:jc w:val="right"/>
              <w:rPr>
                <w:sz w:val="16"/>
              </w:rPr>
            </w:pPr>
            <w:r>
              <w:rPr>
                <w:w w:val="110"/>
                <w:sz w:val="16"/>
              </w:rPr>
              <w:t>2,700.00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left="374"/>
              <w:rPr>
                <w:sz w:val="16"/>
              </w:rPr>
            </w:pPr>
            <w:r>
              <w:rPr>
                <w:w w:val="115"/>
                <w:sz w:val="16"/>
              </w:rPr>
              <w:t>43.03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81"/>
              <w:jc w:val="right"/>
              <w:rPr>
                <w:sz w:val="16"/>
              </w:rPr>
            </w:pPr>
            <w:r>
              <w:rPr>
                <w:w w:val="110"/>
                <w:sz w:val="16"/>
              </w:rPr>
              <w:t>116,188.09</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63.48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20"/>
              <w:ind w:right="79"/>
              <w:jc w:val="right"/>
              <w:rPr>
                <w:sz w:val="16"/>
              </w:rPr>
            </w:pPr>
            <w:r>
              <w:rPr>
                <w:w w:val="110"/>
                <w:sz w:val="16"/>
              </w:rPr>
              <w:t>171,396.00</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20"/>
              <w:ind w:right="85"/>
              <w:jc w:val="right"/>
              <w:rPr>
                <w:sz w:val="16"/>
              </w:rPr>
            </w:pPr>
            <w:r>
              <w:rPr>
                <w:w w:val="110"/>
                <w:sz w:val="16"/>
              </w:rPr>
              <w:t>1.31%</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4" w:lineRule="exact" w:before="20"/>
              <w:ind w:left="122"/>
              <w:rPr>
                <w:sz w:val="16"/>
              </w:rPr>
            </w:pPr>
            <w:r>
              <w:rPr>
                <w:w w:val="105"/>
                <w:sz w:val="16"/>
              </w:rPr>
              <w:t>DFA EMERGING MARKETS VALUE</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left="105"/>
              <w:rPr>
                <w:sz w:val="16"/>
              </w:rPr>
            </w:pPr>
            <w:r>
              <w:rPr>
                <w:sz w:val="16"/>
              </w:rPr>
              <w:t>DFEVX</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85"/>
              <w:jc w:val="right"/>
              <w:rPr>
                <w:sz w:val="16"/>
              </w:rPr>
            </w:pPr>
            <w:r>
              <w:rPr>
                <w:w w:val="110"/>
                <w:sz w:val="16"/>
              </w:rPr>
              <w:t>4,773.52</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left="374"/>
              <w:rPr>
                <w:sz w:val="16"/>
              </w:rPr>
            </w:pPr>
            <w:r>
              <w:rPr>
                <w:w w:val="115"/>
                <w:sz w:val="16"/>
              </w:rPr>
              <w:t>24.91</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81"/>
              <w:jc w:val="right"/>
              <w:rPr>
                <w:sz w:val="16"/>
              </w:rPr>
            </w:pPr>
            <w:r>
              <w:rPr>
                <w:w w:val="110"/>
                <w:sz w:val="16"/>
              </w:rPr>
              <w:t>118,891.61</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79"/>
              <w:jc w:val="right"/>
              <w:rPr>
                <w:sz w:val="16"/>
              </w:rPr>
            </w:pPr>
            <w:r>
              <w:rPr>
                <w:w w:val="110"/>
                <w:sz w:val="16"/>
              </w:rPr>
              <w:t>33.87</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79"/>
              <w:jc w:val="right"/>
              <w:rPr>
                <w:sz w:val="16"/>
              </w:rPr>
            </w:pPr>
            <w:r>
              <w:rPr>
                <w:w w:val="110"/>
                <w:sz w:val="16"/>
              </w:rPr>
              <w:t>161,678.95</w:t>
            </w:r>
          </w:p>
        </w:tc>
        <w:tc>
          <w:tcPr>
            <w:tcW w:w="857" w:type="dxa"/>
            <w:tcBorders>
              <w:top w:val="single" w:sz="8" w:space="0" w:color="D9D9D9"/>
              <w:left w:val="single" w:sz="8" w:space="0" w:color="D9D9D9"/>
              <w:bottom w:val="single" w:sz="8" w:space="0" w:color="D9D9D9"/>
              <w:right w:val="nil"/>
            </w:tcBorders>
          </w:tcPr>
          <w:p>
            <w:pPr>
              <w:pStyle w:val="TableParagraph"/>
              <w:spacing w:line="184" w:lineRule="exact" w:before="20"/>
              <w:ind w:right="85"/>
              <w:jc w:val="right"/>
              <w:rPr>
                <w:sz w:val="16"/>
              </w:rPr>
            </w:pPr>
            <w:r>
              <w:rPr>
                <w:w w:val="110"/>
                <w:sz w:val="16"/>
              </w:rPr>
              <w:t>1.23%</w:t>
            </w: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4" w:lineRule="exact" w:before="20"/>
              <w:ind w:left="122"/>
              <w:rPr>
                <w:sz w:val="16"/>
              </w:rPr>
            </w:pPr>
            <w:r>
              <w:rPr>
                <w:sz w:val="16"/>
              </w:rPr>
              <w:t>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4" w:lineRule="exact" w:before="20"/>
              <w:ind w:right="80"/>
              <w:jc w:val="right"/>
              <w:rPr>
                <w:sz w:val="16"/>
              </w:rPr>
            </w:pPr>
            <w:r>
              <w:rPr>
                <w:w w:val="110"/>
                <w:sz w:val="16"/>
              </w:rPr>
              <w:t>5,703,627.56</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4" w:lineRule="exact" w:before="20"/>
              <w:ind w:right="78"/>
              <w:jc w:val="right"/>
              <w:rPr>
                <w:sz w:val="16"/>
              </w:rPr>
            </w:pPr>
            <w:r>
              <w:rPr>
                <w:w w:val="110"/>
                <w:sz w:val="16"/>
              </w:rPr>
              <w:t>8,549,313.30</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4" w:lineRule="exact" w:before="20"/>
              <w:ind w:right="80"/>
              <w:jc w:val="right"/>
              <w:rPr>
                <w:sz w:val="16"/>
              </w:rPr>
            </w:pPr>
            <w:r>
              <w:rPr>
                <w:w w:val="110"/>
                <w:sz w:val="16"/>
              </w:rPr>
              <w:t>65.18%</w:t>
            </w:r>
          </w:p>
        </w:tc>
      </w:tr>
      <w:tr>
        <w:trPr>
          <w:trHeight w:val="224" w:hRule="atLeast"/>
        </w:trPr>
        <w:tc>
          <w:tcPr>
            <w:tcW w:w="11602" w:type="dxa"/>
            <w:gridSpan w:val="8"/>
            <w:tcBorders>
              <w:top w:val="single" w:sz="8" w:space="0" w:color="D9D9D9"/>
              <w:left w:val="nil"/>
              <w:bottom w:val="single" w:sz="8" w:space="0" w:color="D9D9D9"/>
              <w:right w:val="nil"/>
            </w:tcBorders>
            <w:shd w:val="clear" w:color="auto" w:fill="014612"/>
          </w:tcPr>
          <w:p>
            <w:pPr>
              <w:pStyle w:val="TableParagraph"/>
              <w:spacing w:line="184" w:lineRule="exact" w:before="20"/>
              <w:ind w:left="122"/>
              <w:rPr>
                <w:sz w:val="16"/>
              </w:rPr>
            </w:pPr>
            <w:r>
              <w:rPr>
                <w:color w:val="FFFFFF"/>
                <w:w w:val="110"/>
                <w:sz w:val="16"/>
              </w:rPr>
              <w:t>Fixed Income</w:t>
            </w:r>
          </w:p>
        </w:tc>
      </w:tr>
      <w:tr>
        <w:trPr>
          <w:trHeight w:val="387" w:hRule="atLeast"/>
        </w:trPr>
        <w:tc>
          <w:tcPr>
            <w:tcW w:w="3097" w:type="dxa"/>
            <w:tcBorders>
              <w:top w:val="single" w:sz="8" w:space="0" w:color="D9D9D9"/>
              <w:left w:val="nil"/>
              <w:bottom w:val="single" w:sz="8" w:space="0" w:color="D9D9D9"/>
              <w:right w:val="single" w:sz="8" w:space="0" w:color="D9D9D9"/>
            </w:tcBorders>
          </w:tcPr>
          <w:p>
            <w:pPr>
              <w:pStyle w:val="TableParagraph"/>
              <w:spacing w:line="192" w:lineRule="exact" w:before="1"/>
              <w:ind w:left="122" w:right="429"/>
              <w:rPr>
                <w:sz w:val="16"/>
              </w:rPr>
            </w:pPr>
            <w:r>
              <w:rPr>
                <w:sz w:val="16"/>
              </w:rPr>
              <w:t>VANGUARD</w:t>
            </w:r>
            <w:r>
              <w:rPr>
                <w:spacing w:val="-29"/>
                <w:sz w:val="16"/>
              </w:rPr>
              <w:t> </w:t>
            </w:r>
            <w:r>
              <w:rPr>
                <w:sz w:val="16"/>
              </w:rPr>
              <w:t>TOTAL</w:t>
            </w:r>
            <w:r>
              <w:rPr>
                <w:spacing w:val="-30"/>
                <w:sz w:val="16"/>
              </w:rPr>
              <w:t> </w:t>
            </w:r>
            <w:r>
              <w:rPr>
                <w:sz w:val="16"/>
              </w:rPr>
              <w:t>BOND</w:t>
            </w:r>
            <w:r>
              <w:rPr>
                <w:spacing w:val="-29"/>
                <w:sz w:val="16"/>
              </w:rPr>
              <w:t> </w:t>
            </w:r>
            <w:r>
              <w:rPr>
                <w:sz w:val="16"/>
              </w:rPr>
              <w:t>MARKET INDEX</w:t>
            </w:r>
            <w:r>
              <w:rPr>
                <w:spacing w:val="-10"/>
                <w:sz w:val="16"/>
              </w:rPr>
              <w:t> </w:t>
            </w:r>
            <w:r>
              <w:rPr>
                <w:sz w:val="16"/>
              </w:rPr>
              <w:t>ADM</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102"/>
              <w:ind w:left="105"/>
              <w:rPr>
                <w:sz w:val="16"/>
              </w:rPr>
            </w:pPr>
            <w:r>
              <w:rPr>
                <w:sz w:val="16"/>
              </w:rPr>
              <w:t>VBTLX</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2"/>
              <w:ind w:right="83"/>
              <w:jc w:val="right"/>
              <w:rPr>
                <w:sz w:val="16"/>
              </w:rPr>
            </w:pPr>
            <w:r>
              <w:rPr>
                <w:w w:val="110"/>
                <w:sz w:val="16"/>
              </w:rPr>
              <w:t>307,715.76</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2"/>
              <w:ind w:left="374"/>
              <w:rPr>
                <w:sz w:val="16"/>
              </w:rPr>
            </w:pPr>
            <w:r>
              <w:rPr>
                <w:w w:val="115"/>
                <w:sz w:val="16"/>
              </w:rPr>
              <w:t>10.63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2"/>
              <w:ind w:right="81"/>
              <w:jc w:val="right"/>
              <w:rPr>
                <w:sz w:val="16"/>
              </w:rPr>
            </w:pPr>
            <w:r>
              <w:rPr>
                <w:w w:val="110"/>
                <w:sz w:val="16"/>
              </w:rPr>
              <w:t>3,270,286.09</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2"/>
              <w:ind w:right="79"/>
              <w:jc w:val="right"/>
              <w:rPr>
                <w:sz w:val="16"/>
              </w:rPr>
            </w:pPr>
            <w:r>
              <w:rPr>
                <w:w w:val="110"/>
                <w:sz w:val="16"/>
              </w:rPr>
              <w:t>9.68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2"/>
              <w:ind w:right="79"/>
              <w:jc w:val="right"/>
              <w:rPr>
                <w:sz w:val="16"/>
              </w:rPr>
            </w:pPr>
            <w:r>
              <w:rPr>
                <w:w w:val="110"/>
                <w:sz w:val="16"/>
              </w:rPr>
              <w:t>2,978,688.59</w:t>
            </w:r>
          </w:p>
        </w:tc>
        <w:tc>
          <w:tcPr>
            <w:tcW w:w="857" w:type="dxa"/>
            <w:tcBorders>
              <w:top w:val="single" w:sz="8" w:space="0" w:color="D9D9D9"/>
              <w:left w:val="single" w:sz="8" w:space="0" w:color="D9D9D9"/>
              <w:bottom w:val="single" w:sz="8" w:space="0" w:color="D9D9D9"/>
              <w:right w:val="nil"/>
            </w:tcBorders>
          </w:tcPr>
          <w:p>
            <w:pPr>
              <w:pStyle w:val="TableParagraph"/>
              <w:spacing w:before="102"/>
              <w:ind w:right="85"/>
              <w:jc w:val="right"/>
              <w:rPr>
                <w:sz w:val="16"/>
              </w:rPr>
            </w:pPr>
            <w:r>
              <w:rPr>
                <w:w w:val="110"/>
                <w:sz w:val="16"/>
              </w:rPr>
              <w:t>22.71%</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4" w:lineRule="exact" w:before="20"/>
              <w:ind w:left="122"/>
              <w:rPr>
                <w:sz w:val="16"/>
              </w:rPr>
            </w:pPr>
            <w:r>
              <w:rPr>
                <w:w w:val="105"/>
                <w:sz w:val="16"/>
              </w:rPr>
              <w:t>ISHARES US TREASURY BOND 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left="105"/>
              <w:rPr>
                <w:sz w:val="16"/>
              </w:rPr>
            </w:pPr>
            <w:r>
              <w:rPr>
                <w:sz w:val="16"/>
              </w:rPr>
              <w:t>GOVT</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85"/>
              <w:jc w:val="right"/>
              <w:rPr>
                <w:sz w:val="16"/>
              </w:rPr>
            </w:pPr>
            <w:r>
              <w:rPr>
                <w:w w:val="110"/>
                <w:sz w:val="16"/>
              </w:rPr>
              <w:t>14,451.00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left="374"/>
              <w:rPr>
                <w:sz w:val="16"/>
              </w:rPr>
            </w:pPr>
            <w:r>
              <w:rPr>
                <w:w w:val="115"/>
                <w:sz w:val="16"/>
              </w:rPr>
              <w:t>23.17</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81"/>
              <w:jc w:val="right"/>
              <w:rPr>
                <w:sz w:val="16"/>
              </w:rPr>
            </w:pPr>
            <w:r>
              <w:rPr>
                <w:w w:val="110"/>
                <w:sz w:val="16"/>
              </w:rPr>
              <w:t>334,760.49</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79"/>
              <w:jc w:val="right"/>
              <w:rPr>
                <w:sz w:val="16"/>
              </w:rPr>
            </w:pPr>
            <w:r>
              <w:rPr>
                <w:w w:val="110"/>
                <w:sz w:val="16"/>
              </w:rPr>
              <w:t>22.98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4" w:lineRule="exact" w:before="20"/>
              <w:ind w:right="79"/>
              <w:jc w:val="right"/>
              <w:rPr>
                <w:sz w:val="16"/>
              </w:rPr>
            </w:pPr>
            <w:r>
              <w:rPr>
                <w:w w:val="110"/>
                <w:sz w:val="16"/>
              </w:rPr>
              <w:t>332,083.98</w:t>
            </w:r>
          </w:p>
        </w:tc>
        <w:tc>
          <w:tcPr>
            <w:tcW w:w="857" w:type="dxa"/>
            <w:tcBorders>
              <w:top w:val="single" w:sz="8" w:space="0" w:color="D9D9D9"/>
              <w:left w:val="single" w:sz="8" w:space="0" w:color="D9D9D9"/>
              <w:bottom w:val="single" w:sz="8" w:space="0" w:color="D9D9D9"/>
              <w:right w:val="nil"/>
            </w:tcBorders>
          </w:tcPr>
          <w:p>
            <w:pPr>
              <w:pStyle w:val="TableParagraph"/>
              <w:spacing w:line="184" w:lineRule="exact" w:before="20"/>
              <w:ind w:right="85"/>
              <w:jc w:val="right"/>
              <w:rPr>
                <w:sz w:val="16"/>
              </w:rPr>
            </w:pPr>
            <w:r>
              <w:rPr>
                <w:w w:val="110"/>
                <w:sz w:val="16"/>
              </w:rPr>
              <w:t>2.53%</w:t>
            </w:r>
          </w:p>
        </w:tc>
      </w:tr>
    </w:tbl>
    <w:p>
      <w:pPr>
        <w:spacing w:after="0" w:line="184" w:lineRule="exact"/>
        <w:jc w:val="right"/>
        <w:rPr>
          <w:sz w:val="16"/>
        </w:rPr>
        <w:sectPr>
          <w:headerReference w:type="default" r:id="rId62"/>
          <w:footerReference w:type="default" r:id="rId63"/>
          <w:pgSz w:w="14400" w:h="10800" w:orient="landscape"/>
          <w:pgMar w:header="601" w:footer="1259" w:top="800" w:bottom="1440" w:left="20" w:right="40"/>
          <w:pgNumType w:start="23"/>
        </w:sectPr>
      </w:pPr>
    </w:p>
    <w:tbl>
      <w:tblPr>
        <w:tblW w:w="0" w:type="auto"/>
        <w:jc w:val="left"/>
        <w:tblInd w:w="7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2"/>
      </w:tblGrid>
      <w:tr>
        <w:trPr>
          <w:trHeight w:val="389" w:hRule="atLeast"/>
        </w:trPr>
        <w:tc>
          <w:tcPr>
            <w:tcW w:w="5532" w:type="dxa"/>
          </w:tcPr>
          <w:p>
            <w:pPr>
              <w:pStyle w:val="TableParagraph"/>
              <w:ind w:right="198"/>
              <w:jc w:val="right"/>
              <w:rPr>
                <w:sz w:val="28"/>
              </w:rPr>
            </w:pPr>
            <w:bookmarkStart w:name="Slide 24: Portfolio Holdings" w:id="30"/>
            <w:bookmarkEnd w:id="30"/>
            <w:r>
              <w:rPr/>
            </w:r>
            <w:r>
              <w:rPr>
                <w:w w:val="110"/>
                <w:sz w:val="28"/>
              </w:rPr>
              <w:t>CNY</w:t>
            </w:r>
            <w:r>
              <w:rPr>
                <w:spacing w:val="-56"/>
                <w:w w:val="110"/>
                <w:sz w:val="28"/>
              </w:rPr>
              <w:t> </w:t>
            </w:r>
            <w:r>
              <w:rPr>
                <w:w w:val="110"/>
                <w:sz w:val="28"/>
              </w:rPr>
              <w:t>Centro,</w:t>
            </w:r>
            <w:r>
              <w:rPr>
                <w:spacing w:val="-54"/>
                <w:w w:val="110"/>
                <w:sz w:val="28"/>
              </w:rPr>
              <w:t> </w:t>
            </w:r>
            <w:r>
              <w:rPr>
                <w:w w:val="110"/>
                <w:sz w:val="28"/>
              </w:rPr>
              <w:t>Inc.</w:t>
            </w:r>
            <w:r>
              <w:rPr>
                <w:spacing w:val="-54"/>
                <w:w w:val="110"/>
                <w:sz w:val="28"/>
              </w:rPr>
              <w:t> </w:t>
            </w:r>
            <w:r>
              <w:rPr>
                <w:w w:val="110"/>
                <w:sz w:val="28"/>
              </w:rPr>
              <w:t>Utica</w:t>
            </w:r>
            <w:r>
              <w:rPr>
                <w:spacing w:val="-55"/>
                <w:w w:val="110"/>
                <w:sz w:val="28"/>
              </w:rPr>
              <w:t> </w:t>
            </w:r>
            <w:r>
              <w:rPr>
                <w:spacing w:val="-3"/>
                <w:w w:val="110"/>
                <w:sz w:val="28"/>
              </w:rPr>
              <w:t>Employees</w:t>
            </w:r>
            <w:r>
              <w:rPr>
                <w:spacing w:val="-56"/>
                <w:w w:val="110"/>
                <w:sz w:val="28"/>
              </w:rPr>
              <w:t> </w:t>
            </w:r>
            <w:r>
              <w:rPr>
                <w:w w:val="110"/>
                <w:sz w:val="28"/>
              </w:rPr>
              <w:t>DB</w:t>
            </w:r>
            <w:r>
              <w:rPr>
                <w:spacing w:val="-54"/>
                <w:w w:val="110"/>
                <w:sz w:val="28"/>
              </w:rPr>
              <w:t> </w:t>
            </w:r>
            <w:r>
              <w:rPr>
                <w:w w:val="110"/>
                <w:sz w:val="28"/>
              </w:rPr>
              <w:t>Plan</w:t>
            </w:r>
          </w:p>
        </w:tc>
      </w:tr>
      <w:tr>
        <w:trPr>
          <w:trHeight w:val="363" w:hRule="atLeast"/>
        </w:trPr>
        <w:tc>
          <w:tcPr>
            <w:tcW w:w="5532" w:type="dxa"/>
          </w:tcPr>
          <w:p>
            <w:pPr>
              <w:pStyle w:val="TableParagraph"/>
              <w:spacing w:line="285" w:lineRule="exact" w:before="59"/>
              <w:ind w:right="202"/>
              <w:jc w:val="right"/>
              <w:rPr>
                <w:sz w:val="26"/>
              </w:rPr>
            </w:pPr>
            <w:r>
              <w:rPr>
                <w:w w:val="120"/>
                <w:sz w:val="26"/>
              </w:rPr>
              <w:t>As</w:t>
            </w:r>
            <w:r>
              <w:rPr>
                <w:spacing w:val="-57"/>
                <w:w w:val="120"/>
                <w:sz w:val="26"/>
              </w:rPr>
              <w:t> </w:t>
            </w:r>
            <w:r>
              <w:rPr>
                <w:w w:val="120"/>
                <w:sz w:val="26"/>
              </w:rPr>
              <w:t>of</w:t>
            </w:r>
            <w:r>
              <w:rPr>
                <w:spacing w:val="-59"/>
                <w:w w:val="120"/>
                <w:sz w:val="26"/>
              </w:rPr>
              <w:t> </w:t>
            </w:r>
            <w:r>
              <w:rPr>
                <w:w w:val="120"/>
                <w:sz w:val="26"/>
              </w:rPr>
              <w:t>6/30/2025</w:t>
            </w:r>
          </w:p>
        </w:tc>
      </w:tr>
    </w:tbl>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3"/>
        <w:rPr>
          <w:rFonts w:ascii="Gill Sans MT"/>
          <w:sz w:val="20"/>
        </w:rPr>
      </w:pPr>
    </w:p>
    <w:tbl>
      <w:tblPr>
        <w:tblW w:w="0" w:type="auto"/>
        <w:jc w:val="left"/>
        <w:tblInd w:w="11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3097"/>
        <w:gridCol w:w="1244"/>
        <w:gridCol w:w="1544"/>
        <w:gridCol w:w="886"/>
        <w:gridCol w:w="1544"/>
        <w:gridCol w:w="886"/>
        <w:gridCol w:w="1544"/>
        <w:gridCol w:w="857"/>
      </w:tblGrid>
      <w:tr>
        <w:trPr>
          <w:trHeight w:val="429" w:hRule="atLeast"/>
        </w:trPr>
        <w:tc>
          <w:tcPr>
            <w:tcW w:w="3097" w:type="dxa"/>
            <w:tcBorders>
              <w:left w:val="single" w:sz="8" w:space="0" w:color="D9D9D9"/>
              <w:bottom w:val="single" w:sz="8" w:space="0" w:color="D9D9D9"/>
              <w:right w:val="single" w:sz="8" w:space="0" w:color="D9D9D9"/>
            </w:tcBorders>
            <w:shd w:val="clear" w:color="auto" w:fill="014612"/>
          </w:tcPr>
          <w:p>
            <w:pPr>
              <w:pStyle w:val="TableParagraph"/>
              <w:spacing w:before="119"/>
              <w:ind w:left="1244" w:right="1218"/>
              <w:jc w:val="center"/>
              <w:rPr>
                <w:sz w:val="16"/>
              </w:rPr>
            </w:pPr>
            <w:r>
              <w:rPr>
                <w:color w:val="FFFFFF"/>
                <w:w w:val="110"/>
                <w:sz w:val="16"/>
              </w:rPr>
              <w:t>Security</w:t>
            </w:r>
          </w:p>
        </w:tc>
        <w:tc>
          <w:tcPr>
            <w:tcW w:w="1244" w:type="dxa"/>
            <w:tcBorders>
              <w:left w:val="single" w:sz="8" w:space="0" w:color="D9D9D9"/>
              <w:bottom w:val="single" w:sz="8" w:space="0" w:color="D9D9D9"/>
              <w:right w:val="single" w:sz="8" w:space="0" w:color="D9D9D9"/>
            </w:tcBorders>
            <w:shd w:val="clear" w:color="auto" w:fill="014612"/>
          </w:tcPr>
          <w:p>
            <w:pPr>
              <w:pStyle w:val="TableParagraph"/>
              <w:spacing w:before="119"/>
              <w:ind w:left="359"/>
              <w:rPr>
                <w:sz w:val="16"/>
              </w:rPr>
            </w:pPr>
            <w:r>
              <w:rPr>
                <w:color w:val="FFFFFF"/>
                <w:w w:val="115"/>
                <w:sz w:val="16"/>
              </w:rPr>
              <w:t>Symbol</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477"/>
              <w:rPr>
                <w:sz w:val="16"/>
              </w:rPr>
            </w:pPr>
            <w:r>
              <w:rPr>
                <w:color w:val="FFFFFF"/>
                <w:w w:val="105"/>
                <w:sz w:val="16"/>
              </w:rPr>
              <w:t>Quantity</w:t>
            </w:r>
          </w:p>
        </w:tc>
        <w:tc>
          <w:tcPr>
            <w:tcW w:w="886" w:type="dxa"/>
            <w:tcBorders>
              <w:left w:val="single" w:sz="8" w:space="0" w:color="D9D9D9"/>
              <w:bottom w:val="single" w:sz="8" w:space="0" w:color="D9D9D9"/>
              <w:right w:val="single" w:sz="8" w:space="0" w:color="D9D9D9"/>
            </w:tcBorders>
            <w:shd w:val="clear" w:color="auto" w:fill="014612"/>
          </w:tcPr>
          <w:p>
            <w:pPr>
              <w:pStyle w:val="TableParagraph"/>
              <w:spacing w:before="119"/>
              <w:ind w:left="2" w:right="-29"/>
              <w:rPr>
                <w:sz w:val="16"/>
              </w:rPr>
            </w:pPr>
            <w:r>
              <w:rPr>
                <w:color w:val="FFFFFF"/>
                <w:w w:val="105"/>
                <w:sz w:val="16"/>
              </w:rPr>
              <w:t>Unit Cost</w:t>
            </w:r>
            <w:r>
              <w:rPr>
                <w:color w:val="FFFFFF"/>
                <w:spacing w:val="-39"/>
                <w:w w:val="105"/>
                <w:sz w:val="16"/>
              </w:rPr>
              <w:t> </w:t>
            </w:r>
            <w:r>
              <w:rPr>
                <w:color w:val="FFFFFF"/>
                <w:w w:val="105"/>
                <w:sz w:val="16"/>
              </w:rPr>
              <w:t>($)</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292"/>
              <w:rPr>
                <w:sz w:val="16"/>
              </w:rPr>
            </w:pPr>
            <w:r>
              <w:rPr>
                <w:color w:val="FFFFFF"/>
                <w:w w:val="105"/>
                <w:sz w:val="16"/>
              </w:rPr>
              <w:t>Total Cost ($)</w:t>
            </w:r>
          </w:p>
        </w:tc>
        <w:tc>
          <w:tcPr>
            <w:tcW w:w="886" w:type="dxa"/>
            <w:tcBorders>
              <w:left w:val="single" w:sz="8" w:space="0" w:color="D9D9D9"/>
              <w:bottom w:val="single" w:sz="8" w:space="0" w:color="D9D9D9"/>
              <w:right w:val="single" w:sz="8" w:space="0" w:color="D9D9D9"/>
            </w:tcBorders>
            <w:shd w:val="clear" w:color="auto" w:fill="014612"/>
          </w:tcPr>
          <w:p>
            <w:pPr>
              <w:pStyle w:val="TableParagraph"/>
              <w:spacing w:before="119"/>
              <w:ind w:right="117"/>
              <w:jc w:val="right"/>
              <w:rPr>
                <w:sz w:val="16"/>
              </w:rPr>
            </w:pPr>
            <w:r>
              <w:rPr>
                <w:color w:val="FFFFFF"/>
                <w:w w:val="110"/>
                <w:sz w:val="16"/>
              </w:rPr>
              <w:t>Price ($)</w:t>
            </w:r>
          </w:p>
        </w:tc>
        <w:tc>
          <w:tcPr>
            <w:tcW w:w="1544" w:type="dxa"/>
            <w:tcBorders>
              <w:left w:val="single" w:sz="8" w:space="0" w:color="D9D9D9"/>
              <w:bottom w:val="single" w:sz="8" w:space="0" w:color="D9D9D9"/>
              <w:right w:val="single" w:sz="8" w:space="0" w:color="D9D9D9"/>
            </w:tcBorders>
            <w:shd w:val="clear" w:color="auto" w:fill="014612"/>
          </w:tcPr>
          <w:p>
            <w:pPr>
              <w:pStyle w:val="TableParagraph"/>
              <w:spacing w:before="119"/>
              <w:ind w:left="459"/>
              <w:rPr>
                <w:sz w:val="16"/>
              </w:rPr>
            </w:pPr>
            <w:r>
              <w:rPr>
                <w:color w:val="FFFFFF"/>
                <w:w w:val="110"/>
                <w:sz w:val="16"/>
              </w:rPr>
              <w:t>Value ($)</w:t>
            </w:r>
          </w:p>
        </w:tc>
        <w:tc>
          <w:tcPr>
            <w:tcW w:w="857" w:type="dxa"/>
            <w:tcBorders>
              <w:left w:val="single" w:sz="8" w:space="0" w:color="D9D9D9"/>
              <w:bottom w:val="single" w:sz="8" w:space="0" w:color="D9D9D9"/>
              <w:right w:val="nil"/>
            </w:tcBorders>
            <w:shd w:val="clear" w:color="auto" w:fill="014612"/>
          </w:tcPr>
          <w:p>
            <w:pPr>
              <w:pStyle w:val="TableParagraph"/>
              <w:spacing w:line="247" w:lineRule="auto" w:before="23"/>
              <w:ind w:left="128" w:right="17" w:hanging="60"/>
              <w:rPr>
                <w:sz w:val="16"/>
              </w:rPr>
            </w:pPr>
            <w:r>
              <w:rPr>
                <w:color w:val="FFFFFF"/>
                <w:w w:val="110"/>
                <w:sz w:val="16"/>
              </w:rPr>
              <w:t>Percent of Portfolio</w:t>
            </w:r>
          </w:p>
        </w:tc>
      </w:tr>
      <w:tr>
        <w:trPr>
          <w:trHeight w:val="171" w:hRule="atLeast"/>
        </w:trPr>
        <w:tc>
          <w:tcPr>
            <w:tcW w:w="3097" w:type="dxa"/>
            <w:tcBorders>
              <w:top w:val="single" w:sz="8" w:space="0" w:color="D9D9D9"/>
              <w:left w:val="nil"/>
              <w:bottom w:val="single" w:sz="8" w:space="0" w:color="D9D9D9"/>
              <w:right w:val="single" w:sz="8" w:space="0" w:color="D9D9D9"/>
            </w:tcBorders>
          </w:tcPr>
          <w:p>
            <w:pPr>
              <w:pStyle w:val="TableParagraph"/>
              <w:rPr>
                <w:rFonts w:ascii="Times New Roman"/>
                <w:sz w:val="10"/>
              </w:rPr>
            </w:pPr>
          </w:p>
        </w:tc>
        <w:tc>
          <w:tcPr>
            <w:tcW w:w="12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0"/>
              </w:rPr>
            </w:pPr>
          </w:p>
        </w:tc>
        <w:tc>
          <w:tcPr>
            <w:tcW w:w="857" w:type="dxa"/>
            <w:tcBorders>
              <w:top w:val="single" w:sz="8" w:space="0" w:color="D9D9D9"/>
              <w:left w:val="single" w:sz="8" w:space="0" w:color="D9D9D9"/>
              <w:bottom w:val="single" w:sz="8" w:space="0" w:color="D9D9D9"/>
              <w:right w:val="nil"/>
            </w:tcBorders>
          </w:tcPr>
          <w:p>
            <w:pPr>
              <w:pStyle w:val="TableParagraph"/>
              <w:rPr>
                <w:rFonts w:ascii="Times New Roman"/>
                <w:sz w:val="10"/>
              </w:rPr>
            </w:pPr>
          </w:p>
        </w:tc>
      </w:tr>
      <w:tr>
        <w:trPr>
          <w:trHeight w:val="387" w:hRule="atLeast"/>
        </w:trPr>
        <w:tc>
          <w:tcPr>
            <w:tcW w:w="3097" w:type="dxa"/>
            <w:tcBorders>
              <w:top w:val="single" w:sz="8" w:space="0" w:color="D9D9D9"/>
              <w:left w:val="nil"/>
              <w:bottom w:val="single" w:sz="8" w:space="0" w:color="D9D9D9"/>
              <w:right w:val="single" w:sz="8" w:space="0" w:color="D9D9D9"/>
            </w:tcBorders>
          </w:tcPr>
          <w:p>
            <w:pPr>
              <w:pStyle w:val="TableParagraph"/>
              <w:spacing w:line="192" w:lineRule="exact"/>
              <w:ind w:left="122" w:right="429"/>
              <w:rPr>
                <w:sz w:val="16"/>
              </w:rPr>
            </w:pPr>
            <w:r>
              <w:rPr>
                <w:sz w:val="16"/>
              </w:rPr>
              <w:t>VANGUARD</w:t>
            </w:r>
            <w:r>
              <w:rPr>
                <w:spacing w:val="-29"/>
                <w:sz w:val="16"/>
              </w:rPr>
              <w:t> </w:t>
            </w:r>
            <w:r>
              <w:rPr>
                <w:sz w:val="16"/>
              </w:rPr>
              <w:t>TOTAL</w:t>
            </w:r>
            <w:r>
              <w:rPr>
                <w:spacing w:val="-30"/>
                <w:sz w:val="16"/>
              </w:rPr>
              <w:t> </w:t>
            </w:r>
            <w:r>
              <w:rPr>
                <w:sz w:val="16"/>
              </w:rPr>
              <w:t>BOND</w:t>
            </w:r>
            <w:r>
              <w:rPr>
                <w:spacing w:val="-29"/>
                <w:sz w:val="16"/>
              </w:rPr>
              <w:t> </w:t>
            </w:r>
            <w:r>
              <w:rPr>
                <w:sz w:val="16"/>
              </w:rPr>
              <w:t>MARKET INDEX FUND</w:t>
            </w:r>
            <w:r>
              <w:rPr>
                <w:spacing w:val="-15"/>
                <w:sz w:val="16"/>
              </w:rPr>
              <w:t> </w:t>
            </w:r>
            <w:r>
              <w:rPr>
                <w:sz w:val="16"/>
              </w:rPr>
              <w:t>ETF</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101"/>
              <w:ind w:left="105"/>
              <w:rPr>
                <w:sz w:val="16"/>
              </w:rPr>
            </w:pPr>
            <w:r>
              <w:rPr>
                <w:sz w:val="16"/>
              </w:rPr>
              <w:t>BND</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3"/>
              <w:jc w:val="right"/>
              <w:rPr>
                <w:sz w:val="16"/>
              </w:rPr>
            </w:pPr>
            <w:r>
              <w:rPr>
                <w:w w:val="110"/>
                <w:sz w:val="16"/>
              </w:rPr>
              <w:t>405.00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left="374"/>
              <w:rPr>
                <w:sz w:val="16"/>
              </w:rPr>
            </w:pPr>
            <w:r>
              <w:rPr>
                <w:w w:val="115"/>
                <w:sz w:val="16"/>
              </w:rPr>
              <w:t>72.48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3"/>
              <w:jc w:val="right"/>
              <w:rPr>
                <w:sz w:val="16"/>
              </w:rPr>
            </w:pPr>
            <w:r>
              <w:rPr>
                <w:w w:val="110"/>
                <w:sz w:val="16"/>
              </w:rPr>
              <w:t>29,352.38</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73.63</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1"/>
              <w:jc w:val="right"/>
              <w:rPr>
                <w:sz w:val="16"/>
              </w:rPr>
            </w:pPr>
            <w:r>
              <w:rPr>
                <w:w w:val="110"/>
                <w:sz w:val="16"/>
              </w:rPr>
              <w:t>29,820.15</w:t>
            </w:r>
          </w:p>
        </w:tc>
        <w:tc>
          <w:tcPr>
            <w:tcW w:w="857" w:type="dxa"/>
            <w:tcBorders>
              <w:top w:val="single" w:sz="8" w:space="0" w:color="D9D9D9"/>
              <w:left w:val="single" w:sz="8" w:space="0" w:color="D9D9D9"/>
              <w:bottom w:val="single" w:sz="8" w:space="0" w:color="D9D9D9"/>
              <w:right w:val="nil"/>
            </w:tcBorders>
          </w:tcPr>
          <w:p>
            <w:pPr>
              <w:pStyle w:val="TableParagraph"/>
              <w:spacing w:before="101"/>
              <w:ind w:right="85"/>
              <w:jc w:val="right"/>
              <w:rPr>
                <w:sz w:val="16"/>
              </w:rPr>
            </w:pPr>
            <w:r>
              <w:rPr>
                <w:w w:val="110"/>
                <w:sz w:val="16"/>
              </w:rPr>
              <w:t>0.23%</w:t>
            </w: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5" w:lineRule="exact" w:before="19"/>
              <w:ind w:left="122"/>
              <w:rPr>
                <w:sz w:val="16"/>
              </w:rPr>
            </w:pPr>
            <w:r>
              <w:rPr>
                <w:sz w:val="16"/>
              </w:rPr>
              <w:t>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80"/>
              <w:jc w:val="right"/>
              <w:rPr>
                <w:sz w:val="16"/>
              </w:rPr>
            </w:pPr>
            <w:r>
              <w:rPr>
                <w:w w:val="110"/>
                <w:sz w:val="16"/>
              </w:rPr>
              <w:t>3,634,398.96</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78"/>
              <w:jc w:val="right"/>
              <w:rPr>
                <w:sz w:val="16"/>
              </w:rPr>
            </w:pPr>
            <w:r>
              <w:rPr>
                <w:w w:val="110"/>
                <w:sz w:val="16"/>
              </w:rPr>
              <w:t>3,340,592.72</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5" w:lineRule="exact" w:before="19"/>
              <w:ind w:right="80"/>
              <w:jc w:val="right"/>
              <w:rPr>
                <w:sz w:val="16"/>
              </w:rPr>
            </w:pPr>
            <w:r>
              <w:rPr>
                <w:w w:val="110"/>
                <w:sz w:val="16"/>
              </w:rPr>
              <w:t>25.47%</w:t>
            </w:r>
          </w:p>
        </w:tc>
      </w:tr>
      <w:tr>
        <w:trPr>
          <w:trHeight w:val="224" w:hRule="atLeast"/>
        </w:trPr>
        <w:tc>
          <w:tcPr>
            <w:tcW w:w="11602" w:type="dxa"/>
            <w:gridSpan w:val="8"/>
            <w:tcBorders>
              <w:top w:val="single" w:sz="8" w:space="0" w:color="D9D9D9"/>
              <w:left w:val="nil"/>
              <w:bottom w:val="single" w:sz="8" w:space="0" w:color="D9D9D9"/>
              <w:right w:val="nil"/>
            </w:tcBorders>
            <w:shd w:val="clear" w:color="auto" w:fill="014612"/>
          </w:tcPr>
          <w:p>
            <w:pPr>
              <w:pStyle w:val="TableParagraph"/>
              <w:spacing w:line="185" w:lineRule="exact" w:before="19"/>
              <w:ind w:left="122"/>
              <w:rPr>
                <w:sz w:val="16"/>
              </w:rPr>
            </w:pPr>
            <w:r>
              <w:rPr>
                <w:color w:val="FFFFFF"/>
                <w:w w:val="110"/>
                <w:sz w:val="16"/>
              </w:rPr>
              <w:t>Real Return</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spacing w:line="185" w:lineRule="exact" w:before="19"/>
              <w:ind w:left="122"/>
              <w:rPr>
                <w:sz w:val="16"/>
              </w:rPr>
            </w:pPr>
            <w:r>
              <w:rPr>
                <w:w w:val="105"/>
                <w:sz w:val="16"/>
              </w:rPr>
              <w:t>SCHWAB US TIPS</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left="105"/>
              <w:rPr>
                <w:sz w:val="16"/>
              </w:rPr>
            </w:pPr>
            <w:r>
              <w:rPr>
                <w:w w:val="110"/>
                <w:sz w:val="16"/>
              </w:rPr>
              <w:t>SCHP</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5"/>
              <w:jc w:val="right"/>
              <w:rPr>
                <w:sz w:val="16"/>
              </w:rPr>
            </w:pPr>
            <w:r>
              <w:rPr>
                <w:w w:val="110"/>
                <w:sz w:val="16"/>
              </w:rPr>
              <w:t>21,513.00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left="374"/>
              <w:rPr>
                <w:sz w:val="16"/>
              </w:rPr>
            </w:pPr>
            <w:r>
              <w:rPr>
                <w:w w:val="115"/>
                <w:sz w:val="16"/>
              </w:rPr>
              <w:t>28.25</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81"/>
              <w:jc w:val="right"/>
              <w:rPr>
                <w:sz w:val="16"/>
              </w:rPr>
            </w:pPr>
            <w:r>
              <w:rPr>
                <w:w w:val="110"/>
                <w:sz w:val="16"/>
              </w:rPr>
              <w:t>607,823.73</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79"/>
              <w:jc w:val="right"/>
              <w:rPr>
                <w:sz w:val="16"/>
              </w:rPr>
            </w:pPr>
            <w:r>
              <w:rPr>
                <w:w w:val="110"/>
                <w:sz w:val="16"/>
              </w:rPr>
              <w:t>26.68</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line="185" w:lineRule="exact" w:before="19"/>
              <w:ind w:right="79"/>
              <w:jc w:val="right"/>
              <w:rPr>
                <w:sz w:val="16"/>
              </w:rPr>
            </w:pPr>
            <w:r>
              <w:rPr>
                <w:w w:val="110"/>
                <w:sz w:val="16"/>
              </w:rPr>
              <w:t>573,966.84</w:t>
            </w:r>
          </w:p>
        </w:tc>
        <w:tc>
          <w:tcPr>
            <w:tcW w:w="857" w:type="dxa"/>
            <w:tcBorders>
              <w:top w:val="single" w:sz="8" w:space="0" w:color="D9D9D9"/>
              <w:left w:val="single" w:sz="8" w:space="0" w:color="D9D9D9"/>
              <w:bottom w:val="single" w:sz="8" w:space="0" w:color="D9D9D9"/>
              <w:right w:val="nil"/>
            </w:tcBorders>
          </w:tcPr>
          <w:p>
            <w:pPr>
              <w:pStyle w:val="TableParagraph"/>
              <w:spacing w:line="185" w:lineRule="exact" w:before="19"/>
              <w:ind w:right="85"/>
              <w:jc w:val="right"/>
              <w:rPr>
                <w:sz w:val="16"/>
              </w:rPr>
            </w:pPr>
            <w:r>
              <w:rPr>
                <w:w w:val="110"/>
                <w:sz w:val="16"/>
              </w:rPr>
              <w:t>4.38%</w:t>
            </w:r>
          </w:p>
        </w:tc>
      </w:tr>
      <w:tr>
        <w:trPr>
          <w:trHeight w:val="387" w:hRule="atLeast"/>
        </w:trPr>
        <w:tc>
          <w:tcPr>
            <w:tcW w:w="3097" w:type="dxa"/>
            <w:tcBorders>
              <w:top w:val="single" w:sz="8" w:space="0" w:color="D9D9D9"/>
              <w:left w:val="nil"/>
              <w:bottom w:val="single" w:sz="8" w:space="0" w:color="D9D9D9"/>
              <w:right w:val="single" w:sz="8" w:space="0" w:color="D9D9D9"/>
            </w:tcBorders>
          </w:tcPr>
          <w:p>
            <w:pPr>
              <w:pStyle w:val="TableParagraph"/>
              <w:spacing w:line="192" w:lineRule="exact"/>
              <w:ind w:left="122" w:right="189"/>
              <w:rPr>
                <w:sz w:val="16"/>
              </w:rPr>
            </w:pPr>
            <w:r>
              <w:rPr>
                <w:sz w:val="16"/>
              </w:rPr>
              <w:t>VANGUARD SHORT-TERM INFLATION </w:t>
            </w:r>
            <w:r>
              <w:rPr>
                <w:w w:val="105"/>
                <w:sz w:val="16"/>
              </w:rPr>
              <w:t>PROTECTED SECS</w:t>
            </w:r>
          </w:p>
        </w:tc>
        <w:tc>
          <w:tcPr>
            <w:tcW w:w="1244" w:type="dxa"/>
            <w:tcBorders>
              <w:top w:val="single" w:sz="8" w:space="0" w:color="D9D9D9"/>
              <w:left w:val="single" w:sz="8" w:space="0" w:color="D9D9D9"/>
              <w:bottom w:val="single" w:sz="8" w:space="0" w:color="D9D9D9"/>
              <w:right w:val="single" w:sz="8" w:space="0" w:color="D9D9D9"/>
            </w:tcBorders>
          </w:tcPr>
          <w:p>
            <w:pPr>
              <w:pStyle w:val="TableParagraph"/>
              <w:spacing w:before="101"/>
              <w:ind w:left="105"/>
              <w:rPr>
                <w:sz w:val="16"/>
              </w:rPr>
            </w:pPr>
            <w:r>
              <w:rPr>
                <w:w w:val="110"/>
                <w:sz w:val="16"/>
              </w:rPr>
              <w:t>VTIP</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5"/>
              <w:jc w:val="right"/>
              <w:rPr>
                <w:sz w:val="16"/>
              </w:rPr>
            </w:pPr>
            <w:r>
              <w:rPr>
                <w:w w:val="110"/>
                <w:sz w:val="16"/>
              </w:rPr>
              <w:t>6,330.00</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left="374"/>
              <w:rPr>
                <w:sz w:val="16"/>
              </w:rPr>
            </w:pPr>
            <w:r>
              <w:rPr>
                <w:w w:val="115"/>
                <w:sz w:val="16"/>
              </w:rPr>
              <w:t>48.94</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81"/>
              <w:jc w:val="right"/>
              <w:rPr>
                <w:sz w:val="16"/>
              </w:rPr>
            </w:pPr>
            <w:r>
              <w:rPr>
                <w:w w:val="110"/>
                <w:sz w:val="16"/>
              </w:rPr>
              <w:t>309,805.81</w:t>
            </w:r>
          </w:p>
        </w:tc>
        <w:tc>
          <w:tcPr>
            <w:tcW w:w="886"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50.27</w:t>
            </w:r>
          </w:p>
        </w:tc>
        <w:tc>
          <w:tcPr>
            <w:tcW w:w="1544" w:type="dxa"/>
            <w:tcBorders>
              <w:top w:val="single" w:sz="8" w:space="0" w:color="D9D9D9"/>
              <w:left w:val="single" w:sz="8" w:space="0" w:color="D9D9D9"/>
              <w:bottom w:val="single" w:sz="8" w:space="0" w:color="D9D9D9"/>
              <w:right w:val="single" w:sz="8" w:space="0" w:color="D9D9D9"/>
            </w:tcBorders>
          </w:tcPr>
          <w:p>
            <w:pPr>
              <w:pStyle w:val="TableParagraph"/>
              <w:spacing w:before="101"/>
              <w:ind w:right="79"/>
              <w:jc w:val="right"/>
              <w:rPr>
                <w:sz w:val="16"/>
              </w:rPr>
            </w:pPr>
            <w:r>
              <w:rPr>
                <w:w w:val="110"/>
                <w:sz w:val="16"/>
              </w:rPr>
              <w:t>318,209.10</w:t>
            </w:r>
          </w:p>
        </w:tc>
        <w:tc>
          <w:tcPr>
            <w:tcW w:w="857" w:type="dxa"/>
            <w:tcBorders>
              <w:top w:val="single" w:sz="8" w:space="0" w:color="D9D9D9"/>
              <w:left w:val="single" w:sz="8" w:space="0" w:color="D9D9D9"/>
              <w:bottom w:val="single" w:sz="8" w:space="0" w:color="D9D9D9"/>
              <w:right w:val="nil"/>
            </w:tcBorders>
          </w:tcPr>
          <w:p>
            <w:pPr>
              <w:pStyle w:val="TableParagraph"/>
              <w:spacing w:before="101"/>
              <w:ind w:right="85"/>
              <w:jc w:val="right"/>
              <w:rPr>
                <w:sz w:val="16"/>
              </w:rPr>
            </w:pPr>
            <w:r>
              <w:rPr>
                <w:w w:val="110"/>
                <w:sz w:val="16"/>
              </w:rPr>
              <w:t>2.43%</w:t>
            </w: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5" w:lineRule="exact" w:before="20"/>
              <w:ind w:left="122"/>
              <w:rPr>
                <w:sz w:val="16"/>
              </w:rPr>
            </w:pPr>
            <w:r>
              <w:rPr>
                <w:sz w:val="16"/>
              </w:rPr>
              <w:t>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20"/>
              <w:ind w:right="80"/>
              <w:jc w:val="right"/>
              <w:rPr>
                <w:sz w:val="16"/>
              </w:rPr>
            </w:pPr>
            <w:r>
              <w:rPr>
                <w:w w:val="110"/>
                <w:sz w:val="16"/>
              </w:rPr>
              <w:t>917,629.54</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20"/>
              <w:ind w:right="78"/>
              <w:jc w:val="right"/>
              <w:rPr>
                <w:sz w:val="16"/>
              </w:rPr>
            </w:pPr>
            <w:r>
              <w:rPr>
                <w:w w:val="110"/>
                <w:sz w:val="16"/>
              </w:rPr>
              <w:t>892,175.94</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5" w:lineRule="exact" w:before="20"/>
              <w:ind w:right="82"/>
              <w:jc w:val="right"/>
              <w:rPr>
                <w:sz w:val="16"/>
              </w:rPr>
            </w:pPr>
            <w:r>
              <w:rPr>
                <w:w w:val="110"/>
                <w:sz w:val="16"/>
              </w:rPr>
              <w:t>6.80%</w:t>
            </w:r>
          </w:p>
        </w:tc>
      </w:tr>
      <w:tr>
        <w:trPr>
          <w:trHeight w:val="224" w:hRule="atLeast"/>
        </w:trPr>
        <w:tc>
          <w:tcPr>
            <w:tcW w:w="3097" w:type="dxa"/>
            <w:tcBorders>
              <w:top w:val="single" w:sz="8" w:space="0" w:color="D9D9D9"/>
              <w:left w:val="nil"/>
              <w:bottom w:val="single" w:sz="8" w:space="0" w:color="D9D9D9"/>
              <w:right w:val="single" w:sz="8" w:space="0" w:color="D9D9D9"/>
            </w:tcBorders>
          </w:tcPr>
          <w:p>
            <w:pPr>
              <w:pStyle w:val="TableParagraph"/>
              <w:rPr>
                <w:rFonts w:ascii="Times New Roman"/>
                <w:sz w:val="16"/>
              </w:rPr>
            </w:pPr>
          </w:p>
        </w:tc>
        <w:tc>
          <w:tcPr>
            <w:tcW w:w="12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tcPr>
          <w:p>
            <w:pPr>
              <w:pStyle w:val="TableParagraph"/>
              <w:rPr>
                <w:rFonts w:ascii="Times New Roman"/>
                <w:sz w:val="16"/>
              </w:rPr>
            </w:pPr>
          </w:p>
        </w:tc>
        <w:tc>
          <w:tcPr>
            <w:tcW w:w="857" w:type="dxa"/>
            <w:tcBorders>
              <w:top w:val="single" w:sz="8" w:space="0" w:color="D9D9D9"/>
              <w:left w:val="single" w:sz="8" w:space="0" w:color="D9D9D9"/>
              <w:bottom w:val="single" w:sz="8" w:space="0" w:color="D9D9D9"/>
              <w:right w:val="nil"/>
            </w:tcBorders>
          </w:tcPr>
          <w:p>
            <w:pPr>
              <w:pStyle w:val="TableParagraph"/>
              <w:rPr>
                <w:rFonts w:ascii="Times New Roman"/>
                <w:sz w:val="16"/>
              </w:rPr>
            </w:pPr>
          </w:p>
        </w:tc>
      </w:tr>
      <w:tr>
        <w:trPr>
          <w:trHeight w:val="224" w:hRule="atLeast"/>
        </w:trPr>
        <w:tc>
          <w:tcPr>
            <w:tcW w:w="3097" w:type="dxa"/>
            <w:tcBorders>
              <w:top w:val="single" w:sz="8" w:space="0" w:color="D9D9D9"/>
              <w:left w:val="nil"/>
              <w:bottom w:val="single" w:sz="8" w:space="0" w:color="D9D9D9"/>
              <w:right w:val="single" w:sz="8" w:space="0" w:color="D9D9D9"/>
            </w:tcBorders>
            <w:shd w:val="clear" w:color="auto" w:fill="F1F1F1"/>
          </w:tcPr>
          <w:p>
            <w:pPr>
              <w:pStyle w:val="TableParagraph"/>
              <w:spacing w:line="185" w:lineRule="exact" w:before="19"/>
              <w:ind w:left="122"/>
              <w:rPr>
                <w:sz w:val="16"/>
              </w:rPr>
            </w:pPr>
            <w:r>
              <w:rPr>
                <w:sz w:val="16"/>
              </w:rPr>
              <w:t>GRAND TOTAL</w:t>
            </w:r>
          </w:p>
        </w:tc>
        <w:tc>
          <w:tcPr>
            <w:tcW w:w="12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78"/>
              <w:jc w:val="right"/>
              <w:rPr>
                <w:sz w:val="16"/>
              </w:rPr>
            </w:pPr>
            <w:r>
              <w:rPr>
                <w:w w:val="110"/>
                <w:sz w:val="16"/>
              </w:rPr>
              <w:t>10,589,894.35</w:t>
            </w:r>
          </w:p>
        </w:tc>
        <w:tc>
          <w:tcPr>
            <w:tcW w:w="886"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rPr>
                <w:rFonts w:ascii="Times New Roman"/>
                <w:sz w:val="16"/>
              </w:rPr>
            </w:pPr>
          </w:p>
        </w:tc>
        <w:tc>
          <w:tcPr>
            <w:tcW w:w="1544" w:type="dxa"/>
            <w:tcBorders>
              <w:top w:val="single" w:sz="8" w:space="0" w:color="D9D9D9"/>
              <w:left w:val="single" w:sz="8" w:space="0" w:color="D9D9D9"/>
              <w:bottom w:val="single" w:sz="8" w:space="0" w:color="D9D9D9"/>
              <w:right w:val="single" w:sz="8" w:space="0" w:color="D9D9D9"/>
            </w:tcBorders>
            <w:shd w:val="clear" w:color="auto" w:fill="F1F1F1"/>
          </w:tcPr>
          <w:p>
            <w:pPr>
              <w:pStyle w:val="TableParagraph"/>
              <w:spacing w:line="185" w:lineRule="exact" w:before="19"/>
              <w:ind w:right="75"/>
              <w:jc w:val="right"/>
              <w:rPr>
                <w:sz w:val="16"/>
              </w:rPr>
            </w:pPr>
            <w:r>
              <w:rPr>
                <w:w w:val="110"/>
                <w:sz w:val="16"/>
              </w:rPr>
              <w:t>13,116,320.25</w:t>
            </w:r>
          </w:p>
        </w:tc>
        <w:tc>
          <w:tcPr>
            <w:tcW w:w="857" w:type="dxa"/>
            <w:tcBorders>
              <w:top w:val="single" w:sz="8" w:space="0" w:color="D9D9D9"/>
              <w:left w:val="single" w:sz="8" w:space="0" w:color="D9D9D9"/>
              <w:bottom w:val="single" w:sz="8" w:space="0" w:color="D9D9D9"/>
              <w:right w:val="nil"/>
            </w:tcBorders>
            <w:shd w:val="clear" w:color="auto" w:fill="F1F1F1"/>
          </w:tcPr>
          <w:p>
            <w:pPr>
              <w:pStyle w:val="TableParagraph"/>
              <w:spacing w:line="185" w:lineRule="exact" w:before="19"/>
              <w:ind w:right="82"/>
              <w:jc w:val="right"/>
              <w:rPr>
                <w:sz w:val="16"/>
              </w:rPr>
            </w:pPr>
            <w:r>
              <w:rPr>
                <w:w w:val="110"/>
                <w:sz w:val="16"/>
              </w:rPr>
              <w:t>100.00%</w:t>
            </w:r>
          </w:p>
        </w:tc>
      </w:tr>
    </w:tbl>
    <w:p>
      <w:pPr>
        <w:spacing w:after="0" w:line="185" w:lineRule="exact"/>
        <w:jc w:val="right"/>
        <w:rPr>
          <w:sz w:val="16"/>
        </w:rPr>
        <w:sectPr>
          <w:pgSz w:w="14400" w:h="10800" w:orient="landscape"/>
          <w:pgMar w:header="601" w:footer="1259" w:top="800" w:bottom="1440" w:left="20" w:right="40"/>
        </w:sectPr>
      </w:pPr>
    </w:p>
    <w:p>
      <w:pPr>
        <w:pStyle w:val="BodyText"/>
        <w:rPr>
          <w:rFonts w:ascii="Gill Sans MT"/>
          <w:sz w:val="20"/>
        </w:rPr>
      </w:pPr>
    </w:p>
    <w:p>
      <w:pPr>
        <w:pStyle w:val="Heading3"/>
        <w:spacing w:line="247" w:lineRule="auto" w:before="255"/>
        <w:ind w:left="1560" w:right="1685" w:firstLine="724"/>
      </w:pPr>
      <w:bookmarkStart w:name="Slide 25: Second Quarter 2025 Overview" w:id="31"/>
      <w:bookmarkEnd w:id="31"/>
      <w:r>
        <w:rPr/>
      </w:r>
      <w:r>
        <w:rPr>
          <w:w w:val="110"/>
        </w:rPr>
        <w:t>Most asset classes finished Q2 2025 with positive returns after</w:t>
      </w:r>
      <w:r>
        <w:rPr>
          <w:spacing w:val="-44"/>
          <w:w w:val="110"/>
        </w:rPr>
        <w:t> </w:t>
      </w:r>
      <w:r>
        <w:rPr>
          <w:w w:val="110"/>
        </w:rPr>
        <w:t>a</w:t>
      </w:r>
      <w:r>
        <w:rPr>
          <w:spacing w:val="-8"/>
          <w:w w:val="110"/>
        </w:rPr>
        <w:t> </w:t>
      </w:r>
      <w:r>
        <w:rPr>
          <w:w w:val="110"/>
        </w:rPr>
        <w:t>broad</w:t>
      </w:r>
      <w:r>
        <w:rPr>
          <w:spacing w:val="-1"/>
          <w:w w:val="112"/>
        </w:rPr>
        <w:t> </w:t>
      </w:r>
      <w:r>
        <w:rPr>
          <w:spacing w:val="-1"/>
          <w:w w:val="112"/>
          <w:position w:val="-4"/>
        </w:rPr>
        <w:drawing>
          <wp:inline distT="0" distB="0" distL="0" distR="0">
            <wp:extent cx="193852" cy="216535"/>
            <wp:effectExtent l="0" t="0" r="0" b="0"/>
            <wp:docPr id="47" name="image3.png"/>
            <wp:cNvGraphicFramePr>
              <a:graphicFrameLocks noChangeAspect="1"/>
            </wp:cNvGraphicFramePr>
            <a:graphic>
              <a:graphicData uri="http://schemas.openxmlformats.org/drawingml/2006/picture">
                <pic:pic>
                  <pic:nvPicPr>
                    <pic:cNvPr id="48" name="image3.png"/>
                    <pic:cNvPicPr/>
                  </pic:nvPicPr>
                  <pic:blipFill>
                    <a:blip r:embed="rId66" cstate="print"/>
                    <a:stretch>
                      <a:fillRect/>
                    </a:stretch>
                  </pic:blipFill>
                  <pic:spPr>
                    <a:xfrm>
                      <a:off x="0" y="0"/>
                      <a:ext cx="193852" cy="216535"/>
                    </a:xfrm>
                    <a:prstGeom prst="rect">
                      <a:avLst/>
                    </a:prstGeom>
                  </pic:spPr>
                </pic:pic>
              </a:graphicData>
            </a:graphic>
          </wp:inline>
        </w:drawing>
      </w:r>
      <w:r>
        <w:rPr>
          <w:spacing w:val="-1"/>
          <w:w w:val="112"/>
          <w:position w:val="-4"/>
        </w:rPr>
      </w:r>
      <w:r>
        <w:rPr>
          <w:rFonts w:ascii="Times New Roman"/>
          <w:spacing w:val="-1"/>
          <w:w w:val="112"/>
        </w:rPr>
        <w:t>    </w:t>
      </w:r>
      <w:r>
        <w:rPr>
          <w:rFonts w:ascii="Times New Roman"/>
          <w:spacing w:val="-26"/>
          <w:w w:val="112"/>
        </w:rPr>
        <w:t> </w:t>
      </w:r>
      <w:r>
        <w:rPr>
          <w:w w:val="110"/>
        </w:rPr>
        <w:t>downturn</w:t>
      </w:r>
      <w:r>
        <w:rPr>
          <w:spacing w:val="-27"/>
          <w:w w:val="110"/>
        </w:rPr>
        <w:t> </w:t>
      </w:r>
      <w:r>
        <w:rPr>
          <w:w w:val="110"/>
        </w:rPr>
        <w:t>at</w:t>
      </w:r>
      <w:r>
        <w:rPr>
          <w:spacing w:val="-30"/>
          <w:w w:val="110"/>
        </w:rPr>
        <w:t> </w:t>
      </w:r>
      <w:r>
        <w:rPr>
          <w:w w:val="110"/>
        </w:rPr>
        <w:t>the</w:t>
      </w:r>
      <w:r>
        <w:rPr>
          <w:spacing w:val="-28"/>
          <w:w w:val="110"/>
        </w:rPr>
        <w:t> </w:t>
      </w:r>
      <w:r>
        <w:rPr>
          <w:w w:val="110"/>
        </w:rPr>
        <w:t>start</w:t>
      </w:r>
      <w:r>
        <w:rPr>
          <w:spacing w:val="-29"/>
          <w:w w:val="110"/>
        </w:rPr>
        <w:t> </w:t>
      </w:r>
      <w:r>
        <w:rPr>
          <w:w w:val="110"/>
        </w:rPr>
        <w:t>of</w:t>
      </w:r>
      <w:r>
        <w:rPr>
          <w:spacing w:val="-32"/>
          <w:w w:val="110"/>
        </w:rPr>
        <w:t> </w:t>
      </w:r>
      <w:r>
        <w:rPr>
          <w:w w:val="110"/>
        </w:rPr>
        <w:t>the</w:t>
      </w:r>
      <w:r>
        <w:rPr>
          <w:spacing w:val="-28"/>
          <w:w w:val="110"/>
        </w:rPr>
        <w:t> </w:t>
      </w:r>
      <w:r>
        <w:rPr>
          <w:w w:val="110"/>
        </w:rPr>
        <w:t>quarter;</w:t>
      </w:r>
      <w:r>
        <w:rPr>
          <w:spacing w:val="-24"/>
          <w:w w:val="110"/>
        </w:rPr>
        <w:t> </w:t>
      </w:r>
      <w:r>
        <w:rPr>
          <w:w w:val="110"/>
        </w:rPr>
        <w:t>international</w:t>
      </w:r>
      <w:r>
        <w:rPr>
          <w:spacing w:val="-22"/>
          <w:w w:val="110"/>
        </w:rPr>
        <w:t> </w:t>
      </w:r>
      <w:r>
        <w:rPr>
          <w:w w:val="110"/>
        </w:rPr>
        <w:t>equities</w:t>
      </w:r>
      <w:r>
        <w:rPr>
          <w:spacing w:val="-24"/>
          <w:w w:val="110"/>
        </w:rPr>
        <w:t> </w:t>
      </w:r>
      <w:r>
        <w:rPr>
          <w:w w:val="110"/>
        </w:rPr>
        <w:t>led</w:t>
      </w:r>
      <w:r>
        <w:rPr>
          <w:spacing w:val="-30"/>
          <w:w w:val="110"/>
        </w:rPr>
        <w:t> </w:t>
      </w:r>
      <w:r>
        <w:rPr>
          <w:w w:val="110"/>
        </w:rPr>
        <w:t>the</w:t>
      </w:r>
      <w:r>
        <w:rPr>
          <w:spacing w:val="-28"/>
          <w:w w:val="110"/>
        </w:rPr>
        <w:t> </w:t>
      </w:r>
      <w:r>
        <w:rPr>
          <w:w w:val="110"/>
        </w:rPr>
        <w:t>way,</w:t>
      </w:r>
    </w:p>
    <w:p>
      <w:pPr>
        <w:spacing w:before="3"/>
        <w:ind w:left="2284" w:right="0" w:firstLine="0"/>
        <w:jc w:val="left"/>
        <w:rPr>
          <w:rFonts w:ascii="Gill Sans MT"/>
          <w:sz w:val="32"/>
        </w:rPr>
      </w:pPr>
      <w:r>
        <w:rPr>
          <w:rFonts w:ascii="Gill Sans MT"/>
          <w:w w:val="115"/>
          <w:sz w:val="32"/>
        </w:rPr>
        <w:t>boosted by a weakening dollar, and U.S. stocks finished near record highs.</w:t>
      </w:r>
    </w:p>
    <w:p>
      <w:pPr>
        <w:pStyle w:val="BodyText"/>
        <w:spacing w:before="7"/>
        <w:rPr>
          <w:rFonts w:ascii="Gill Sans MT"/>
          <w:sz w:val="36"/>
        </w:rPr>
      </w:pPr>
    </w:p>
    <w:p>
      <w:pPr>
        <w:spacing w:line="218" w:lineRule="auto" w:before="0"/>
        <w:ind w:left="1559" w:right="1989" w:firstLine="724"/>
        <w:jc w:val="left"/>
        <w:rPr>
          <w:rFonts w:ascii="Gill Sans MT"/>
          <w:sz w:val="32"/>
        </w:rPr>
      </w:pPr>
      <w:r>
        <w:rPr>
          <w:rFonts w:ascii="Gill Sans MT"/>
          <w:w w:val="110"/>
          <w:sz w:val="32"/>
        </w:rPr>
        <w:t>Fluctuating tariff rates and economic uncertainty</w:t>
      </w:r>
      <w:r>
        <w:rPr>
          <w:rFonts w:ascii="Gill Sans MT"/>
          <w:spacing w:val="-20"/>
          <w:w w:val="110"/>
          <w:sz w:val="32"/>
        </w:rPr>
        <w:t> </w:t>
      </w:r>
      <w:r>
        <w:rPr>
          <w:rFonts w:ascii="Gill Sans MT"/>
          <w:w w:val="110"/>
          <w:sz w:val="32"/>
        </w:rPr>
        <w:t>created</w:t>
      </w:r>
      <w:r>
        <w:rPr>
          <w:rFonts w:ascii="Gill Sans MT"/>
          <w:spacing w:val="-3"/>
          <w:w w:val="110"/>
          <w:sz w:val="32"/>
        </w:rPr>
        <w:t> </w:t>
      </w:r>
      <w:r>
        <w:rPr>
          <w:rFonts w:ascii="Gill Sans MT"/>
          <w:w w:val="110"/>
          <w:sz w:val="32"/>
        </w:rPr>
        <w:t>heightened</w:t>
      </w:r>
      <w:r>
        <w:rPr>
          <w:rFonts w:ascii="Gill Sans MT"/>
          <w:w w:val="110"/>
          <w:sz w:val="32"/>
        </w:rPr>
        <w:t> </w:t>
      </w:r>
      <w:r>
        <w:rPr>
          <w:rFonts w:ascii="Gill Sans MT"/>
          <w:w w:val="110"/>
          <w:position w:val="1"/>
          <w:sz w:val="32"/>
        </w:rPr>
        <w:drawing>
          <wp:inline distT="0" distB="0" distL="0" distR="0">
            <wp:extent cx="193852" cy="216535"/>
            <wp:effectExtent l="0" t="0" r="0" b="0"/>
            <wp:docPr id="49" name="image3.png"/>
            <wp:cNvGraphicFramePr>
              <a:graphicFrameLocks noChangeAspect="1"/>
            </wp:cNvGraphicFramePr>
            <a:graphic>
              <a:graphicData uri="http://schemas.openxmlformats.org/drawingml/2006/picture">
                <pic:pic>
                  <pic:nvPicPr>
                    <pic:cNvPr id="50" name="image3.png"/>
                    <pic:cNvPicPr/>
                  </pic:nvPicPr>
                  <pic:blipFill>
                    <a:blip r:embed="rId66" cstate="print"/>
                    <a:stretch>
                      <a:fillRect/>
                    </a:stretch>
                  </pic:blipFill>
                  <pic:spPr>
                    <a:xfrm>
                      <a:off x="0" y="0"/>
                      <a:ext cx="193852" cy="216535"/>
                    </a:xfrm>
                    <a:prstGeom prst="rect">
                      <a:avLst/>
                    </a:prstGeom>
                  </pic:spPr>
                </pic:pic>
              </a:graphicData>
            </a:graphic>
          </wp:inline>
        </w:drawing>
      </w:r>
      <w:r>
        <w:rPr>
          <w:rFonts w:ascii="Gill Sans MT"/>
          <w:w w:val="110"/>
          <w:position w:val="1"/>
          <w:sz w:val="32"/>
        </w:rPr>
      </w:r>
      <w:r>
        <w:rPr>
          <w:rFonts w:ascii="Times New Roman"/>
          <w:w w:val="110"/>
          <w:sz w:val="32"/>
        </w:rPr>
        <w:t>    </w:t>
      </w:r>
      <w:r>
        <w:rPr>
          <w:rFonts w:ascii="Times New Roman"/>
          <w:spacing w:val="-23"/>
          <w:w w:val="110"/>
          <w:sz w:val="32"/>
        </w:rPr>
        <w:t> </w:t>
      </w:r>
      <w:r>
        <w:rPr>
          <w:rFonts w:ascii="Gill Sans MT"/>
          <w:w w:val="110"/>
          <w:sz w:val="32"/>
        </w:rPr>
        <w:t>volatility</w:t>
      </w:r>
      <w:r>
        <w:rPr>
          <w:rFonts w:ascii="Gill Sans MT"/>
          <w:spacing w:val="-25"/>
          <w:w w:val="110"/>
          <w:sz w:val="32"/>
        </w:rPr>
        <w:t> </w:t>
      </w:r>
      <w:r>
        <w:rPr>
          <w:rFonts w:ascii="Gill Sans MT"/>
          <w:w w:val="110"/>
          <w:sz w:val="32"/>
        </w:rPr>
        <w:t>over</w:t>
      </w:r>
      <w:r>
        <w:rPr>
          <w:rFonts w:ascii="Gill Sans MT"/>
          <w:spacing w:val="-30"/>
          <w:w w:val="110"/>
          <w:sz w:val="32"/>
        </w:rPr>
        <w:t> </w:t>
      </w:r>
      <w:r>
        <w:rPr>
          <w:rFonts w:ascii="Gill Sans MT"/>
          <w:w w:val="110"/>
          <w:sz w:val="32"/>
        </w:rPr>
        <w:t>a</w:t>
      </w:r>
      <w:r>
        <w:rPr>
          <w:rFonts w:ascii="Gill Sans MT"/>
          <w:spacing w:val="-33"/>
          <w:w w:val="110"/>
          <w:sz w:val="32"/>
        </w:rPr>
        <w:t> </w:t>
      </w:r>
      <w:r>
        <w:rPr>
          <w:rFonts w:ascii="Gill Sans MT"/>
          <w:w w:val="110"/>
          <w:sz w:val="32"/>
        </w:rPr>
        <w:t>brief</w:t>
      </w:r>
      <w:r>
        <w:rPr>
          <w:rFonts w:ascii="Gill Sans MT"/>
          <w:spacing w:val="-32"/>
          <w:w w:val="110"/>
          <w:sz w:val="32"/>
        </w:rPr>
        <w:t> </w:t>
      </w:r>
      <w:r>
        <w:rPr>
          <w:rFonts w:ascii="Gill Sans MT"/>
          <w:w w:val="110"/>
          <w:sz w:val="32"/>
        </w:rPr>
        <w:t>period</w:t>
      </w:r>
      <w:r>
        <w:rPr>
          <w:rFonts w:ascii="Gill Sans MT"/>
          <w:spacing w:val="-33"/>
          <w:w w:val="110"/>
          <w:sz w:val="32"/>
        </w:rPr>
        <w:t> </w:t>
      </w:r>
      <w:r>
        <w:rPr>
          <w:rFonts w:ascii="Gill Sans MT"/>
          <w:w w:val="110"/>
          <w:sz w:val="32"/>
        </w:rPr>
        <w:t>in</w:t>
      </w:r>
      <w:r>
        <w:rPr>
          <w:rFonts w:ascii="Gill Sans MT"/>
          <w:spacing w:val="-32"/>
          <w:w w:val="110"/>
          <w:sz w:val="32"/>
        </w:rPr>
        <w:t> </w:t>
      </w:r>
      <w:r>
        <w:rPr>
          <w:rFonts w:ascii="Gill Sans MT"/>
          <w:w w:val="110"/>
          <w:sz w:val="32"/>
        </w:rPr>
        <w:t>April</w:t>
      </w:r>
      <w:r>
        <w:rPr>
          <w:rFonts w:ascii="Gill Sans MT"/>
          <w:spacing w:val="-33"/>
          <w:w w:val="110"/>
          <w:sz w:val="32"/>
        </w:rPr>
        <w:t> </w:t>
      </w:r>
      <w:r>
        <w:rPr>
          <w:rFonts w:ascii="Gill Sans MT"/>
          <w:w w:val="110"/>
          <w:sz w:val="32"/>
        </w:rPr>
        <w:t>2025,</w:t>
      </w:r>
      <w:r>
        <w:rPr>
          <w:rFonts w:ascii="Gill Sans MT"/>
          <w:spacing w:val="-33"/>
          <w:w w:val="110"/>
          <w:sz w:val="32"/>
        </w:rPr>
        <w:t> </w:t>
      </w:r>
      <w:r>
        <w:rPr>
          <w:rFonts w:ascii="Gill Sans MT"/>
          <w:w w:val="110"/>
          <w:sz w:val="32"/>
        </w:rPr>
        <w:t>but</w:t>
      </w:r>
      <w:r>
        <w:rPr>
          <w:rFonts w:ascii="Gill Sans MT"/>
          <w:spacing w:val="-29"/>
          <w:w w:val="110"/>
          <w:sz w:val="32"/>
        </w:rPr>
        <w:t> </w:t>
      </w:r>
      <w:r>
        <w:rPr>
          <w:rFonts w:ascii="Gill Sans MT"/>
          <w:w w:val="110"/>
          <w:sz w:val="32"/>
        </w:rPr>
        <w:t>disciplined</w:t>
      </w:r>
      <w:r>
        <w:rPr>
          <w:rFonts w:ascii="Gill Sans MT"/>
          <w:spacing w:val="-30"/>
          <w:w w:val="110"/>
          <w:sz w:val="32"/>
        </w:rPr>
        <w:t> </w:t>
      </w:r>
      <w:r>
        <w:rPr>
          <w:rFonts w:ascii="Gill Sans MT"/>
          <w:w w:val="110"/>
          <w:sz w:val="32"/>
        </w:rPr>
        <w:t>investors</w:t>
      </w:r>
      <w:r>
        <w:rPr>
          <w:rFonts w:ascii="Gill Sans MT"/>
          <w:spacing w:val="-27"/>
          <w:w w:val="110"/>
          <w:sz w:val="32"/>
        </w:rPr>
        <w:t> </w:t>
      </w:r>
      <w:r>
        <w:rPr>
          <w:rFonts w:ascii="Gill Sans MT"/>
          <w:w w:val="110"/>
          <w:sz w:val="32"/>
        </w:rPr>
        <w:t>were</w:t>
      </w:r>
    </w:p>
    <w:p>
      <w:pPr>
        <w:spacing w:before="15"/>
        <w:ind w:left="2284" w:right="0" w:firstLine="0"/>
        <w:jc w:val="left"/>
        <w:rPr>
          <w:rFonts w:ascii="Gill Sans MT"/>
          <w:sz w:val="32"/>
        </w:rPr>
      </w:pPr>
      <w:r>
        <w:rPr>
          <w:rFonts w:ascii="Gill Sans MT"/>
          <w:w w:val="110"/>
          <w:sz w:val="32"/>
        </w:rPr>
        <w:t>rewarded for staying invested in the market.</w:t>
      </w:r>
    </w:p>
    <w:p>
      <w:pPr>
        <w:pStyle w:val="BodyText"/>
        <w:spacing w:before="2"/>
        <w:rPr>
          <w:rFonts w:ascii="Gill Sans MT"/>
          <w:sz w:val="34"/>
        </w:rPr>
      </w:pPr>
    </w:p>
    <w:p>
      <w:pPr>
        <w:spacing w:line="364" w:lineRule="exact" w:before="0"/>
        <w:ind w:left="1558" w:right="938" w:firstLine="0"/>
        <w:jc w:val="center"/>
        <w:rPr>
          <w:rFonts w:ascii="Gill Sans MT" w:hAnsi="Gill Sans MT"/>
          <w:sz w:val="32"/>
        </w:rPr>
      </w:pPr>
      <w:r>
        <w:rPr>
          <w:rFonts w:ascii="Gill Sans MT" w:hAnsi="Gill Sans MT"/>
          <w:w w:val="115"/>
          <w:sz w:val="32"/>
        </w:rPr>
        <w:t>“Soft” data measures such as consumer surveys weakened to historically</w:t>
      </w:r>
    </w:p>
    <w:p>
      <w:pPr>
        <w:spacing w:line="387" w:lineRule="exact" w:before="0"/>
        <w:ind w:left="1453" w:right="1422" w:firstLine="0"/>
        <w:jc w:val="center"/>
        <w:rPr>
          <w:rFonts w:ascii="Gill Sans MT" w:hAnsi="Gill Sans MT"/>
          <w:sz w:val="32"/>
        </w:rPr>
      </w:pPr>
      <w:r>
        <w:rPr/>
        <w:drawing>
          <wp:inline distT="0" distB="0" distL="0" distR="0">
            <wp:extent cx="193840" cy="216535"/>
            <wp:effectExtent l="0" t="0" r="0" b="0"/>
            <wp:docPr id="51" name="image3.png"/>
            <wp:cNvGraphicFramePr>
              <a:graphicFrameLocks noChangeAspect="1"/>
            </wp:cNvGraphicFramePr>
            <a:graphic>
              <a:graphicData uri="http://schemas.openxmlformats.org/drawingml/2006/picture">
                <pic:pic>
                  <pic:nvPicPr>
                    <pic:cNvPr id="52" name="image3.png"/>
                    <pic:cNvPicPr/>
                  </pic:nvPicPr>
                  <pic:blipFill>
                    <a:blip r:embed="rId66" cstate="print"/>
                    <a:stretch>
                      <a:fillRect/>
                    </a:stretch>
                  </pic:blipFill>
                  <pic:spPr>
                    <a:xfrm>
                      <a:off x="0" y="0"/>
                      <a:ext cx="193840" cy="216535"/>
                    </a:xfrm>
                    <a:prstGeom prst="rect">
                      <a:avLst/>
                    </a:prstGeom>
                  </pic:spPr>
                </pic:pic>
              </a:graphicData>
            </a:graphic>
          </wp:inline>
        </w:drawing>
      </w:r>
      <w:r>
        <w:rPr/>
      </w:r>
      <w:r>
        <w:rPr>
          <w:rFonts w:ascii="Times New Roman" w:hAnsi="Times New Roman"/>
          <w:position w:val="2"/>
          <w:sz w:val="20"/>
        </w:rPr>
        <w:t>       </w:t>
      </w:r>
      <w:r>
        <w:rPr>
          <w:rFonts w:ascii="Times New Roman" w:hAnsi="Times New Roman"/>
          <w:spacing w:val="19"/>
          <w:position w:val="2"/>
          <w:sz w:val="20"/>
        </w:rPr>
        <w:t> </w:t>
      </w:r>
      <w:r>
        <w:rPr>
          <w:rFonts w:ascii="Gill Sans MT" w:hAnsi="Gill Sans MT"/>
          <w:w w:val="110"/>
          <w:position w:val="2"/>
          <w:sz w:val="32"/>
        </w:rPr>
        <w:t>low</w:t>
      </w:r>
      <w:r>
        <w:rPr>
          <w:rFonts w:ascii="Gill Sans MT" w:hAnsi="Gill Sans MT"/>
          <w:spacing w:val="-18"/>
          <w:w w:val="110"/>
          <w:position w:val="2"/>
          <w:sz w:val="32"/>
        </w:rPr>
        <w:t> </w:t>
      </w:r>
      <w:r>
        <w:rPr>
          <w:rFonts w:ascii="Gill Sans MT" w:hAnsi="Gill Sans MT"/>
          <w:w w:val="110"/>
          <w:position w:val="2"/>
          <w:sz w:val="32"/>
        </w:rPr>
        <w:t>levels,</w:t>
      </w:r>
      <w:r>
        <w:rPr>
          <w:rFonts w:ascii="Gill Sans MT" w:hAnsi="Gill Sans MT"/>
          <w:spacing w:val="-13"/>
          <w:w w:val="110"/>
          <w:position w:val="2"/>
          <w:sz w:val="32"/>
        </w:rPr>
        <w:t> </w:t>
      </w:r>
      <w:r>
        <w:rPr>
          <w:rFonts w:ascii="Gill Sans MT" w:hAnsi="Gill Sans MT"/>
          <w:w w:val="110"/>
          <w:position w:val="2"/>
          <w:sz w:val="32"/>
        </w:rPr>
        <w:t>but</w:t>
      </w:r>
      <w:r>
        <w:rPr>
          <w:rFonts w:ascii="Gill Sans MT" w:hAnsi="Gill Sans MT"/>
          <w:spacing w:val="-15"/>
          <w:w w:val="110"/>
          <w:position w:val="2"/>
          <w:sz w:val="32"/>
        </w:rPr>
        <w:t> </w:t>
      </w:r>
      <w:r>
        <w:rPr>
          <w:rFonts w:ascii="Gill Sans MT" w:hAnsi="Gill Sans MT"/>
          <w:w w:val="110"/>
          <w:position w:val="2"/>
          <w:sz w:val="32"/>
        </w:rPr>
        <w:t>“hard”</w:t>
      </w:r>
      <w:r>
        <w:rPr>
          <w:rFonts w:ascii="Gill Sans MT" w:hAnsi="Gill Sans MT"/>
          <w:spacing w:val="-16"/>
          <w:w w:val="110"/>
          <w:position w:val="2"/>
          <w:sz w:val="32"/>
        </w:rPr>
        <w:t> </w:t>
      </w:r>
      <w:r>
        <w:rPr>
          <w:rFonts w:ascii="Gill Sans MT" w:hAnsi="Gill Sans MT"/>
          <w:w w:val="110"/>
          <w:position w:val="2"/>
          <w:sz w:val="32"/>
        </w:rPr>
        <w:t>data</w:t>
      </w:r>
      <w:r>
        <w:rPr>
          <w:rFonts w:ascii="Gill Sans MT" w:hAnsi="Gill Sans MT"/>
          <w:spacing w:val="-12"/>
          <w:w w:val="110"/>
          <w:position w:val="2"/>
          <w:sz w:val="32"/>
        </w:rPr>
        <w:t> </w:t>
      </w:r>
      <w:r>
        <w:rPr>
          <w:rFonts w:ascii="Gill Sans MT" w:hAnsi="Gill Sans MT"/>
          <w:w w:val="110"/>
          <w:position w:val="2"/>
          <w:sz w:val="32"/>
        </w:rPr>
        <w:t>indicators</w:t>
      </w:r>
      <w:r>
        <w:rPr>
          <w:rFonts w:ascii="Gill Sans MT" w:hAnsi="Gill Sans MT"/>
          <w:spacing w:val="-12"/>
          <w:w w:val="110"/>
          <w:position w:val="2"/>
          <w:sz w:val="32"/>
        </w:rPr>
        <w:t> </w:t>
      </w:r>
      <w:r>
        <w:rPr>
          <w:rFonts w:ascii="Gill Sans MT" w:hAnsi="Gill Sans MT"/>
          <w:w w:val="110"/>
          <w:position w:val="2"/>
          <w:sz w:val="32"/>
        </w:rPr>
        <w:t>such</w:t>
      </w:r>
      <w:r>
        <w:rPr>
          <w:rFonts w:ascii="Gill Sans MT" w:hAnsi="Gill Sans MT"/>
          <w:spacing w:val="-14"/>
          <w:w w:val="110"/>
          <w:position w:val="2"/>
          <w:sz w:val="32"/>
        </w:rPr>
        <w:t> </w:t>
      </w:r>
      <w:r>
        <w:rPr>
          <w:rFonts w:ascii="Gill Sans MT" w:hAnsi="Gill Sans MT"/>
          <w:w w:val="110"/>
          <w:position w:val="2"/>
          <w:sz w:val="32"/>
        </w:rPr>
        <w:t>as</w:t>
      </w:r>
      <w:r>
        <w:rPr>
          <w:rFonts w:ascii="Gill Sans MT" w:hAnsi="Gill Sans MT"/>
          <w:spacing w:val="-16"/>
          <w:w w:val="110"/>
          <w:position w:val="2"/>
          <w:sz w:val="32"/>
        </w:rPr>
        <w:t> </w:t>
      </w:r>
      <w:r>
        <w:rPr>
          <w:rFonts w:ascii="Gill Sans MT" w:hAnsi="Gill Sans MT"/>
          <w:w w:val="110"/>
          <w:position w:val="2"/>
          <w:sz w:val="32"/>
        </w:rPr>
        <w:t>unemployment,</w:t>
      </w:r>
      <w:r>
        <w:rPr>
          <w:rFonts w:ascii="Gill Sans MT" w:hAnsi="Gill Sans MT"/>
          <w:spacing w:val="-7"/>
          <w:w w:val="110"/>
          <w:position w:val="2"/>
          <w:sz w:val="32"/>
        </w:rPr>
        <w:t> </w:t>
      </w:r>
      <w:r>
        <w:rPr>
          <w:rFonts w:ascii="Gill Sans MT" w:hAnsi="Gill Sans MT"/>
          <w:w w:val="110"/>
          <w:position w:val="2"/>
          <w:sz w:val="32"/>
        </w:rPr>
        <w:t>inflation,</w:t>
      </w:r>
      <w:r>
        <w:rPr>
          <w:rFonts w:ascii="Gill Sans MT" w:hAnsi="Gill Sans MT"/>
          <w:spacing w:val="-8"/>
          <w:w w:val="110"/>
          <w:position w:val="2"/>
          <w:sz w:val="32"/>
        </w:rPr>
        <w:t> </w:t>
      </w:r>
      <w:r>
        <w:rPr>
          <w:rFonts w:ascii="Gill Sans MT" w:hAnsi="Gill Sans MT"/>
          <w:w w:val="110"/>
          <w:position w:val="2"/>
          <w:sz w:val="32"/>
        </w:rPr>
        <w:t>and</w:t>
      </w:r>
    </w:p>
    <w:p>
      <w:pPr>
        <w:spacing w:before="17"/>
        <w:ind w:left="1558" w:right="3178" w:firstLine="0"/>
        <w:jc w:val="center"/>
        <w:rPr>
          <w:rFonts w:ascii="Gill Sans MT"/>
          <w:sz w:val="32"/>
        </w:rPr>
      </w:pPr>
      <w:r>
        <w:rPr>
          <w:rFonts w:ascii="Gill Sans MT"/>
          <w:w w:val="110"/>
          <w:sz w:val="32"/>
        </w:rPr>
        <w:t>consumer spending measures remained relatively strong.</w:t>
      </w:r>
    </w:p>
    <w:p>
      <w:pPr>
        <w:pStyle w:val="BodyText"/>
        <w:spacing w:before="3"/>
        <w:rPr>
          <w:rFonts w:ascii="Gill Sans MT"/>
          <w:sz w:val="34"/>
        </w:rPr>
      </w:pPr>
    </w:p>
    <w:p>
      <w:pPr>
        <w:spacing w:before="0"/>
        <w:ind w:left="2284" w:right="0" w:firstLine="0"/>
        <w:jc w:val="left"/>
        <w:rPr>
          <w:rFonts w:ascii="Gill Sans MT"/>
          <w:sz w:val="32"/>
        </w:rPr>
      </w:pPr>
      <w:r>
        <w:rPr>
          <w:rFonts w:ascii="Gill Sans MT"/>
          <w:w w:val="115"/>
          <w:sz w:val="32"/>
        </w:rPr>
        <w:t>The Federal Reserve left its policy interest rate unchanged; Fed officials</w:t>
      </w:r>
    </w:p>
    <w:p>
      <w:pPr>
        <w:spacing w:line="247" w:lineRule="auto" w:before="9"/>
        <w:ind w:left="2284" w:right="1346" w:hanging="725"/>
        <w:jc w:val="left"/>
        <w:rPr>
          <w:rFonts w:ascii="Gill Sans MT"/>
          <w:sz w:val="32"/>
        </w:rPr>
      </w:pPr>
      <w:r>
        <w:rPr>
          <w:position w:val="-3"/>
        </w:rPr>
        <w:drawing>
          <wp:inline distT="0" distB="0" distL="0" distR="0">
            <wp:extent cx="193840" cy="216535"/>
            <wp:effectExtent l="0" t="0" r="0" b="0"/>
            <wp:docPr id="53" name="image3.png"/>
            <wp:cNvGraphicFramePr>
              <a:graphicFrameLocks noChangeAspect="1"/>
            </wp:cNvGraphicFramePr>
            <a:graphic>
              <a:graphicData uri="http://schemas.openxmlformats.org/drawingml/2006/picture">
                <pic:pic>
                  <pic:nvPicPr>
                    <pic:cNvPr id="54" name="image3.png"/>
                    <pic:cNvPicPr/>
                  </pic:nvPicPr>
                  <pic:blipFill>
                    <a:blip r:embed="rId66" cstate="print"/>
                    <a:stretch>
                      <a:fillRect/>
                    </a:stretch>
                  </pic:blipFill>
                  <pic:spPr>
                    <a:xfrm>
                      <a:off x="0" y="0"/>
                      <a:ext cx="193840" cy="216535"/>
                    </a:xfrm>
                    <a:prstGeom prst="rect">
                      <a:avLst/>
                    </a:prstGeom>
                  </pic:spPr>
                </pic:pic>
              </a:graphicData>
            </a:graphic>
          </wp:inline>
        </w:drawing>
      </w:r>
      <w:r>
        <w:rPr>
          <w:position w:val="-3"/>
        </w:rPr>
      </w:r>
      <w:r>
        <w:rPr>
          <w:rFonts w:ascii="Times New Roman"/>
          <w:sz w:val="20"/>
        </w:rPr>
        <w:t>       </w:t>
      </w:r>
      <w:r>
        <w:rPr>
          <w:rFonts w:ascii="Times New Roman"/>
          <w:spacing w:val="19"/>
          <w:sz w:val="20"/>
        </w:rPr>
        <w:t> </w:t>
      </w:r>
      <w:r>
        <w:rPr>
          <w:rFonts w:ascii="Gill Sans MT"/>
          <w:w w:val="110"/>
          <w:sz w:val="32"/>
        </w:rPr>
        <w:t>expect</w:t>
      </w:r>
      <w:r>
        <w:rPr>
          <w:rFonts w:ascii="Gill Sans MT"/>
          <w:spacing w:val="-22"/>
          <w:w w:val="110"/>
          <w:sz w:val="32"/>
        </w:rPr>
        <w:t> </w:t>
      </w:r>
      <w:r>
        <w:rPr>
          <w:rFonts w:ascii="Gill Sans MT"/>
          <w:w w:val="110"/>
          <w:sz w:val="32"/>
        </w:rPr>
        <w:t>to</w:t>
      </w:r>
      <w:r>
        <w:rPr>
          <w:rFonts w:ascii="Gill Sans MT"/>
          <w:spacing w:val="-23"/>
          <w:w w:val="110"/>
          <w:sz w:val="32"/>
        </w:rPr>
        <w:t> </w:t>
      </w:r>
      <w:r>
        <w:rPr>
          <w:rFonts w:ascii="Gill Sans MT"/>
          <w:w w:val="110"/>
          <w:sz w:val="32"/>
        </w:rPr>
        <w:t>proceed</w:t>
      </w:r>
      <w:r>
        <w:rPr>
          <w:rFonts w:ascii="Gill Sans MT"/>
          <w:spacing w:val="-21"/>
          <w:w w:val="110"/>
          <w:sz w:val="32"/>
        </w:rPr>
        <w:t> </w:t>
      </w:r>
      <w:r>
        <w:rPr>
          <w:rFonts w:ascii="Gill Sans MT"/>
          <w:w w:val="110"/>
          <w:sz w:val="32"/>
        </w:rPr>
        <w:t>cautiously</w:t>
      </w:r>
      <w:r>
        <w:rPr>
          <w:rFonts w:ascii="Gill Sans MT"/>
          <w:spacing w:val="-14"/>
          <w:w w:val="110"/>
          <w:sz w:val="32"/>
        </w:rPr>
        <w:t> </w:t>
      </w:r>
      <w:r>
        <w:rPr>
          <w:rFonts w:ascii="Gill Sans MT"/>
          <w:w w:val="110"/>
          <w:sz w:val="32"/>
        </w:rPr>
        <w:t>with</w:t>
      </w:r>
      <w:r>
        <w:rPr>
          <w:rFonts w:ascii="Gill Sans MT"/>
          <w:spacing w:val="-21"/>
          <w:w w:val="110"/>
          <w:sz w:val="32"/>
        </w:rPr>
        <w:t> </w:t>
      </w:r>
      <w:r>
        <w:rPr>
          <w:rFonts w:ascii="Gill Sans MT"/>
          <w:w w:val="110"/>
          <w:sz w:val="32"/>
        </w:rPr>
        <w:t>interest</w:t>
      </w:r>
      <w:r>
        <w:rPr>
          <w:rFonts w:ascii="Gill Sans MT"/>
          <w:spacing w:val="-16"/>
          <w:w w:val="110"/>
          <w:sz w:val="32"/>
        </w:rPr>
        <w:t> </w:t>
      </w:r>
      <w:r>
        <w:rPr>
          <w:rFonts w:ascii="Gill Sans MT"/>
          <w:w w:val="110"/>
          <w:sz w:val="32"/>
        </w:rPr>
        <w:t>rate</w:t>
      </w:r>
      <w:r>
        <w:rPr>
          <w:rFonts w:ascii="Gill Sans MT"/>
          <w:spacing w:val="-19"/>
          <w:w w:val="110"/>
          <w:sz w:val="32"/>
        </w:rPr>
        <w:t> </w:t>
      </w:r>
      <w:r>
        <w:rPr>
          <w:rFonts w:ascii="Gill Sans MT"/>
          <w:w w:val="110"/>
          <w:sz w:val="32"/>
        </w:rPr>
        <w:t>decisions</w:t>
      </w:r>
      <w:r>
        <w:rPr>
          <w:rFonts w:ascii="Gill Sans MT"/>
          <w:spacing w:val="-20"/>
          <w:w w:val="110"/>
          <w:sz w:val="32"/>
        </w:rPr>
        <w:t> </w:t>
      </w:r>
      <w:r>
        <w:rPr>
          <w:rFonts w:ascii="Gill Sans MT"/>
          <w:w w:val="110"/>
          <w:sz w:val="32"/>
        </w:rPr>
        <w:t>given</w:t>
      </w:r>
      <w:r>
        <w:rPr>
          <w:rFonts w:ascii="Gill Sans MT"/>
          <w:spacing w:val="-19"/>
          <w:w w:val="110"/>
          <w:sz w:val="32"/>
        </w:rPr>
        <w:t> </w:t>
      </w:r>
      <w:r>
        <w:rPr>
          <w:rFonts w:ascii="Gill Sans MT"/>
          <w:w w:val="110"/>
          <w:sz w:val="32"/>
        </w:rPr>
        <w:t>the</w:t>
      </w:r>
      <w:r>
        <w:rPr>
          <w:rFonts w:ascii="Gill Sans MT"/>
          <w:spacing w:val="-20"/>
          <w:w w:val="110"/>
          <w:sz w:val="32"/>
        </w:rPr>
        <w:t> </w:t>
      </w:r>
      <w:r>
        <w:rPr>
          <w:rFonts w:ascii="Gill Sans MT"/>
          <w:w w:val="110"/>
          <w:sz w:val="32"/>
        </w:rPr>
        <w:t>elevated level of economic</w:t>
      </w:r>
      <w:r>
        <w:rPr>
          <w:rFonts w:ascii="Gill Sans MT"/>
          <w:spacing w:val="-45"/>
          <w:w w:val="110"/>
          <w:sz w:val="32"/>
        </w:rPr>
        <w:t> </w:t>
      </w:r>
      <w:r>
        <w:rPr>
          <w:rFonts w:ascii="Gill Sans MT"/>
          <w:w w:val="110"/>
          <w:sz w:val="32"/>
        </w:rPr>
        <w:t>uncertainty.</w:t>
      </w:r>
    </w:p>
    <w:p>
      <w:pPr>
        <w:spacing w:after="0" w:line="247" w:lineRule="auto"/>
        <w:jc w:val="left"/>
        <w:rPr>
          <w:rFonts w:ascii="Gill Sans MT"/>
          <w:sz w:val="32"/>
        </w:rPr>
        <w:sectPr>
          <w:headerReference w:type="default" r:id="rId64"/>
          <w:footerReference w:type="default" r:id="rId65"/>
          <w:pgSz w:w="14400" w:h="10800" w:orient="landscape"/>
          <w:pgMar w:header="668" w:footer="1259" w:top="1500" w:bottom="1440" w:left="20" w:right="40"/>
          <w:pgNumType w:start="25"/>
        </w:sectPr>
      </w:pPr>
    </w:p>
    <w:p>
      <w:pPr>
        <w:pStyle w:val="BodyText"/>
        <w:spacing w:before="3"/>
        <w:rPr>
          <w:rFonts w:ascii="Gill Sans MT"/>
          <w:sz w:val="9"/>
        </w:rPr>
      </w:pPr>
    </w:p>
    <w:p>
      <w:pPr>
        <w:spacing w:after="0"/>
        <w:rPr>
          <w:rFonts w:ascii="Gill Sans MT"/>
          <w:sz w:val="9"/>
        </w:rPr>
        <w:sectPr>
          <w:headerReference w:type="default" r:id="rId67"/>
          <w:footerReference w:type="default" r:id="rId68"/>
          <w:pgSz w:w="14400" w:h="10800" w:orient="landscape"/>
          <w:pgMar w:header="639" w:footer="1097" w:top="1480" w:bottom="1280" w:left="20" w:right="40"/>
          <w:pgNumType w:start="26"/>
        </w:sectPr>
      </w:pPr>
    </w:p>
    <w:p>
      <w:pPr>
        <w:spacing w:before="118"/>
        <w:ind w:left="830" w:right="0" w:firstLine="0"/>
        <w:jc w:val="both"/>
        <w:rPr>
          <w:rFonts w:ascii="Gill Sans MT"/>
          <w:sz w:val="32"/>
        </w:rPr>
      </w:pPr>
      <w:bookmarkStart w:name="Slide 26: Tariffs and Markets" w:id="32"/>
      <w:bookmarkEnd w:id="32"/>
      <w:r>
        <w:rPr/>
      </w:r>
      <w:r>
        <w:rPr>
          <w:rFonts w:ascii="Gill Sans MT"/>
          <w:w w:val="110"/>
          <w:sz w:val="32"/>
        </w:rPr>
        <w:t>Tariff policy fluctuated in Q2 2025</w:t>
      </w:r>
    </w:p>
    <w:p>
      <w:pPr>
        <w:pStyle w:val="Heading5"/>
        <w:numPr>
          <w:ilvl w:val="0"/>
          <w:numId w:val="4"/>
        </w:numPr>
        <w:tabs>
          <w:tab w:pos="1102" w:val="left" w:leader="none"/>
        </w:tabs>
        <w:spacing w:line="223" w:lineRule="auto" w:before="155" w:after="0"/>
        <w:ind w:left="1101" w:right="309" w:hanging="272"/>
        <w:jc w:val="both"/>
      </w:pPr>
      <w:r>
        <w:rPr>
          <w:w w:val="110"/>
        </w:rPr>
        <w:t>The</w:t>
      </w:r>
      <w:r>
        <w:rPr>
          <w:spacing w:val="-8"/>
          <w:w w:val="110"/>
        </w:rPr>
        <w:t> </w:t>
      </w:r>
      <w:r>
        <w:rPr>
          <w:w w:val="110"/>
        </w:rPr>
        <w:t>average</w:t>
      </w:r>
      <w:r>
        <w:rPr>
          <w:spacing w:val="-11"/>
          <w:w w:val="110"/>
        </w:rPr>
        <w:t> </w:t>
      </w:r>
      <w:r>
        <w:rPr>
          <w:w w:val="110"/>
        </w:rPr>
        <w:t>effective</w:t>
      </w:r>
      <w:r>
        <w:rPr>
          <w:spacing w:val="-16"/>
          <w:w w:val="110"/>
        </w:rPr>
        <w:t> </w:t>
      </w:r>
      <w:r>
        <w:rPr>
          <w:w w:val="110"/>
        </w:rPr>
        <w:t>tariff</w:t>
      </w:r>
      <w:r>
        <w:rPr>
          <w:spacing w:val="-11"/>
          <w:w w:val="110"/>
        </w:rPr>
        <w:t> </w:t>
      </w:r>
      <w:r>
        <w:rPr>
          <w:w w:val="110"/>
        </w:rPr>
        <w:t>rate</w:t>
      </w:r>
      <w:r>
        <w:rPr>
          <w:spacing w:val="-11"/>
          <w:w w:val="110"/>
        </w:rPr>
        <w:t> </w:t>
      </w:r>
      <w:r>
        <w:rPr>
          <w:w w:val="110"/>
        </w:rPr>
        <w:t>on</w:t>
      </w:r>
      <w:r>
        <w:rPr>
          <w:spacing w:val="-7"/>
          <w:w w:val="110"/>
        </w:rPr>
        <w:t> </w:t>
      </w:r>
      <w:r>
        <w:rPr>
          <w:w w:val="110"/>
        </w:rPr>
        <w:t>U.S.</w:t>
      </w:r>
      <w:r>
        <w:rPr>
          <w:spacing w:val="-13"/>
          <w:w w:val="110"/>
        </w:rPr>
        <w:t> </w:t>
      </w:r>
      <w:r>
        <w:rPr>
          <w:w w:val="110"/>
        </w:rPr>
        <w:t>imports changed rapidly in 2025, as various tariffs were announced, paused, altered, and</w:t>
      </w:r>
      <w:r>
        <w:rPr>
          <w:spacing w:val="-60"/>
          <w:w w:val="110"/>
        </w:rPr>
        <w:t> </w:t>
      </w:r>
      <w:r>
        <w:rPr>
          <w:w w:val="110"/>
        </w:rPr>
        <w:t>renegotiated</w:t>
      </w:r>
    </w:p>
    <w:p>
      <w:pPr>
        <w:pStyle w:val="ListParagraph"/>
        <w:numPr>
          <w:ilvl w:val="0"/>
          <w:numId w:val="4"/>
        </w:numPr>
        <w:tabs>
          <w:tab w:pos="1102" w:val="left" w:leader="none"/>
        </w:tabs>
        <w:spacing w:line="316" w:lineRule="exact" w:before="139" w:after="0"/>
        <w:ind w:left="1101" w:right="0" w:hanging="272"/>
        <w:jc w:val="both"/>
        <w:rPr>
          <w:rFonts w:ascii="Gill Sans MT" w:hAnsi="Gill Sans MT"/>
          <w:sz w:val="28"/>
        </w:rPr>
      </w:pPr>
      <w:r>
        <w:rPr>
          <w:rFonts w:ascii="Gill Sans MT" w:hAnsi="Gill Sans MT"/>
          <w:w w:val="115"/>
          <w:sz w:val="28"/>
        </w:rPr>
        <w:t>Tariffs</w:t>
      </w:r>
      <w:r>
        <w:rPr>
          <w:rFonts w:ascii="Gill Sans MT" w:hAnsi="Gill Sans MT"/>
          <w:spacing w:val="-30"/>
          <w:w w:val="115"/>
          <w:sz w:val="28"/>
        </w:rPr>
        <w:t> </w:t>
      </w:r>
      <w:r>
        <w:rPr>
          <w:rFonts w:ascii="Gill Sans MT" w:hAnsi="Gill Sans MT"/>
          <w:w w:val="115"/>
          <w:sz w:val="28"/>
        </w:rPr>
        <w:t>are</w:t>
      </w:r>
      <w:r>
        <w:rPr>
          <w:rFonts w:ascii="Gill Sans MT" w:hAnsi="Gill Sans MT"/>
          <w:spacing w:val="-28"/>
          <w:w w:val="115"/>
          <w:sz w:val="28"/>
        </w:rPr>
        <w:t> </w:t>
      </w:r>
      <w:r>
        <w:rPr>
          <w:rFonts w:ascii="Gill Sans MT" w:hAnsi="Gill Sans MT"/>
          <w:w w:val="115"/>
          <w:sz w:val="28"/>
        </w:rPr>
        <w:t>a</w:t>
      </w:r>
      <w:r>
        <w:rPr>
          <w:rFonts w:ascii="Gill Sans MT" w:hAnsi="Gill Sans MT"/>
          <w:spacing w:val="-28"/>
          <w:w w:val="115"/>
          <w:sz w:val="28"/>
        </w:rPr>
        <w:t> </w:t>
      </w:r>
      <w:r>
        <w:rPr>
          <w:rFonts w:ascii="Gill Sans MT" w:hAnsi="Gill Sans MT"/>
          <w:w w:val="115"/>
          <w:sz w:val="28"/>
        </w:rPr>
        <w:t>tax</w:t>
      </w:r>
      <w:r>
        <w:rPr>
          <w:rFonts w:ascii="Gill Sans MT" w:hAnsi="Gill Sans MT"/>
          <w:spacing w:val="-25"/>
          <w:w w:val="115"/>
          <w:sz w:val="28"/>
        </w:rPr>
        <w:t> </w:t>
      </w:r>
      <w:r>
        <w:rPr>
          <w:rFonts w:ascii="Gill Sans MT" w:hAnsi="Gill Sans MT"/>
          <w:w w:val="115"/>
          <w:sz w:val="28"/>
        </w:rPr>
        <w:t>on</w:t>
      </w:r>
      <w:r>
        <w:rPr>
          <w:rFonts w:ascii="Gill Sans MT" w:hAnsi="Gill Sans MT"/>
          <w:spacing w:val="-28"/>
          <w:w w:val="115"/>
          <w:sz w:val="28"/>
        </w:rPr>
        <w:t> </w:t>
      </w:r>
      <w:r>
        <w:rPr>
          <w:rFonts w:ascii="Gill Sans MT" w:hAnsi="Gill Sans MT"/>
          <w:w w:val="115"/>
          <w:sz w:val="28"/>
        </w:rPr>
        <w:t>trade,</w:t>
      </w:r>
      <w:r>
        <w:rPr>
          <w:rFonts w:ascii="Gill Sans MT" w:hAnsi="Gill Sans MT"/>
          <w:spacing w:val="-28"/>
          <w:w w:val="115"/>
          <w:sz w:val="28"/>
        </w:rPr>
        <w:t> </w:t>
      </w:r>
      <w:r>
        <w:rPr>
          <w:rFonts w:ascii="Gill Sans MT" w:hAnsi="Gill Sans MT"/>
          <w:w w:val="115"/>
          <w:sz w:val="28"/>
        </w:rPr>
        <w:t>raising</w:t>
      </w:r>
      <w:r>
        <w:rPr>
          <w:rFonts w:ascii="Gill Sans MT" w:hAnsi="Gill Sans MT"/>
          <w:spacing w:val="-28"/>
          <w:w w:val="115"/>
          <w:sz w:val="28"/>
        </w:rPr>
        <w:t> </w:t>
      </w:r>
      <w:r>
        <w:rPr>
          <w:rFonts w:ascii="Gill Sans MT" w:hAnsi="Gill Sans MT"/>
          <w:w w:val="115"/>
          <w:sz w:val="28"/>
        </w:rPr>
        <w:t>the</w:t>
      </w:r>
      <w:r>
        <w:rPr>
          <w:rFonts w:ascii="Gill Sans MT" w:hAnsi="Gill Sans MT"/>
          <w:spacing w:val="-25"/>
          <w:w w:val="115"/>
          <w:sz w:val="28"/>
        </w:rPr>
        <w:t> </w:t>
      </w:r>
      <w:r>
        <w:rPr>
          <w:rFonts w:ascii="Gill Sans MT" w:hAnsi="Gill Sans MT"/>
          <w:w w:val="115"/>
          <w:sz w:val="28"/>
        </w:rPr>
        <w:t>costs</w:t>
      </w:r>
      <w:r>
        <w:rPr>
          <w:rFonts w:ascii="Gill Sans MT" w:hAnsi="Gill Sans MT"/>
          <w:spacing w:val="-24"/>
          <w:w w:val="115"/>
          <w:sz w:val="28"/>
        </w:rPr>
        <w:t> </w:t>
      </w:r>
      <w:r>
        <w:rPr>
          <w:rFonts w:ascii="Gill Sans MT" w:hAnsi="Gill Sans MT"/>
          <w:w w:val="115"/>
          <w:sz w:val="28"/>
        </w:rPr>
        <w:t>of</w:t>
      </w:r>
    </w:p>
    <w:p>
      <w:pPr>
        <w:spacing w:line="314" w:lineRule="exact" w:before="0"/>
        <w:ind w:left="1101" w:right="0" w:firstLine="0"/>
        <w:jc w:val="both"/>
        <w:rPr>
          <w:rFonts w:ascii="Gill Sans MT"/>
          <w:sz w:val="28"/>
        </w:rPr>
      </w:pPr>
      <w:r>
        <w:rPr>
          <w:rFonts w:ascii="Gill Sans MT"/>
          <w:w w:val="115"/>
          <w:sz w:val="28"/>
        </w:rPr>
        <w:t>imports for consumers and businesses</w:t>
      </w:r>
    </w:p>
    <w:p>
      <w:pPr>
        <w:pStyle w:val="ListParagraph"/>
        <w:numPr>
          <w:ilvl w:val="0"/>
          <w:numId w:val="4"/>
        </w:numPr>
        <w:tabs>
          <w:tab w:pos="1102" w:val="left" w:leader="none"/>
        </w:tabs>
        <w:spacing w:line="223" w:lineRule="auto" w:before="154" w:after="0"/>
        <w:ind w:left="1101" w:right="271" w:hanging="272"/>
        <w:jc w:val="left"/>
        <w:rPr>
          <w:rFonts w:ascii="Gill Sans MT" w:hAnsi="Gill Sans MT"/>
          <w:sz w:val="28"/>
        </w:rPr>
      </w:pPr>
      <w:r>
        <w:rPr>
          <w:rFonts w:ascii="Gill Sans MT" w:hAnsi="Gill Sans MT"/>
          <w:w w:val="115"/>
          <w:sz w:val="28"/>
        </w:rPr>
        <w:t>Fluctuating</w:t>
      </w:r>
      <w:r>
        <w:rPr>
          <w:rFonts w:ascii="Gill Sans MT" w:hAnsi="Gill Sans MT"/>
          <w:spacing w:val="-34"/>
          <w:w w:val="115"/>
          <w:sz w:val="28"/>
        </w:rPr>
        <w:t> </w:t>
      </w:r>
      <w:r>
        <w:rPr>
          <w:rFonts w:ascii="Gill Sans MT" w:hAnsi="Gill Sans MT"/>
          <w:w w:val="115"/>
          <w:sz w:val="28"/>
        </w:rPr>
        <w:t>tariffs</w:t>
      </w:r>
      <w:r>
        <w:rPr>
          <w:rFonts w:ascii="Gill Sans MT" w:hAnsi="Gill Sans MT"/>
          <w:spacing w:val="-32"/>
          <w:w w:val="115"/>
          <w:sz w:val="28"/>
        </w:rPr>
        <w:t> </w:t>
      </w:r>
      <w:r>
        <w:rPr>
          <w:rFonts w:ascii="Gill Sans MT" w:hAnsi="Gill Sans MT"/>
          <w:w w:val="115"/>
          <w:sz w:val="28"/>
        </w:rPr>
        <w:t>and</w:t>
      </w:r>
      <w:r>
        <w:rPr>
          <w:rFonts w:ascii="Gill Sans MT" w:hAnsi="Gill Sans MT"/>
          <w:spacing w:val="-33"/>
          <w:w w:val="115"/>
          <w:sz w:val="28"/>
        </w:rPr>
        <w:t> </w:t>
      </w:r>
      <w:r>
        <w:rPr>
          <w:rFonts w:ascii="Gill Sans MT" w:hAnsi="Gill Sans MT"/>
          <w:w w:val="115"/>
          <w:sz w:val="28"/>
        </w:rPr>
        <w:t>questions</w:t>
      </w:r>
      <w:r>
        <w:rPr>
          <w:rFonts w:ascii="Gill Sans MT" w:hAnsi="Gill Sans MT"/>
          <w:spacing w:val="-32"/>
          <w:w w:val="115"/>
          <w:sz w:val="28"/>
        </w:rPr>
        <w:t> </w:t>
      </w:r>
      <w:r>
        <w:rPr>
          <w:rFonts w:ascii="Gill Sans MT" w:hAnsi="Gill Sans MT"/>
          <w:w w:val="115"/>
          <w:sz w:val="28"/>
        </w:rPr>
        <w:t>about</w:t>
      </w:r>
      <w:r>
        <w:rPr>
          <w:rFonts w:ascii="Gill Sans MT" w:hAnsi="Gill Sans MT"/>
          <w:spacing w:val="-34"/>
          <w:w w:val="115"/>
          <w:sz w:val="28"/>
        </w:rPr>
        <w:t> </w:t>
      </w:r>
      <w:r>
        <w:rPr>
          <w:rFonts w:ascii="Gill Sans MT" w:hAnsi="Gill Sans MT"/>
          <w:w w:val="115"/>
          <w:sz w:val="28"/>
        </w:rPr>
        <w:t>the</w:t>
      </w:r>
      <w:r>
        <w:rPr>
          <w:rFonts w:ascii="Gill Sans MT" w:hAnsi="Gill Sans MT"/>
          <w:spacing w:val="-30"/>
          <w:w w:val="115"/>
          <w:sz w:val="28"/>
        </w:rPr>
        <w:t> </w:t>
      </w:r>
      <w:r>
        <w:rPr>
          <w:rFonts w:ascii="Gill Sans MT" w:hAnsi="Gill Sans MT"/>
          <w:w w:val="115"/>
          <w:sz w:val="28"/>
        </w:rPr>
        <w:t>path of</w:t>
      </w:r>
      <w:r>
        <w:rPr>
          <w:rFonts w:ascii="Gill Sans MT" w:hAnsi="Gill Sans MT"/>
          <w:spacing w:val="-47"/>
          <w:w w:val="115"/>
          <w:sz w:val="28"/>
        </w:rPr>
        <w:t> </w:t>
      </w:r>
      <w:r>
        <w:rPr>
          <w:rFonts w:ascii="Gill Sans MT" w:hAnsi="Gill Sans MT"/>
          <w:w w:val="115"/>
          <w:sz w:val="28"/>
        </w:rPr>
        <w:t>future</w:t>
      </w:r>
      <w:r>
        <w:rPr>
          <w:rFonts w:ascii="Gill Sans MT" w:hAnsi="Gill Sans MT"/>
          <w:spacing w:val="-46"/>
          <w:w w:val="115"/>
          <w:sz w:val="28"/>
        </w:rPr>
        <w:t> </w:t>
      </w:r>
      <w:r>
        <w:rPr>
          <w:rFonts w:ascii="Gill Sans MT" w:hAnsi="Gill Sans MT"/>
          <w:w w:val="115"/>
          <w:sz w:val="28"/>
        </w:rPr>
        <w:t>trade</w:t>
      </w:r>
      <w:r>
        <w:rPr>
          <w:rFonts w:ascii="Gill Sans MT" w:hAnsi="Gill Sans MT"/>
          <w:spacing w:val="-47"/>
          <w:w w:val="115"/>
          <w:sz w:val="28"/>
        </w:rPr>
        <w:t> </w:t>
      </w:r>
      <w:r>
        <w:rPr>
          <w:rFonts w:ascii="Gill Sans MT" w:hAnsi="Gill Sans MT"/>
          <w:w w:val="115"/>
          <w:sz w:val="28"/>
        </w:rPr>
        <w:t>policy</w:t>
      </w:r>
      <w:r>
        <w:rPr>
          <w:rFonts w:ascii="Gill Sans MT" w:hAnsi="Gill Sans MT"/>
          <w:spacing w:val="-46"/>
          <w:w w:val="115"/>
          <w:sz w:val="28"/>
        </w:rPr>
        <w:t> </w:t>
      </w:r>
      <w:r>
        <w:rPr>
          <w:rFonts w:ascii="Gill Sans MT" w:hAnsi="Gill Sans MT"/>
          <w:w w:val="115"/>
          <w:sz w:val="28"/>
        </w:rPr>
        <w:t>contributed</w:t>
      </w:r>
      <w:r>
        <w:rPr>
          <w:rFonts w:ascii="Gill Sans MT" w:hAnsi="Gill Sans MT"/>
          <w:spacing w:val="-47"/>
          <w:w w:val="115"/>
          <w:sz w:val="28"/>
        </w:rPr>
        <w:t> </w:t>
      </w:r>
      <w:r>
        <w:rPr>
          <w:rFonts w:ascii="Gill Sans MT" w:hAnsi="Gill Sans MT"/>
          <w:w w:val="115"/>
          <w:sz w:val="28"/>
        </w:rPr>
        <w:t>to</w:t>
      </w:r>
      <w:r>
        <w:rPr>
          <w:rFonts w:ascii="Gill Sans MT" w:hAnsi="Gill Sans MT"/>
          <w:spacing w:val="-44"/>
          <w:w w:val="115"/>
          <w:sz w:val="28"/>
        </w:rPr>
        <w:t> </w:t>
      </w:r>
      <w:r>
        <w:rPr>
          <w:rFonts w:ascii="Gill Sans MT" w:hAnsi="Gill Sans MT"/>
          <w:w w:val="115"/>
          <w:sz w:val="28"/>
        </w:rPr>
        <w:t>elevated levels</w:t>
      </w:r>
      <w:r>
        <w:rPr>
          <w:rFonts w:ascii="Gill Sans MT" w:hAnsi="Gill Sans MT"/>
          <w:spacing w:val="-31"/>
          <w:w w:val="115"/>
          <w:sz w:val="28"/>
        </w:rPr>
        <w:t> </w:t>
      </w:r>
      <w:r>
        <w:rPr>
          <w:rFonts w:ascii="Gill Sans MT" w:hAnsi="Gill Sans MT"/>
          <w:w w:val="115"/>
          <w:sz w:val="28"/>
        </w:rPr>
        <w:t>of</w:t>
      </w:r>
      <w:r>
        <w:rPr>
          <w:rFonts w:ascii="Gill Sans MT" w:hAnsi="Gill Sans MT"/>
          <w:spacing w:val="-28"/>
          <w:w w:val="115"/>
          <w:sz w:val="28"/>
        </w:rPr>
        <w:t> </w:t>
      </w:r>
      <w:r>
        <w:rPr>
          <w:rFonts w:ascii="Gill Sans MT" w:hAnsi="Gill Sans MT"/>
          <w:w w:val="115"/>
          <w:sz w:val="28"/>
        </w:rPr>
        <w:t>economic</w:t>
      </w:r>
      <w:r>
        <w:rPr>
          <w:rFonts w:ascii="Gill Sans MT" w:hAnsi="Gill Sans MT"/>
          <w:spacing w:val="-31"/>
          <w:w w:val="115"/>
          <w:sz w:val="28"/>
        </w:rPr>
        <w:t> </w:t>
      </w:r>
      <w:r>
        <w:rPr>
          <w:rFonts w:ascii="Gill Sans MT" w:hAnsi="Gill Sans MT"/>
          <w:w w:val="115"/>
          <w:sz w:val="28"/>
        </w:rPr>
        <w:t>policy</w:t>
      </w:r>
      <w:r>
        <w:rPr>
          <w:rFonts w:ascii="Gill Sans MT" w:hAnsi="Gill Sans MT"/>
          <w:spacing w:val="-27"/>
          <w:w w:val="115"/>
          <w:sz w:val="28"/>
        </w:rPr>
        <w:t> </w:t>
      </w:r>
      <w:r>
        <w:rPr>
          <w:rFonts w:ascii="Gill Sans MT" w:hAnsi="Gill Sans MT"/>
          <w:w w:val="115"/>
          <w:sz w:val="28"/>
        </w:rPr>
        <w:t>uncertainty</w:t>
      </w:r>
    </w:p>
    <w:p>
      <w:pPr>
        <w:pStyle w:val="BodyText"/>
        <w:spacing w:before="3"/>
        <w:rPr>
          <w:rFonts w:ascii="Gill Sans MT"/>
          <w:sz w:val="28"/>
        </w:rPr>
      </w:pPr>
    </w:p>
    <w:p>
      <w:pPr>
        <w:spacing w:line="223" w:lineRule="auto" w:before="0"/>
        <w:ind w:left="830" w:right="649" w:firstLine="0"/>
        <w:jc w:val="left"/>
        <w:rPr>
          <w:rFonts w:ascii="Gill Sans MT"/>
          <w:sz w:val="32"/>
        </w:rPr>
      </w:pPr>
      <w:r>
        <w:rPr>
          <w:rFonts w:ascii="Gill Sans MT"/>
          <w:w w:val="110"/>
          <w:sz w:val="32"/>
        </w:rPr>
        <w:t>Stock</w:t>
      </w:r>
      <w:r>
        <w:rPr>
          <w:rFonts w:ascii="Gill Sans MT"/>
          <w:spacing w:val="-41"/>
          <w:w w:val="110"/>
          <w:sz w:val="32"/>
        </w:rPr>
        <w:t> </w:t>
      </w:r>
      <w:r>
        <w:rPr>
          <w:rFonts w:ascii="Gill Sans MT"/>
          <w:w w:val="110"/>
          <w:sz w:val="32"/>
        </w:rPr>
        <w:t>market</w:t>
      </w:r>
      <w:r>
        <w:rPr>
          <w:rFonts w:ascii="Gill Sans MT"/>
          <w:spacing w:val="-41"/>
          <w:w w:val="110"/>
          <w:sz w:val="32"/>
        </w:rPr>
        <w:t> </w:t>
      </w:r>
      <w:r>
        <w:rPr>
          <w:rFonts w:ascii="Gill Sans MT"/>
          <w:w w:val="110"/>
          <w:sz w:val="32"/>
        </w:rPr>
        <w:t>volatility</w:t>
      </w:r>
      <w:r>
        <w:rPr>
          <w:rFonts w:ascii="Gill Sans MT"/>
          <w:spacing w:val="-41"/>
          <w:w w:val="110"/>
          <w:sz w:val="32"/>
        </w:rPr>
        <w:t> </w:t>
      </w:r>
      <w:r>
        <w:rPr>
          <w:rFonts w:ascii="Gill Sans MT"/>
          <w:w w:val="110"/>
          <w:sz w:val="32"/>
        </w:rPr>
        <w:t>settled</w:t>
      </w:r>
      <w:r>
        <w:rPr>
          <w:rFonts w:ascii="Gill Sans MT"/>
          <w:spacing w:val="-41"/>
          <w:w w:val="110"/>
          <w:sz w:val="32"/>
        </w:rPr>
        <w:t> </w:t>
      </w:r>
      <w:r>
        <w:rPr>
          <w:rFonts w:ascii="Gill Sans MT"/>
          <w:w w:val="110"/>
          <w:sz w:val="32"/>
        </w:rPr>
        <w:t>after</w:t>
      </w:r>
      <w:r>
        <w:rPr>
          <w:rFonts w:ascii="Gill Sans MT"/>
          <w:spacing w:val="-39"/>
          <w:w w:val="110"/>
          <w:sz w:val="32"/>
        </w:rPr>
        <w:t> </w:t>
      </w:r>
      <w:r>
        <w:rPr>
          <w:rFonts w:ascii="Gill Sans MT"/>
          <w:w w:val="110"/>
          <w:sz w:val="32"/>
        </w:rPr>
        <w:t>briefly surging</w:t>
      </w:r>
      <w:r>
        <w:rPr>
          <w:rFonts w:ascii="Gill Sans MT"/>
          <w:spacing w:val="-29"/>
          <w:w w:val="110"/>
          <w:sz w:val="32"/>
        </w:rPr>
        <w:t> </w:t>
      </w:r>
      <w:r>
        <w:rPr>
          <w:rFonts w:ascii="Gill Sans MT"/>
          <w:w w:val="110"/>
          <w:sz w:val="32"/>
        </w:rPr>
        <w:t>at</w:t>
      </w:r>
      <w:r>
        <w:rPr>
          <w:rFonts w:ascii="Gill Sans MT"/>
          <w:spacing w:val="-27"/>
          <w:w w:val="110"/>
          <w:sz w:val="32"/>
        </w:rPr>
        <w:t> </w:t>
      </w:r>
      <w:r>
        <w:rPr>
          <w:rFonts w:ascii="Gill Sans MT"/>
          <w:w w:val="110"/>
          <w:sz w:val="32"/>
        </w:rPr>
        <w:t>the</w:t>
      </w:r>
      <w:r>
        <w:rPr>
          <w:rFonts w:ascii="Gill Sans MT"/>
          <w:spacing w:val="-32"/>
          <w:w w:val="110"/>
          <w:sz w:val="32"/>
        </w:rPr>
        <w:t> </w:t>
      </w:r>
      <w:r>
        <w:rPr>
          <w:rFonts w:ascii="Gill Sans MT"/>
          <w:w w:val="110"/>
          <w:sz w:val="32"/>
        </w:rPr>
        <w:t>start</w:t>
      </w:r>
      <w:r>
        <w:rPr>
          <w:rFonts w:ascii="Gill Sans MT"/>
          <w:spacing w:val="-31"/>
          <w:w w:val="110"/>
          <w:sz w:val="32"/>
        </w:rPr>
        <w:t> </w:t>
      </w:r>
      <w:r>
        <w:rPr>
          <w:rFonts w:ascii="Gill Sans MT"/>
          <w:w w:val="110"/>
          <w:sz w:val="32"/>
        </w:rPr>
        <w:t>of</w:t>
      </w:r>
      <w:r>
        <w:rPr>
          <w:rFonts w:ascii="Gill Sans MT"/>
          <w:spacing w:val="-24"/>
          <w:w w:val="110"/>
          <w:sz w:val="32"/>
        </w:rPr>
        <w:t> </w:t>
      </w:r>
      <w:r>
        <w:rPr>
          <w:rFonts w:ascii="Gill Sans MT"/>
          <w:w w:val="110"/>
          <w:sz w:val="32"/>
        </w:rPr>
        <w:t>the</w:t>
      </w:r>
      <w:r>
        <w:rPr>
          <w:rFonts w:ascii="Gill Sans MT"/>
          <w:spacing w:val="-29"/>
          <w:w w:val="110"/>
          <w:sz w:val="32"/>
        </w:rPr>
        <w:t> </w:t>
      </w:r>
      <w:r>
        <w:rPr>
          <w:rFonts w:ascii="Gill Sans MT"/>
          <w:w w:val="110"/>
          <w:sz w:val="32"/>
        </w:rPr>
        <w:t>quarter</w:t>
      </w:r>
    </w:p>
    <w:p>
      <w:pPr>
        <w:pStyle w:val="ListParagraph"/>
        <w:numPr>
          <w:ilvl w:val="0"/>
          <w:numId w:val="4"/>
        </w:numPr>
        <w:tabs>
          <w:tab w:pos="1102" w:val="left" w:leader="none"/>
        </w:tabs>
        <w:spacing w:line="223" w:lineRule="auto" w:before="161" w:after="0"/>
        <w:ind w:left="1101" w:right="0" w:hanging="272"/>
        <w:jc w:val="left"/>
        <w:rPr>
          <w:rFonts w:ascii="Gill Sans MT" w:hAnsi="Gill Sans MT"/>
          <w:sz w:val="28"/>
        </w:rPr>
      </w:pPr>
      <w:r>
        <w:rPr>
          <w:rFonts w:ascii="Gill Sans MT" w:hAnsi="Gill Sans MT"/>
          <w:w w:val="110"/>
          <w:sz w:val="28"/>
        </w:rPr>
        <w:t>Market volatility initially spiked after the April 2</w:t>
      </w:r>
      <w:r>
        <w:rPr>
          <w:rFonts w:ascii="Gill Sans MT" w:hAnsi="Gill Sans MT"/>
          <w:w w:val="110"/>
          <w:position w:val="8"/>
          <w:sz w:val="18"/>
        </w:rPr>
        <w:t>nd</w:t>
      </w:r>
      <w:r>
        <w:rPr>
          <w:rFonts w:ascii="Gill Sans MT" w:hAnsi="Gill Sans MT"/>
          <w:w w:val="110"/>
          <w:sz w:val="18"/>
        </w:rPr>
        <w:t> </w:t>
      </w:r>
      <w:r>
        <w:rPr>
          <w:rFonts w:ascii="Gill Sans MT" w:hAnsi="Gill Sans MT"/>
          <w:w w:val="110"/>
          <w:sz w:val="28"/>
        </w:rPr>
        <w:t>tariff announcement due to concerns over unfavorable effects on earnings and interest</w:t>
      </w:r>
      <w:r>
        <w:rPr>
          <w:rFonts w:ascii="Gill Sans MT" w:hAnsi="Gill Sans MT"/>
          <w:spacing w:val="29"/>
          <w:w w:val="110"/>
          <w:sz w:val="28"/>
        </w:rPr>
        <w:t> </w:t>
      </w:r>
      <w:r>
        <w:rPr>
          <w:rFonts w:ascii="Gill Sans MT" w:hAnsi="Gill Sans MT"/>
          <w:w w:val="110"/>
          <w:sz w:val="28"/>
        </w:rPr>
        <w:t>rates</w:t>
      </w:r>
    </w:p>
    <w:p>
      <w:pPr>
        <w:pStyle w:val="ListParagraph"/>
        <w:numPr>
          <w:ilvl w:val="0"/>
          <w:numId w:val="4"/>
        </w:numPr>
        <w:tabs>
          <w:tab w:pos="1102" w:val="left" w:leader="none"/>
        </w:tabs>
        <w:spacing w:line="223" w:lineRule="auto" w:before="157" w:after="0"/>
        <w:ind w:left="1101" w:right="0" w:hanging="272"/>
        <w:jc w:val="left"/>
        <w:rPr>
          <w:rFonts w:ascii="Gill Sans MT" w:hAnsi="Gill Sans MT"/>
          <w:sz w:val="28"/>
        </w:rPr>
      </w:pPr>
      <w:r>
        <w:rPr>
          <w:rFonts w:ascii="Gill Sans MT" w:hAnsi="Gill Sans MT"/>
          <w:spacing w:val="-2"/>
          <w:w w:val="105"/>
          <w:sz w:val="28"/>
        </w:rPr>
        <w:t>V</w:t>
      </w:r>
      <w:r>
        <w:rPr>
          <w:rFonts w:ascii="Gill Sans MT" w:hAnsi="Gill Sans MT"/>
          <w:spacing w:val="-1"/>
          <w:w w:val="110"/>
          <w:sz w:val="28"/>
        </w:rPr>
        <w:t>olat</w:t>
      </w:r>
      <w:r>
        <w:rPr>
          <w:rFonts w:ascii="Gill Sans MT" w:hAnsi="Gill Sans MT"/>
          <w:spacing w:val="-2"/>
          <w:w w:val="110"/>
          <w:sz w:val="28"/>
        </w:rPr>
        <w:t>i</w:t>
      </w:r>
      <w:r>
        <w:rPr>
          <w:rFonts w:ascii="Gill Sans MT" w:hAnsi="Gill Sans MT"/>
          <w:spacing w:val="-2"/>
          <w:w w:val="111"/>
          <w:sz w:val="28"/>
        </w:rPr>
        <w:t>li</w:t>
      </w:r>
      <w:r>
        <w:rPr>
          <w:rFonts w:ascii="Gill Sans MT" w:hAnsi="Gill Sans MT"/>
          <w:w w:val="104"/>
          <w:sz w:val="28"/>
        </w:rPr>
        <w:t>ty</w:t>
      </w:r>
      <w:r>
        <w:rPr>
          <w:rFonts w:ascii="Gill Sans MT" w:hAnsi="Gill Sans MT"/>
          <w:spacing w:val="-8"/>
          <w:sz w:val="28"/>
        </w:rPr>
        <w:t> </w:t>
      </w:r>
      <w:r>
        <w:rPr>
          <w:rFonts w:ascii="Gill Sans MT" w:hAnsi="Gill Sans MT"/>
          <w:w w:val="85"/>
          <w:sz w:val="28"/>
        </w:rPr>
        <w:t>r</w:t>
      </w:r>
      <w:r>
        <w:rPr>
          <w:rFonts w:ascii="Gill Sans MT" w:hAnsi="Gill Sans MT"/>
          <w:w w:val="112"/>
          <w:sz w:val="28"/>
        </w:rPr>
        <w:t>eceded</w:t>
      </w:r>
      <w:r>
        <w:rPr>
          <w:rFonts w:ascii="Gill Sans MT" w:hAnsi="Gill Sans MT"/>
          <w:spacing w:val="-14"/>
          <w:sz w:val="28"/>
        </w:rPr>
        <w:t> </w:t>
      </w:r>
      <w:r>
        <w:rPr>
          <w:rFonts w:ascii="Gill Sans MT" w:hAnsi="Gill Sans MT"/>
          <w:spacing w:val="-2"/>
          <w:w w:val="111"/>
          <w:sz w:val="28"/>
        </w:rPr>
        <w:t>i</w:t>
      </w:r>
      <w:r>
        <w:rPr>
          <w:rFonts w:ascii="Gill Sans MT" w:hAnsi="Gill Sans MT"/>
          <w:w w:val="110"/>
          <w:sz w:val="28"/>
        </w:rPr>
        <w:t>n</w:t>
      </w:r>
      <w:r>
        <w:rPr>
          <w:rFonts w:ascii="Gill Sans MT" w:hAnsi="Gill Sans MT"/>
          <w:spacing w:val="-8"/>
          <w:sz w:val="28"/>
        </w:rPr>
        <w:t> </w:t>
      </w:r>
      <w:r>
        <w:rPr>
          <w:rFonts w:ascii="Gill Sans MT" w:hAnsi="Gill Sans MT"/>
          <w:spacing w:val="-1"/>
          <w:w w:val="115"/>
          <w:sz w:val="28"/>
        </w:rPr>
        <w:t>Ma</w:t>
      </w:r>
      <w:r>
        <w:rPr>
          <w:rFonts w:ascii="Gill Sans MT" w:hAnsi="Gill Sans MT"/>
          <w:w w:val="115"/>
          <w:sz w:val="28"/>
        </w:rPr>
        <w:t>y</w:t>
      </w:r>
      <w:r>
        <w:rPr>
          <w:rFonts w:ascii="Gill Sans MT" w:hAnsi="Gill Sans MT"/>
          <w:spacing w:val="-9"/>
          <w:sz w:val="28"/>
        </w:rPr>
        <w:t> </w:t>
      </w:r>
      <w:r>
        <w:rPr>
          <w:rFonts w:ascii="Gill Sans MT" w:hAnsi="Gill Sans MT"/>
          <w:w w:val="118"/>
          <w:sz w:val="28"/>
        </w:rPr>
        <w:t>a</w:t>
      </w:r>
      <w:r>
        <w:rPr>
          <w:rFonts w:ascii="Gill Sans MT" w:hAnsi="Gill Sans MT"/>
          <w:spacing w:val="1"/>
          <w:w w:val="118"/>
          <w:sz w:val="28"/>
        </w:rPr>
        <w:t>n</w:t>
      </w:r>
      <w:r>
        <w:rPr>
          <w:rFonts w:ascii="Gill Sans MT" w:hAnsi="Gill Sans MT"/>
          <w:w w:val="110"/>
          <w:sz w:val="28"/>
        </w:rPr>
        <w:t>d</w:t>
      </w:r>
      <w:r>
        <w:rPr>
          <w:rFonts w:ascii="Gill Sans MT" w:hAnsi="Gill Sans MT"/>
          <w:spacing w:val="-11"/>
          <w:sz w:val="28"/>
        </w:rPr>
        <w:t> </w:t>
      </w:r>
      <w:r>
        <w:rPr>
          <w:rFonts w:ascii="Gill Sans MT" w:hAnsi="Gill Sans MT"/>
          <w:w w:val="221"/>
          <w:sz w:val="28"/>
        </w:rPr>
        <w:t>J</w:t>
      </w:r>
      <w:r>
        <w:rPr>
          <w:rFonts w:ascii="Gill Sans MT" w:hAnsi="Gill Sans MT"/>
          <w:spacing w:val="1"/>
          <w:w w:val="110"/>
          <w:sz w:val="28"/>
        </w:rPr>
        <w:t>u</w:t>
      </w:r>
      <w:r>
        <w:rPr>
          <w:rFonts w:ascii="Gill Sans MT" w:hAnsi="Gill Sans MT"/>
          <w:w w:val="110"/>
          <w:sz w:val="28"/>
        </w:rPr>
        <w:t>n</w:t>
      </w:r>
      <w:r>
        <w:rPr>
          <w:rFonts w:ascii="Gill Sans MT" w:hAnsi="Gill Sans MT"/>
          <w:w w:val="110"/>
          <w:sz w:val="28"/>
        </w:rPr>
        <w:t>e</w:t>
      </w:r>
      <w:r>
        <w:rPr>
          <w:rFonts w:ascii="Gill Sans MT" w:hAnsi="Gill Sans MT"/>
          <w:spacing w:val="-13"/>
          <w:sz w:val="28"/>
        </w:rPr>
        <w:t> </w:t>
      </w:r>
      <w:r>
        <w:rPr>
          <w:rFonts w:ascii="Gill Sans MT" w:hAnsi="Gill Sans MT"/>
          <w:w w:val="127"/>
          <w:sz w:val="28"/>
        </w:rPr>
        <w:t>a</w:t>
      </w:r>
      <w:r>
        <w:rPr>
          <w:rFonts w:ascii="Gill Sans MT" w:hAnsi="Gill Sans MT"/>
          <w:w w:val="114"/>
          <w:sz w:val="28"/>
        </w:rPr>
        <w:t>m</w:t>
      </w:r>
      <w:r>
        <w:rPr>
          <w:rFonts w:ascii="Gill Sans MT" w:hAnsi="Gill Sans MT"/>
          <w:spacing w:val="-2"/>
          <w:w w:val="111"/>
          <w:sz w:val="28"/>
        </w:rPr>
        <w:t>i</w:t>
      </w:r>
      <w:r>
        <w:rPr>
          <w:rFonts w:ascii="Gill Sans MT" w:hAnsi="Gill Sans MT"/>
          <w:w w:val="110"/>
          <w:sz w:val="28"/>
        </w:rPr>
        <w:t>d</w:t>
      </w:r>
      <w:r>
        <w:rPr>
          <w:rFonts w:ascii="Gill Sans MT" w:hAnsi="Gill Sans MT"/>
          <w:spacing w:val="-11"/>
          <w:sz w:val="28"/>
        </w:rPr>
        <w:t> </w:t>
      </w:r>
      <w:r>
        <w:rPr>
          <w:rFonts w:ascii="Gill Sans MT" w:hAnsi="Gill Sans MT"/>
          <w:spacing w:val="-1"/>
          <w:w w:val="134"/>
          <w:sz w:val="28"/>
        </w:rPr>
        <w:t>s</w:t>
      </w:r>
      <w:r>
        <w:rPr>
          <w:rFonts w:ascii="Gill Sans MT" w:hAnsi="Gill Sans MT"/>
          <w:spacing w:val="-1"/>
          <w:w w:val="114"/>
          <w:sz w:val="28"/>
        </w:rPr>
        <w:t>o</w:t>
      </w:r>
      <w:r>
        <w:rPr>
          <w:rFonts w:ascii="Gill Sans MT" w:hAnsi="Gill Sans MT"/>
          <w:spacing w:val="1"/>
          <w:w w:val="114"/>
          <w:sz w:val="28"/>
        </w:rPr>
        <w:t>f</w:t>
      </w:r>
      <w:r>
        <w:rPr>
          <w:rFonts w:ascii="Gill Sans MT" w:hAnsi="Gill Sans MT"/>
          <w:w w:val="112"/>
          <w:sz w:val="28"/>
        </w:rPr>
        <w:t>tening </w:t>
      </w:r>
      <w:r>
        <w:rPr>
          <w:rFonts w:ascii="Gill Sans MT" w:hAnsi="Gill Sans MT"/>
          <w:w w:val="115"/>
          <w:sz w:val="28"/>
        </w:rPr>
        <w:t>trade policy, solid economic data, and strong corporate</w:t>
      </w:r>
      <w:r>
        <w:rPr>
          <w:rFonts w:ascii="Gill Sans MT" w:hAnsi="Gill Sans MT"/>
          <w:spacing w:val="-28"/>
          <w:w w:val="115"/>
          <w:sz w:val="28"/>
        </w:rPr>
        <w:t> </w:t>
      </w:r>
      <w:r>
        <w:rPr>
          <w:rFonts w:ascii="Gill Sans MT" w:hAnsi="Gill Sans MT"/>
          <w:w w:val="115"/>
          <w:sz w:val="28"/>
        </w:rPr>
        <w:t>earnings</w:t>
      </w:r>
    </w:p>
    <w:p>
      <w:pPr>
        <w:pStyle w:val="ListParagraph"/>
        <w:numPr>
          <w:ilvl w:val="0"/>
          <w:numId w:val="4"/>
        </w:numPr>
        <w:tabs>
          <w:tab w:pos="1102" w:val="left" w:leader="none"/>
        </w:tabs>
        <w:spacing w:line="223" w:lineRule="auto" w:before="160" w:after="0"/>
        <w:ind w:left="1101" w:right="833" w:hanging="272"/>
        <w:jc w:val="left"/>
        <w:rPr>
          <w:rFonts w:ascii="Gill Sans MT" w:hAnsi="Gill Sans MT"/>
          <w:sz w:val="28"/>
        </w:rPr>
      </w:pPr>
      <w:r>
        <w:rPr>
          <w:rFonts w:ascii="Gill Sans MT" w:hAnsi="Gill Sans MT"/>
          <w:w w:val="110"/>
          <w:sz w:val="28"/>
        </w:rPr>
        <w:t>Investors expect typical levels of U.S.</w:t>
      </w:r>
      <w:r>
        <w:rPr>
          <w:rFonts w:ascii="Gill Sans MT" w:hAnsi="Gill Sans MT"/>
          <w:spacing w:val="-45"/>
          <w:w w:val="110"/>
          <w:sz w:val="28"/>
        </w:rPr>
        <w:t> </w:t>
      </w:r>
      <w:r>
        <w:rPr>
          <w:rFonts w:ascii="Gill Sans MT" w:hAnsi="Gill Sans MT"/>
          <w:w w:val="110"/>
          <w:sz w:val="28"/>
        </w:rPr>
        <w:t>stock market</w:t>
      </w:r>
      <w:r>
        <w:rPr>
          <w:rFonts w:ascii="Gill Sans MT" w:hAnsi="Gill Sans MT"/>
          <w:spacing w:val="-27"/>
          <w:w w:val="110"/>
          <w:sz w:val="28"/>
        </w:rPr>
        <w:t> </w:t>
      </w:r>
      <w:r>
        <w:rPr>
          <w:rFonts w:ascii="Gill Sans MT" w:hAnsi="Gill Sans MT"/>
          <w:w w:val="110"/>
          <w:sz w:val="28"/>
        </w:rPr>
        <w:t>volatility</w:t>
      </w:r>
      <w:r>
        <w:rPr>
          <w:rFonts w:ascii="Gill Sans MT" w:hAnsi="Gill Sans MT"/>
          <w:spacing w:val="-24"/>
          <w:w w:val="110"/>
          <w:sz w:val="28"/>
        </w:rPr>
        <w:t> </w:t>
      </w:r>
      <w:r>
        <w:rPr>
          <w:rFonts w:ascii="Gill Sans MT" w:hAnsi="Gill Sans MT"/>
          <w:w w:val="110"/>
          <w:sz w:val="28"/>
        </w:rPr>
        <w:t>over</w:t>
      </w:r>
      <w:r>
        <w:rPr>
          <w:rFonts w:ascii="Gill Sans MT" w:hAnsi="Gill Sans MT"/>
          <w:spacing w:val="-27"/>
          <w:w w:val="110"/>
          <w:sz w:val="28"/>
        </w:rPr>
        <w:t> </w:t>
      </w:r>
      <w:r>
        <w:rPr>
          <w:rFonts w:ascii="Gill Sans MT" w:hAnsi="Gill Sans MT"/>
          <w:w w:val="110"/>
          <w:sz w:val="28"/>
        </w:rPr>
        <w:t>the</w:t>
      </w:r>
      <w:r>
        <w:rPr>
          <w:rFonts w:ascii="Gill Sans MT" w:hAnsi="Gill Sans MT"/>
          <w:spacing w:val="-22"/>
          <w:w w:val="110"/>
          <w:sz w:val="28"/>
        </w:rPr>
        <w:t> </w:t>
      </w:r>
      <w:r>
        <w:rPr>
          <w:rFonts w:ascii="Gill Sans MT" w:hAnsi="Gill Sans MT"/>
          <w:w w:val="110"/>
          <w:sz w:val="28"/>
        </w:rPr>
        <w:t>next</w:t>
      </w:r>
      <w:r>
        <w:rPr>
          <w:rFonts w:ascii="Gill Sans MT" w:hAnsi="Gill Sans MT"/>
          <w:spacing w:val="-23"/>
          <w:w w:val="110"/>
          <w:sz w:val="28"/>
        </w:rPr>
        <w:t> </w:t>
      </w:r>
      <w:r>
        <w:rPr>
          <w:rFonts w:ascii="Gill Sans MT" w:hAnsi="Gill Sans MT"/>
          <w:w w:val="110"/>
          <w:sz w:val="28"/>
        </w:rPr>
        <w:t>month</w:t>
      </w:r>
    </w:p>
    <w:p>
      <w:pPr>
        <w:spacing w:before="99"/>
        <w:ind w:left="979" w:right="1048" w:firstLine="0"/>
        <w:jc w:val="center"/>
        <w:rPr>
          <w:rFonts w:ascii="Gill Sans MT"/>
          <w:sz w:val="32"/>
        </w:rPr>
      </w:pPr>
      <w:r>
        <w:rPr/>
        <w:br w:type="column"/>
      </w:r>
      <w:r>
        <w:rPr>
          <w:rFonts w:ascii="Gill Sans MT"/>
          <w:w w:val="115"/>
          <w:sz w:val="32"/>
        </w:rPr>
        <w:t>Average Effective U.S. Tariff Rate</w:t>
      </w:r>
    </w:p>
    <w:p>
      <w:pPr>
        <w:spacing w:before="9"/>
        <w:ind w:left="978" w:right="1048" w:firstLine="0"/>
        <w:jc w:val="center"/>
        <w:rPr>
          <w:rFonts w:ascii="Gill Sans MT"/>
          <w:sz w:val="21"/>
        </w:rPr>
      </w:pPr>
      <w:r>
        <w:rPr>
          <w:rFonts w:ascii="Gill Sans MT"/>
          <w:w w:val="110"/>
          <w:sz w:val="21"/>
        </w:rPr>
        <w:t>percent</w:t>
      </w:r>
    </w:p>
    <w:p>
      <w:pPr>
        <w:spacing w:before="16"/>
        <w:ind w:left="671" w:right="0" w:firstLine="0"/>
        <w:jc w:val="left"/>
        <w:rPr>
          <w:rFonts w:ascii="Gill Sans MT"/>
          <w:sz w:val="21"/>
        </w:rPr>
      </w:pPr>
      <w:r>
        <w:rPr/>
        <w:pict>
          <v:group style="position:absolute;margin-left:422.494995pt;margin-top:13.981582pt;width:252.95pt;height:100.3pt;mso-position-horizontal-relative:page;mso-position-vertical-relative:paragraph;z-index:251693056" coordorigin="8450,280" coordsize="5059,2006">
            <v:shape style="position:absolute;left:8458;top:913;width:5050;height:766" coordorigin="8458,914" coordsize="5050,766" path="m8458,1680l13508,1680m8458,914l13508,914e" filled="false" stroked="true" strokeweight=".75pt" strokecolor="#d9d9d9">
              <v:path arrowok="t"/>
              <v:stroke dashstyle="solid"/>
            </v:shape>
            <v:shape style="position:absolute;left:8472;top:302;width:4631;height:1961" coordorigin="8472,302" coordsize="4631,1961" path="m8472,2263l8472,2263,9394,2263,9420,2155,10174,2155,10202,1788,10397,1788,10426,1696,10982,1696,11011,727,11179,727,11206,379,11234,379,11263,379,11290,379,11318,302,11988,302,12014,331,12043,331,12072,331,12098,331,12127,1080,12406,1080,12434,770,12461,770,12490,1080,12518,1080,12545,1080,12574,1080,12602,1915,12629,1344,12658,1252,12684,1252,12713,1252,12742,1252,12768,1252,12797,1250,12826,1248,12852,1248,12881,1245,12907,1243,12936,1243,12965,1240,12991,1240,13020,1238,13049,1236,13075,1236,13103,1236e" filled="false" stroked="true" strokeweight="2.25pt" strokecolor="#014612">
              <v:path arrowok="t"/>
              <v:stroke dashstyle="solid"/>
            </v:shape>
            <v:line style="position:absolute" from="13109,1236" to="13516,1236" stroked="true" strokeweight="2.25pt" strokecolor="#014612">
              <v:stroke dashstyle="dot"/>
            </v:line>
            <w10:wrap type="none"/>
          </v:group>
        </w:pict>
      </w:r>
      <w:r>
        <w:rPr/>
        <w:pict>
          <v:line style="position:absolute;mso-position-horizontal-relative:page;mso-position-vertical-relative:paragraph;z-index:251694080" from="422.920013pt,7.406582pt" to="675.400013pt,7.406582pt" stroked="true" strokeweight=".75pt" strokecolor="#d9d9d9">
            <v:stroke dashstyle="solid"/>
            <w10:wrap type="none"/>
          </v:line>
        </w:pict>
      </w:r>
      <w:r>
        <w:rPr>
          <w:rFonts w:ascii="Gill Sans MT"/>
          <w:w w:val="115"/>
          <w:sz w:val="21"/>
        </w:rPr>
        <w:t>30</w:t>
      </w:r>
    </w:p>
    <w:p>
      <w:pPr>
        <w:pStyle w:val="BodyText"/>
        <w:rPr>
          <w:rFonts w:ascii="Gill Sans MT"/>
        </w:rPr>
      </w:pPr>
    </w:p>
    <w:p>
      <w:pPr>
        <w:pStyle w:val="BodyText"/>
        <w:spacing w:before="1"/>
        <w:rPr>
          <w:rFonts w:ascii="Gill Sans MT"/>
          <w:sz w:val="21"/>
        </w:rPr>
      </w:pPr>
    </w:p>
    <w:p>
      <w:pPr>
        <w:spacing w:before="0"/>
        <w:ind w:left="671" w:right="0" w:firstLine="0"/>
        <w:jc w:val="left"/>
        <w:rPr>
          <w:rFonts w:ascii="Gill Sans MT"/>
          <w:sz w:val="21"/>
        </w:rPr>
      </w:pPr>
      <w:r>
        <w:rPr>
          <w:rFonts w:ascii="Gill Sans MT"/>
          <w:w w:val="115"/>
          <w:sz w:val="21"/>
        </w:rPr>
        <w:t>20</w:t>
      </w:r>
    </w:p>
    <w:p>
      <w:pPr>
        <w:pStyle w:val="BodyText"/>
        <w:rPr>
          <w:rFonts w:ascii="Gill Sans MT"/>
        </w:rPr>
      </w:pPr>
    </w:p>
    <w:p>
      <w:pPr>
        <w:pStyle w:val="BodyText"/>
        <w:spacing w:before="1"/>
        <w:rPr>
          <w:rFonts w:ascii="Gill Sans MT"/>
          <w:sz w:val="21"/>
        </w:rPr>
      </w:pPr>
    </w:p>
    <w:p>
      <w:pPr>
        <w:spacing w:before="1"/>
        <w:ind w:left="671" w:right="0" w:firstLine="0"/>
        <w:jc w:val="left"/>
        <w:rPr>
          <w:rFonts w:ascii="Gill Sans MT"/>
          <w:sz w:val="21"/>
        </w:rPr>
      </w:pPr>
      <w:r>
        <w:rPr>
          <w:rFonts w:ascii="Gill Sans MT"/>
          <w:w w:val="115"/>
          <w:sz w:val="21"/>
        </w:rPr>
        <w:t>10</w:t>
      </w:r>
    </w:p>
    <w:p>
      <w:pPr>
        <w:pStyle w:val="BodyText"/>
        <w:rPr>
          <w:rFonts w:ascii="Gill Sans MT"/>
        </w:rPr>
      </w:pPr>
    </w:p>
    <w:p>
      <w:pPr>
        <w:pStyle w:val="BodyText"/>
        <w:rPr>
          <w:rFonts w:ascii="Gill Sans MT"/>
          <w:sz w:val="21"/>
        </w:rPr>
      </w:pPr>
    </w:p>
    <w:p>
      <w:pPr>
        <w:spacing w:before="0"/>
        <w:ind w:left="789" w:right="0" w:firstLine="0"/>
        <w:jc w:val="left"/>
        <w:rPr>
          <w:rFonts w:ascii="Gill Sans MT"/>
          <w:sz w:val="21"/>
        </w:rPr>
      </w:pPr>
      <w:r>
        <w:rPr/>
        <w:pict>
          <v:shape style="position:absolute;margin-left:422.920013pt;margin-top:6.586591pt;width:252.5pt;height:2.85pt;mso-position-horizontal-relative:page;mso-position-vertical-relative:paragraph;z-index:251695104" coordorigin="8458,132" coordsize="5050,57" path="m8458,132l13508,132m8458,132l8458,189m9324,132l9324,189m10104,132l10104,189m10970,132l10970,189m11806,132l11806,189m12672,132l12672,189m13508,132l13508,189e" filled="false" stroked="true" strokeweight=".75pt" strokecolor="#000000">
            <v:path arrowok="t"/>
            <v:stroke dashstyle="solid"/>
            <w10:wrap type="none"/>
          </v:shape>
        </w:pict>
      </w:r>
      <w:r>
        <w:rPr>
          <w:rFonts w:ascii="Gill Sans MT"/>
          <w:w w:val="112"/>
          <w:sz w:val="21"/>
        </w:rPr>
        <w:t>0</w:t>
      </w:r>
    </w:p>
    <w:p>
      <w:pPr>
        <w:tabs>
          <w:tab w:pos="1704" w:val="left" w:leader="none"/>
          <w:tab w:pos="2476" w:val="left" w:leader="none"/>
          <w:tab w:pos="3359" w:val="left" w:leader="none"/>
          <w:tab w:pos="4165" w:val="left" w:leader="none"/>
          <w:tab w:pos="5051" w:val="left" w:leader="none"/>
        </w:tabs>
        <w:spacing w:before="6"/>
        <w:ind w:left="839" w:right="0" w:firstLine="0"/>
        <w:jc w:val="left"/>
        <w:rPr>
          <w:rFonts w:ascii="Gill Sans MT"/>
          <w:sz w:val="18"/>
        </w:rPr>
      </w:pPr>
      <w:r>
        <w:rPr>
          <w:rFonts w:ascii="Gill Sans MT"/>
          <w:spacing w:val="-1"/>
          <w:w w:val="220"/>
          <w:sz w:val="18"/>
        </w:rPr>
        <w:t>J</w:t>
      </w:r>
      <w:r>
        <w:rPr>
          <w:rFonts w:ascii="Gill Sans MT"/>
          <w:w w:val="118"/>
          <w:sz w:val="18"/>
        </w:rPr>
        <w:t>a</w:t>
      </w:r>
      <w:r>
        <w:rPr>
          <w:rFonts w:ascii="Gill Sans MT"/>
          <w:spacing w:val="1"/>
          <w:w w:val="118"/>
          <w:sz w:val="18"/>
        </w:rPr>
        <w:t>n</w:t>
      </w:r>
      <w:r>
        <w:rPr>
          <w:rFonts w:ascii="Gill Sans MT"/>
          <w:spacing w:val="-2"/>
          <w:w w:val="85"/>
          <w:sz w:val="18"/>
        </w:rPr>
        <w:t>-</w:t>
      </w:r>
      <w:r>
        <w:rPr>
          <w:rFonts w:ascii="Gill Sans MT"/>
          <w:w w:val="112"/>
          <w:sz w:val="18"/>
        </w:rPr>
        <w:t>25</w:t>
      </w:r>
      <w:r>
        <w:rPr>
          <w:rFonts w:ascii="Gill Sans MT"/>
          <w:sz w:val="18"/>
        </w:rPr>
        <w:tab/>
      </w:r>
      <w:r>
        <w:rPr>
          <w:rFonts w:ascii="Gill Sans MT"/>
          <w:spacing w:val="-2"/>
          <w:w w:val="117"/>
          <w:sz w:val="18"/>
        </w:rPr>
        <w:t>F</w:t>
      </w:r>
      <w:r>
        <w:rPr>
          <w:rFonts w:ascii="Gill Sans MT"/>
          <w:w w:val="110"/>
          <w:sz w:val="18"/>
        </w:rPr>
        <w:t>e</w:t>
      </w:r>
      <w:r>
        <w:rPr>
          <w:rFonts w:ascii="Gill Sans MT"/>
          <w:w w:val="101"/>
          <w:sz w:val="18"/>
        </w:rPr>
        <w:t>b-</w:t>
      </w:r>
      <w:r>
        <w:rPr>
          <w:rFonts w:ascii="Gill Sans MT"/>
          <w:w w:val="112"/>
          <w:sz w:val="18"/>
        </w:rPr>
        <w:t>25</w:t>
      </w:r>
      <w:r>
        <w:rPr>
          <w:rFonts w:ascii="Gill Sans MT"/>
          <w:sz w:val="18"/>
        </w:rPr>
        <w:tab/>
      </w:r>
      <w:r>
        <w:rPr>
          <w:rFonts w:ascii="Gill Sans MT"/>
          <w:spacing w:val="-2"/>
          <w:w w:val="111"/>
          <w:sz w:val="18"/>
        </w:rPr>
        <w:t>M</w:t>
      </w:r>
      <w:r>
        <w:rPr>
          <w:rFonts w:ascii="Gill Sans MT"/>
          <w:w w:val="107"/>
          <w:sz w:val="18"/>
        </w:rPr>
        <w:t>a</w:t>
      </w:r>
      <w:r>
        <w:rPr>
          <w:rFonts w:ascii="Gill Sans MT"/>
          <w:spacing w:val="1"/>
          <w:w w:val="107"/>
          <w:sz w:val="18"/>
        </w:rPr>
        <w:t>r</w:t>
      </w:r>
      <w:r>
        <w:rPr>
          <w:rFonts w:ascii="Gill Sans MT"/>
          <w:spacing w:val="-2"/>
          <w:w w:val="85"/>
          <w:sz w:val="18"/>
        </w:rPr>
        <w:t>-</w:t>
      </w:r>
      <w:r>
        <w:rPr>
          <w:rFonts w:ascii="Gill Sans MT"/>
          <w:w w:val="112"/>
          <w:sz w:val="18"/>
        </w:rPr>
        <w:t>25</w:t>
      </w:r>
      <w:r>
        <w:rPr>
          <w:rFonts w:ascii="Gill Sans MT"/>
          <w:sz w:val="18"/>
        </w:rPr>
        <w:tab/>
      </w:r>
      <w:r>
        <w:rPr>
          <w:rFonts w:ascii="Gill Sans MT"/>
          <w:spacing w:val="-1"/>
          <w:w w:val="99"/>
          <w:sz w:val="18"/>
        </w:rPr>
        <w:t>Apr</w:t>
      </w:r>
      <w:r>
        <w:rPr>
          <w:rFonts w:ascii="Gill Sans MT"/>
          <w:w w:val="85"/>
          <w:sz w:val="18"/>
        </w:rPr>
        <w:t>-</w:t>
      </w:r>
      <w:r>
        <w:rPr>
          <w:rFonts w:ascii="Gill Sans MT"/>
          <w:w w:val="112"/>
          <w:sz w:val="18"/>
        </w:rPr>
        <w:t>25</w:t>
      </w:r>
      <w:r>
        <w:rPr>
          <w:rFonts w:ascii="Gill Sans MT"/>
          <w:sz w:val="18"/>
        </w:rPr>
        <w:tab/>
      </w:r>
      <w:r>
        <w:rPr>
          <w:rFonts w:ascii="Gill Sans MT"/>
          <w:spacing w:val="-2"/>
          <w:w w:val="111"/>
          <w:sz w:val="18"/>
        </w:rPr>
        <w:t>M</w:t>
      </w:r>
      <w:r>
        <w:rPr>
          <w:rFonts w:ascii="Gill Sans MT"/>
          <w:w w:val="117"/>
          <w:sz w:val="18"/>
        </w:rPr>
        <w:t>a</w:t>
      </w:r>
      <w:r>
        <w:rPr>
          <w:rFonts w:ascii="Gill Sans MT"/>
          <w:spacing w:val="1"/>
          <w:w w:val="117"/>
          <w:sz w:val="18"/>
        </w:rPr>
        <w:t>y</w:t>
      </w:r>
      <w:r>
        <w:rPr>
          <w:rFonts w:ascii="Gill Sans MT"/>
          <w:spacing w:val="-2"/>
          <w:w w:val="85"/>
          <w:sz w:val="18"/>
        </w:rPr>
        <w:t>-</w:t>
      </w:r>
      <w:r>
        <w:rPr>
          <w:rFonts w:ascii="Gill Sans MT"/>
          <w:spacing w:val="1"/>
          <w:w w:val="112"/>
          <w:sz w:val="18"/>
        </w:rPr>
        <w:t>2</w:t>
      </w:r>
      <w:r>
        <w:rPr>
          <w:rFonts w:ascii="Gill Sans MT"/>
          <w:w w:val="112"/>
          <w:sz w:val="18"/>
        </w:rPr>
        <w:t>5</w:t>
      </w:r>
      <w:r>
        <w:rPr>
          <w:rFonts w:ascii="Gill Sans MT"/>
          <w:sz w:val="18"/>
        </w:rPr>
        <w:tab/>
      </w:r>
      <w:r>
        <w:rPr>
          <w:rFonts w:ascii="Gill Sans MT"/>
          <w:spacing w:val="-1"/>
          <w:w w:val="220"/>
          <w:sz w:val="18"/>
        </w:rPr>
        <w:t>J</w:t>
      </w:r>
      <w:r>
        <w:rPr>
          <w:rFonts w:ascii="Gill Sans MT"/>
          <w:spacing w:val="1"/>
          <w:w w:val="110"/>
          <w:sz w:val="18"/>
        </w:rPr>
        <w:t>u</w:t>
      </w:r>
      <w:r>
        <w:rPr>
          <w:rFonts w:ascii="Gill Sans MT"/>
          <w:spacing w:val="-1"/>
          <w:w w:val="110"/>
          <w:sz w:val="18"/>
        </w:rPr>
        <w:t>n</w:t>
      </w:r>
      <w:r>
        <w:rPr>
          <w:rFonts w:ascii="Gill Sans MT"/>
          <w:w w:val="85"/>
          <w:sz w:val="18"/>
        </w:rPr>
        <w:t>-</w:t>
      </w:r>
      <w:r>
        <w:rPr>
          <w:rFonts w:ascii="Gill Sans MT"/>
          <w:w w:val="112"/>
          <w:sz w:val="18"/>
        </w:rPr>
        <w:t>25</w:t>
      </w:r>
    </w:p>
    <w:p>
      <w:pPr>
        <w:pStyle w:val="BodyText"/>
        <w:rPr>
          <w:rFonts w:ascii="Gill Sans MT"/>
          <w:sz w:val="20"/>
        </w:rPr>
      </w:pPr>
    </w:p>
    <w:p>
      <w:pPr>
        <w:pStyle w:val="Heading3"/>
        <w:spacing w:line="366" w:lineRule="exact" w:before="147"/>
        <w:ind w:left="979" w:right="1046"/>
        <w:jc w:val="center"/>
      </w:pPr>
      <w:r>
        <w:rPr>
          <w:w w:val="105"/>
        </w:rPr>
        <w:t>CBOE Volatility Index (VIX)</w:t>
      </w:r>
    </w:p>
    <w:p>
      <w:pPr>
        <w:spacing w:line="238" w:lineRule="exact" w:before="0"/>
        <w:ind w:left="671" w:right="0" w:firstLine="0"/>
        <w:jc w:val="left"/>
        <w:rPr>
          <w:rFonts w:ascii="Gill Sans MT"/>
          <w:sz w:val="21"/>
        </w:rPr>
      </w:pPr>
      <w:r>
        <w:rPr/>
        <w:pict>
          <v:line style="position:absolute;mso-position-horizontal-relative:page;mso-position-vertical-relative:paragraph;z-index:251698176" from="422.920013pt,6.299541pt" to="675.400013pt,6.299541pt" stroked="true" strokeweight=".75pt" strokecolor="#d9d9d9">
            <v:stroke dashstyle="solid"/>
            <w10:wrap type="none"/>
          </v:line>
        </w:pict>
      </w:r>
      <w:r>
        <w:rPr>
          <w:rFonts w:ascii="Gill Sans MT"/>
          <w:w w:val="115"/>
          <w:sz w:val="21"/>
        </w:rPr>
        <w:t>60</w:t>
      </w:r>
    </w:p>
    <w:p>
      <w:pPr>
        <w:spacing w:before="187"/>
        <w:ind w:left="671" w:right="0" w:firstLine="0"/>
        <w:jc w:val="left"/>
        <w:rPr>
          <w:rFonts w:ascii="Gill Sans MT"/>
          <w:sz w:val="21"/>
        </w:rPr>
      </w:pPr>
      <w:r>
        <w:rPr/>
        <w:pict>
          <v:group style="position:absolute;margin-left:421.755005pt;margin-top:9.771591pt;width:254.1pt;height:83.05pt;mso-position-horizontal-relative:page;mso-position-vertical-relative:paragraph;z-index:251697152" coordorigin="8435,195" coordsize="5082,1661">
            <v:shape style="position:absolute;left:8458;top:318;width:5050;height:1289" coordorigin="8458,319" coordsize="5050,1289" path="m8458,1608l13508,1608m8458,1178l13508,1178m8458,748l13508,748m8458,319l13508,319e" filled="false" stroked="true" strokeweight=".75pt" strokecolor="#d9d9d9">
              <v:path arrowok="t"/>
              <v:stroke dashstyle="solid"/>
            </v:shape>
            <v:shape style="position:absolute;left:8457;top:217;width:5037;height:1616" coordorigin="8458,218" coordsize="5037,1616" path="m8458,1715l8501,1696,8527,1773,8611,1778,8640,1701,8669,1706,8695,1692,8724,1627,8808,1641,8834,1663,8863,1773,8892,1754,8918,1780,9002,1788,9031,1819,9058,1819,9086,1821,9115,1828,9197,1699,9226,1761,9254,1756,9281,1785,9310,1761,9394,1668,9420,1728,9449,1790,9478,1802,9504,1756,9588,1788,9617,1778,9643,1785,9672,1819,9701,1833,9785,1807,9811,1807,9840,1812,9866,1795,9895,1684,9979,1651,10008,1632,10034,1646,10063,1560,10090,1624,10174,1488,10202,1456,10231,1524,10258,1399,10286,1464,10370,1269,10397,1310,10426,1425,10452,1406,10481,1531,10565,1586,10594,1533,10620,1612,10649,1617,10675,1639,10759,1716,10788,1730,10817,1680,10843,1663,10872,1536,10956,1509,10982,1531,11011,1543,11040,1176,11066,520,11150,448,11179,218,11206,1022,11234,837,11263,852,11345,1140,11374,1173,11402,1065,11429,1192,11542,1012,11568,1154,11597,1245,11626,1329,11652,1399,11736,1387,11765,1428,11791,1406,11820,1411,11849,1492,11933,1452,11959,1404,11988,1454,12014,1502,12043,1526,12127,1677,12156,1684,12182,1668,12211,1701,12238,1725,12322,1687,12350,1689,12379,1569,12406,1596,12434,1509,12518,1584,12545,1653,12574,1636,12602,1644,12629,1670,12713,1677,12742,1706,12768,1711,12797,1672,12826,1747,12907,1730,12936,1740,12965,1725,12991,1692,13020,1572,13104,1646,13130,1538,13159,1600,13188,1514,13214,1581,13298,1615,13327,1716,13354,1747,13382,1754,13411,1766,13494,1730e" filled="false" stroked="true" strokeweight="2.25pt" strokecolor="#014612">
              <v:path arrowok="t"/>
              <v:stroke dashstyle="solid"/>
            </v:shape>
            <w10:wrap type="none"/>
          </v:group>
        </w:pict>
      </w:r>
      <w:r>
        <w:rPr>
          <w:rFonts w:ascii="Gill Sans MT"/>
          <w:w w:val="115"/>
          <w:sz w:val="21"/>
        </w:rPr>
        <w:t>50</w:t>
      </w:r>
    </w:p>
    <w:p>
      <w:pPr>
        <w:spacing w:before="186"/>
        <w:ind w:left="671" w:right="0" w:firstLine="0"/>
        <w:jc w:val="left"/>
        <w:rPr>
          <w:rFonts w:ascii="Gill Sans MT"/>
          <w:sz w:val="21"/>
        </w:rPr>
      </w:pPr>
      <w:r>
        <w:rPr>
          <w:rFonts w:ascii="Gill Sans MT"/>
          <w:w w:val="115"/>
          <w:sz w:val="21"/>
        </w:rPr>
        <w:t>40</w:t>
      </w:r>
    </w:p>
    <w:p>
      <w:pPr>
        <w:spacing w:before="186"/>
        <w:ind w:left="671" w:right="0" w:firstLine="0"/>
        <w:jc w:val="left"/>
        <w:rPr>
          <w:rFonts w:ascii="Gill Sans MT"/>
          <w:sz w:val="21"/>
        </w:rPr>
      </w:pPr>
      <w:r>
        <w:rPr>
          <w:rFonts w:ascii="Gill Sans MT"/>
          <w:w w:val="115"/>
          <w:sz w:val="21"/>
        </w:rPr>
        <w:t>30</w:t>
      </w:r>
    </w:p>
    <w:p>
      <w:pPr>
        <w:spacing w:before="187"/>
        <w:ind w:left="671" w:right="0" w:firstLine="0"/>
        <w:jc w:val="left"/>
        <w:rPr>
          <w:rFonts w:ascii="Gill Sans MT"/>
          <w:sz w:val="21"/>
        </w:rPr>
      </w:pPr>
      <w:r>
        <w:rPr>
          <w:rFonts w:ascii="Gill Sans MT"/>
          <w:w w:val="115"/>
          <w:sz w:val="21"/>
        </w:rPr>
        <w:t>20</w:t>
      </w:r>
    </w:p>
    <w:p>
      <w:pPr>
        <w:spacing w:before="186"/>
        <w:ind w:left="671" w:right="0" w:firstLine="0"/>
        <w:jc w:val="left"/>
        <w:rPr>
          <w:rFonts w:ascii="Gill Sans MT"/>
          <w:sz w:val="21"/>
        </w:rPr>
      </w:pPr>
      <w:r>
        <w:rPr/>
        <w:pict>
          <v:line style="position:absolute;mso-position-horizontal-relative:page;mso-position-vertical-relative:paragraph;z-index:251696128" from="422.920013pt,15.83659pt" to="675.400013pt,15.83659pt" stroked="true" strokeweight=".75pt" strokecolor="#d9d9d9">
            <v:stroke dashstyle="solid"/>
            <w10:wrap type="none"/>
          </v:line>
        </w:pict>
      </w:r>
      <w:r>
        <w:rPr>
          <w:rFonts w:ascii="Gill Sans MT"/>
          <w:w w:val="115"/>
          <w:sz w:val="21"/>
        </w:rPr>
        <w:t>10</w:t>
      </w:r>
    </w:p>
    <w:p>
      <w:pPr>
        <w:spacing w:before="187"/>
        <w:ind w:left="789" w:right="0" w:firstLine="0"/>
        <w:jc w:val="left"/>
        <w:rPr>
          <w:rFonts w:ascii="Gill Sans MT"/>
          <w:sz w:val="21"/>
        </w:rPr>
      </w:pPr>
      <w:r>
        <w:rPr/>
        <w:pict>
          <v:shape style="position:absolute;margin-left:422.920013pt;margin-top:15.87659pt;width:252.5pt;height:2.85pt;mso-position-horizontal-relative:page;mso-position-vertical-relative:paragraph;z-index:251699200" coordorigin="8458,318" coordsize="5050,57" path="m8458,318l13508,318m8458,318l8458,375m9324,318l9324,375m10104,318l10104,375m10970,318l10970,375m11806,318l11806,375m12672,318l12672,375m13508,318l13508,375e" filled="false" stroked="true" strokeweight=".75pt" strokecolor="#000000">
            <v:path arrowok="t"/>
            <v:stroke dashstyle="solid"/>
            <w10:wrap type="none"/>
          </v:shape>
        </w:pict>
      </w:r>
      <w:r>
        <w:rPr>
          <w:rFonts w:ascii="Gill Sans MT"/>
          <w:w w:val="112"/>
          <w:sz w:val="21"/>
        </w:rPr>
        <w:t>0</w:t>
      </w:r>
    </w:p>
    <w:p>
      <w:pPr>
        <w:tabs>
          <w:tab w:pos="1704" w:val="left" w:leader="none"/>
          <w:tab w:pos="2476" w:val="left" w:leader="none"/>
          <w:tab w:pos="3359" w:val="left" w:leader="none"/>
          <w:tab w:pos="4165" w:val="left" w:leader="none"/>
          <w:tab w:pos="5051" w:val="left" w:leader="none"/>
        </w:tabs>
        <w:spacing w:before="6"/>
        <w:ind w:left="839" w:right="0" w:firstLine="0"/>
        <w:jc w:val="left"/>
        <w:rPr>
          <w:rFonts w:ascii="Gill Sans MT"/>
          <w:sz w:val="18"/>
        </w:rPr>
      </w:pPr>
      <w:r>
        <w:rPr>
          <w:rFonts w:ascii="Gill Sans MT"/>
          <w:spacing w:val="-1"/>
          <w:w w:val="220"/>
          <w:sz w:val="18"/>
        </w:rPr>
        <w:t>J</w:t>
      </w:r>
      <w:r>
        <w:rPr>
          <w:rFonts w:ascii="Gill Sans MT"/>
          <w:w w:val="118"/>
          <w:sz w:val="18"/>
        </w:rPr>
        <w:t>a</w:t>
      </w:r>
      <w:r>
        <w:rPr>
          <w:rFonts w:ascii="Gill Sans MT"/>
          <w:spacing w:val="1"/>
          <w:w w:val="118"/>
          <w:sz w:val="18"/>
        </w:rPr>
        <w:t>n</w:t>
      </w:r>
      <w:r>
        <w:rPr>
          <w:rFonts w:ascii="Gill Sans MT"/>
          <w:spacing w:val="-2"/>
          <w:w w:val="85"/>
          <w:sz w:val="18"/>
        </w:rPr>
        <w:t>-</w:t>
      </w:r>
      <w:r>
        <w:rPr>
          <w:rFonts w:ascii="Gill Sans MT"/>
          <w:w w:val="112"/>
          <w:sz w:val="18"/>
        </w:rPr>
        <w:t>25</w:t>
      </w:r>
      <w:r>
        <w:rPr>
          <w:rFonts w:ascii="Gill Sans MT"/>
          <w:sz w:val="18"/>
        </w:rPr>
        <w:tab/>
      </w:r>
      <w:r>
        <w:rPr>
          <w:rFonts w:ascii="Gill Sans MT"/>
          <w:spacing w:val="-2"/>
          <w:w w:val="117"/>
          <w:sz w:val="18"/>
        </w:rPr>
        <w:t>F</w:t>
      </w:r>
      <w:r>
        <w:rPr>
          <w:rFonts w:ascii="Gill Sans MT"/>
          <w:w w:val="110"/>
          <w:sz w:val="18"/>
        </w:rPr>
        <w:t>e</w:t>
      </w:r>
      <w:r>
        <w:rPr>
          <w:rFonts w:ascii="Gill Sans MT"/>
          <w:w w:val="101"/>
          <w:sz w:val="18"/>
        </w:rPr>
        <w:t>b-</w:t>
      </w:r>
      <w:r>
        <w:rPr>
          <w:rFonts w:ascii="Gill Sans MT"/>
          <w:w w:val="112"/>
          <w:sz w:val="18"/>
        </w:rPr>
        <w:t>25</w:t>
      </w:r>
      <w:r>
        <w:rPr>
          <w:rFonts w:ascii="Gill Sans MT"/>
          <w:sz w:val="18"/>
        </w:rPr>
        <w:tab/>
      </w:r>
      <w:r>
        <w:rPr>
          <w:rFonts w:ascii="Gill Sans MT"/>
          <w:spacing w:val="-2"/>
          <w:w w:val="111"/>
          <w:sz w:val="18"/>
        </w:rPr>
        <w:t>M</w:t>
      </w:r>
      <w:r>
        <w:rPr>
          <w:rFonts w:ascii="Gill Sans MT"/>
          <w:w w:val="107"/>
          <w:sz w:val="18"/>
        </w:rPr>
        <w:t>a</w:t>
      </w:r>
      <w:r>
        <w:rPr>
          <w:rFonts w:ascii="Gill Sans MT"/>
          <w:spacing w:val="1"/>
          <w:w w:val="107"/>
          <w:sz w:val="18"/>
        </w:rPr>
        <w:t>r</w:t>
      </w:r>
      <w:r>
        <w:rPr>
          <w:rFonts w:ascii="Gill Sans MT"/>
          <w:spacing w:val="-2"/>
          <w:w w:val="85"/>
          <w:sz w:val="18"/>
        </w:rPr>
        <w:t>-</w:t>
      </w:r>
      <w:r>
        <w:rPr>
          <w:rFonts w:ascii="Gill Sans MT"/>
          <w:w w:val="112"/>
          <w:sz w:val="18"/>
        </w:rPr>
        <w:t>25</w:t>
      </w:r>
      <w:r>
        <w:rPr>
          <w:rFonts w:ascii="Gill Sans MT"/>
          <w:sz w:val="18"/>
        </w:rPr>
        <w:tab/>
      </w:r>
      <w:r>
        <w:rPr>
          <w:rFonts w:ascii="Gill Sans MT"/>
          <w:spacing w:val="-1"/>
          <w:w w:val="99"/>
          <w:sz w:val="18"/>
        </w:rPr>
        <w:t>Apr</w:t>
      </w:r>
      <w:r>
        <w:rPr>
          <w:rFonts w:ascii="Gill Sans MT"/>
          <w:w w:val="85"/>
          <w:sz w:val="18"/>
        </w:rPr>
        <w:t>-</w:t>
      </w:r>
      <w:r>
        <w:rPr>
          <w:rFonts w:ascii="Gill Sans MT"/>
          <w:w w:val="112"/>
          <w:sz w:val="18"/>
        </w:rPr>
        <w:t>25</w:t>
      </w:r>
      <w:r>
        <w:rPr>
          <w:rFonts w:ascii="Gill Sans MT"/>
          <w:sz w:val="18"/>
        </w:rPr>
        <w:tab/>
      </w:r>
      <w:r>
        <w:rPr>
          <w:rFonts w:ascii="Gill Sans MT"/>
          <w:spacing w:val="-2"/>
          <w:w w:val="111"/>
          <w:sz w:val="18"/>
        </w:rPr>
        <w:t>M</w:t>
      </w:r>
      <w:r>
        <w:rPr>
          <w:rFonts w:ascii="Gill Sans MT"/>
          <w:w w:val="117"/>
          <w:sz w:val="18"/>
        </w:rPr>
        <w:t>a</w:t>
      </w:r>
      <w:r>
        <w:rPr>
          <w:rFonts w:ascii="Gill Sans MT"/>
          <w:spacing w:val="1"/>
          <w:w w:val="117"/>
          <w:sz w:val="18"/>
        </w:rPr>
        <w:t>y</w:t>
      </w:r>
      <w:r>
        <w:rPr>
          <w:rFonts w:ascii="Gill Sans MT"/>
          <w:spacing w:val="-2"/>
          <w:w w:val="85"/>
          <w:sz w:val="18"/>
        </w:rPr>
        <w:t>-</w:t>
      </w:r>
      <w:r>
        <w:rPr>
          <w:rFonts w:ascii="Gill Sans MT"/>
          <w:spacing w:val="1"/>
          <w:w w:val="112"/>
          <w:sz w:val="18"/>
        </w:rPr>
        <w:t>2</w:t>
      </w:r>
      <w:r>
        <w:rPr>
          <w:rFonts w:ascii="Gill Sans MT"/>
          <w:w w:val="112"/>
          <w:sz w:val="18"/>
        </w:rPr>
        <w:t>5</w:t>
      </w:r>
      <w:r>
        <w:rPr>
          <w:rFonts w:ascii="Gill Sans MT"/>
          <w:sz w:val="18"/>
        </w:rPr>
        <w:tab/>
      </w:r>
      <w:r>
        <w:rPr>
          <w:rFonts w:ascii="Gill Sans MT"/>
          <w:spacing w:val="-1"/>
          <w:w w:val="220"/>
          <w:sz w:val="18"/>
        </w:rPr>
        <w:t>J</w:t>
      </w:r>
      <w:r>
        <w:rPr>
          <w:rFonts w:ascii="Gill Sans MT"/>
          <w:spacing w:val="1"/>
          <w:w w:val="110"/>
          <w:sz w:val="18"/>
        </w:rPr>
        <w:t>u</w:t>
      </w:r>
      <w:r>
        <w:rPr>
          <w:rFonts w:ascii="Gill Sans MT"/>
          <w:spacing w:val="-1"/>
          <w:w w:val="110"/>
          <w:sz w:val="18"/>
        </w:rPr>
        <w:t>n</w:t>
      </w:r>
      <w:r>
        <w:rPr>
          <w:rFonts w:ascii="Gill Sans MT"/>
          <w:w w:val="85"/>
          <w:sz w:val="18"/>
        </w:rPr>
        <w:t>-</w:t>
      </w:r>
      <w:r>
        <w:rPr>
          <w:rFonts w:ascii="Gill Sans MT"/>
          <w:w w:val="112"/>
          <w:sz w:val="18"/>
        </w:rPr>
        <w:t>25</w:t>
      </w:r>
    </w:p>
    <w:p>
      <w:pPr>
        <w:spacing w:after="0"/>
        <w:jc w:val="left"/>
        <w:rPr>
          <w:rFonts w:ascii="Gill Sans MT"/>
          <w:sz w:val="18"/>
        </w:rPr>
        <w:sectPr>
          <w:type w:val="continuous"/>
          <w:pgSz w:w="14400" w:h="10800" w:orient="landscape"/>
          <w:pgMar w:top="180" w:bottom="280" w:left="20" w:right="40"/>
          <w:cols w:num="2" w:equalWidth="0">
            <w:col w:w="7300" w:space="40"/>
            <w:col w:w="7000"/>
          </w:cols>
        </w:sectPr>
      </w:pPr>
    </w:p>
    <w:p>
      <w:pPr>
        <w:pStyle w:val="BodyText"/>
        <w:spacing w:before="11"/>
        <w:rPr>
          <w:rFonts w:ascii="Gill Sans MT"/>
          <w:sz w:val="16"/>
        </w:rPr>
      </w:pPr>
    </w:p>
    <w:p>
      <w:pPr>
        <w:spacing w:line="247" w:lineRule="auto" w:before="0"/>
        <w:ind w:left="8024" w:right="431" w:firstLine="0"/>
        <w:jc w:val="left"/>
        <w:rPr>
          <w:rFonts w:ascii="Gill Sans MT"/>
          <w:sz w:val="14"/>
        </w:rPr>
      </w:pPr>
      <w:r>
        <w:rPr>
          <w:rFonts w:ascii="Gill Sans MT"/>
          <w:w w:val="110"/>
          <w:sz w:val="14"/>
        </w:rPr>
        <w:t>Source: The Budget Lab at Yale, Bloomberg. Tariff rate data from June 17-30 are extrapolated based on June 16 estimate. VIX data are as of 7/1/2025.</w:t>
      </w:r>
    </w:p>
    <w:p>
      <w:pPr>
        <w:spacing w:after="0" w:line="247" w:lineRule="auto"/>
        <w:jc w:val="left"/>
        <w:rPr>
          <w:rFonts w:ascii="Gill Sans MT"/>
          <w:sz w:val="14"/>
        </w:rPr>
        <w:sectPr>
          <w:type w:val="continuous"/>
          <w:pgSz w:w="14400" w:h="10800" w:orient="landscape"/>
          <w:pgMar w:top="180" w:bottom="280" w:left="20" w:right="40"/>
        </w:sectPr>
      </w:pPr>
    </w:p>
    <w:p>
      <w:pPr>
        <w:pStyle w:val="BodyText"/>
        <w:spacing w:before="5"/>
        <w:rPr>
          <w:rFonts w:ascii="Gill Sans MT"/>
          <w:sz w:val="11"/>
        </w:rPr>
      </w:pPr>
    </w:p>
    <w:p>
      <w:pPr>
        <w:pStyle w:val="Heading5"/>
        <w:numPr>
          <w:ilvl w:val="0"/>
          <w:numId w:val="4"/>
        </w:numPr>
        <w:tabs>
          <w:tab w:pos="1176" w:val="left" w:leader="none"/>
        </w:tabs>
        <w:spacing w:line="316" w:lineRule="exact" w:before="98" w:after="0"/>
        <w:ind w:left="1175" w:right="0" w:hanging="272"/>
        <w:jc w:val="left"/>
      </w:pPr>
      <w:bookmarkStart w:name="Slide 27: Staying Invested" w:id="33"/>
      <w:bookmarkEnd w:id="33"/>
      <w:r>
        <w:rPr/>
      </w:r>
      <w:bookmarkStart w:name="Slide 27: Staying Invested" w:id="34"/>
      <w:bookmarkEnd w:id="34"/>
      <w:r>
        <w:rPr>
          <w:w w:val="110"/>
        </w:rPr>
        <w:t>The</w:t>
      </w:r>
      <w:r>
        <w:rPr>
          <w:spacing w:val="-16"/>
          <w:w w:val="110"/>
        </w:rPr>
        <w:t> </w:t>
      </w:r>
      <w:r>
        <w:rPr>
          <w:w w:val="110"/>
        </w:rPr>
        <w:t>U.S.</w:t>
      </w:r>
      <w:r>
        <w:rPr>
          <w:spacing w:val="-21"/>
          <w:w w:val="110"/>
        </w:rPr>
        <w:t> </w:t>
      </w:r>
      <w:r>
        <w:rPr>
          <w:w w:val="110"/>
        </w:rPr>
        <w:t>stock</w:t>
      </w:r>
      <w:r>
        <w:rPr>
          <w:spacing w:val="-13"/>
          <w:w w:val="110"/>
        </w:rPr>
        <w:t> </w:t>
      </w:r>
      <w:r>
        <w:rPr>
          <w:w w:val="110"/>
        </w:rPr>
        <w:t>market</w:t>
      </w:r>
      <w:r>
        <w:rPr>
          <w:spacing w:val="-20"/>
          <w:w w:val="110"/>
        </w:rPr>
        <w:t> </w:t>
      </w:r>
      <w:r>
        <w:rPr>
          <w:w w:val="110"/>
        </w:rPr>
        <w:t>was</w:t>
      </w:r>
      <w:r>
        <w:rPr>
          <w:spacing w:val="-20"/>
          <w:w w:val="110"/>
        </w:rPr>
        <w:t> </w:t>
      </w:r>
      <w:r>
        <w:rPr>
          <w:w w:val="110"/>
        </w:rPr>
        <w:t>notably</w:t>
      </w:r>
      <w:r>
        <w:rPr>
          <w:spacing w:val="-17"/>
          <w:w w:val="110"/>
        </w:rPr>
        <w:t> </w:t>
      </w:r>
      <w:r>
        <w:rPr>
          <w:w w:val="110"/>
        </w:rPr>
        <w:t>volatile</w:t>
      </w:r>
      <w:r>
        <w:rPr>
          <w:spacing w:val="-19"/>
          <w:w w:val="110"/>
        </w:rPr>
        <w:t> </w:t>
      </w:r>
      <w:r>
        <w:rPr>
          <w:w w:val="110"/>
        </w:rPr>
        <w:t>to</w:t>
      </w:r>
      <w:r>
        <w:rPr>
          <w:spacing w:val="-15"/>
          <w:w w:val="110"/>
        </w:rPr>
        <w:t> </w:t>
      </w:r>
      <w:r>
        <w:rPr>
          <w:w w:val="110"/>
        </w:rPr>
        <w:t>start</w:t>
      </w:r>
      <w:r>
        <w:rPr>
          <w:spacing w:val="-15"/>
          <w:w w:val="110"/>
        </w:rPr>
        <w:t> </w:t>
      </w:r>
      <w:r>
        <w:rPr>
          <w:w w:val="110"/>
        </w:rPr>
        <w:t>the</w:t>
      </w:r>
      <w:r>
        <w:rPr>
          <w:spacing w:val="-14"/>
          <w:w w:val="110"/>
        </w:rPr>
        <w:t> </w:t>
      </w:r>
      <w:r>
        <w:rPr>
          <w:w w:val="110"/>
        </w:rPr>
        <w:t>second</w:t>
      </w:r>
      <w:r>
        <w:rPr>
          <w:spacing w:val="-19"/>
          <w:w w:val="110"/>
        </w:rPr>
        <w:t> </w:t>
      </w:r>
      <w:r>
        <w:rPr>
          <w:w w:val="110"/>
        </w:rPr>
        <w:t>quarter,</w:t>
      </w:r>
      <w:r>
        <w:rPr>
          <w:spacing w:val="-20"/>
          <w:w w:val="110"/>
        </w:rPr>
        <w:t> </w:t>
      </w:r>
      <w:r>
        <w:rPr>
          <w:w w:val="110"/>
        </w:rPr>
        <w:t>experiencing</w:t>
      </w:r>
      <w:r>
        <w:rPr>
          <w:spacing w:val="-21"/>
          <w:w w:val="110"/>
        </w:rPr>
        <w:t> </w:t>
      </w:r>
      <w:r>
        <w:rPr>
          <w:w w:val="110"/>
        </w:rPr>
        <w:t>eight</w:t>
      </w:r>
      <w:r>
        <w:rPr>
          <w:spacing w:val="-15"/>
          <w:w w:val="110"/>
        </w:rPr>
        <w:t> </w:t>
      </w:r>
      <w:r>
        <w:rPr>
          <w:w w:val="110"/>
        </w:rPr>
        <w:t>moves</w:t>
      </w:r>
    </w:p>
    <w:p>
      <w:pPr>
        <w:spacing w:line="314" w:lineRule="exact" w:before="0"/>
        <w:ind w:left="1175" w:right="0" w:firstLine="0"/>
        <w:jc w:val="left"/>
        <w:rPr>
          <w:rFonts w:ascii="Gill Sans MT"/>
          <w:sz w:val="28"/>
        </w:rPr>
      </w:pPr>
      <w:r>
        <w:rPr>
          <w:rFonts w:ascii="Gill Sans MT"/>
          <w:w w:val="110"/>
          <w:sz w:val="28"/>
        </w:rPr>
        <w:t>of at least plus or minus 2% over sixteen trading days in early April</w:t>
      </w:r>
    </w:p>
    <w:p>
      <w:pPr>
        <w:pStyle w:val="ListParagraph"/>
        <w:numPr>
          <w:ilvl w:val="0"/>
          <w:numId w:val="4"/>
        </w:numPr>
        <w:tabs>
          <w:tab w:pos="1176" w:val="left" w:leader="none"/>
        </w:tabs>
        <w:spacing w:line="223" w:lineRule="auto" w:before="155" w:after="0"/>
        <w:ind w:left="1175" w:right="1792" w:hanging="272"/>
        <w:jc w:val="left"/>
        <w:rPr>
          <w:rFonts w:ascii="Gill Sans MT" w:hAnsi="Gill Sans MT"/>
          <w:sz w:val="28"/>
        </w:rPr>
      </w:pPr>
      <w:r>
        <w:rPr>
          <w:rFonts w:ascii="Gill Sans MT" w:hAnsi="Gill Sans MT"/>
          <w:w w:val="110"/>
          <w:sz w:val="28"/>
        </w:rPr>
        <w:t>As is often the case, the best days in the market followed shortly after some of the worst, highlighting</w:t>
      </w:r>
      <w:r>
        <w:rPr>
          <w:rFonts w:ascii="Gill Sans MT" w:hAnsi="Gill Sans MT"/>
          <w:spacing w:val="-18"/>
          <w:w w:val="110"/>
          <w:sz w:val="28"/>
        </w:rPr>
        <w:t> </w:t>
      </w:r>
      <w:r>
        <w:rPr>
          <w:rFonts w:ascii="Gill Sans MT" w:hAnsi="Gill Sans MT"/>
          <w:w w:val="110"/>
          <w:sz w:val="28"/>
        </w:rPr>
        <w:t>the</w:t>
      </w:r>
      <w:r>
        <w:rPr>
          <w:rFonts w:ascii="Gill Sans MT" w:hAnsi="Gill Sans MT"/>
          <w:spacing w:val="-18"/>
          <w:w w:val="110"/>
          <w:sz w:val="28"/>
        </w:rPr>
        <w:t> </w:t>
      </w:r>
      <w:r>
        <w:rPr>
          <w:rFonts w:ascii="Gill Sans MT" w:hAnsi="Gill Sans MT"/>
          <w:w w:val="110"/>
          <w:sz w:val="28"/>
        </w:rPr>
        <w:t>importance</w:t>
      </w:r>
      <w:r>
        <w:rPr>
          <w:rFonts w:ascii="Gill Sans MT" w:hAnsi="Gill Sans MT"/>
          <w:spacing w:val="-25"/>
          <w:w w:val="110"/>
          <w:sz w:val="28"/>
        </w:rPr>
        <w:t> </w:t>
      </w:r>
      <w:r>
        <w:rPr>
          <w:rFonts w:ascii="Gill Sans MT" w:hAnsi="Gill Sans MT"/>
          <w:w w:val="110"/>
          <w:sz w:val="28"/>
        </w:rPr>
        <w:t>for</w:t>
      </w:r>
      <w:r>
        <w:rPr>
          <w:rFonts w:ascii="Gill Sans MT" w:hAnsi="Gill Sans MT"/>
          <w:spacing w:val="-21"/>
          <w:w w:val="110"/>
          <w:sz w:val="28"/>
        </w:rPr>
        <w:t> </w:t>
      </w:r>
      <w:r>
        <w:rPr>
          <w:rFonts w:ascii="Gill Sans MT" w:hAnsi="Gill Sans MT"/>
          <w:w w:val="110"/>
          <w:sz w:val="28"/>
        </w:rPr>
        <w:t>long-term</w:t>
      </w:r>
      <w:r>
        <w:rPr>
          <w:rFonts w:ascii="Gill Sans MT" w:hAnsi="Gill Sans MT"/>
          <w:spacing w:val="-23"/>
          <w:w w:val="110"/>
          <w:sz w:val="28"/>
        </w:rPr>
        <w:t> </w:t>
      </w:r>
      <w:r>
        <w:rPr>
          <w:rFonts w:ascii="Gill Sans MT" w:hAnsi="Gill Sans MT"/>
          <w:w w:val="110"/>
          <w:sz w:val="28"/>
        </w:rPr>
        <w:t>investors</w:t>
      </w:r>
      <w:r>
        <w:rPr>
          <w:rFonts w:ascii="Gill Sans MT" w:hAnsi="Gill Sans MT"/>
          <w:spacing w:val="-22"/>
          <w:w w:val="110"/>
          <w:sz w:val="28"/>
        </w:rPr>
        <w:t> </w:t>
      </w:r>
      <w:r>
        <w:rPr>
          <w:rFonts w:ascii="Gill Sans MT" w:hAnsi="Gill Sans MT"/>
          <w:w w:val="110"/>
          <w:sz w:val="28"/>
        </w:rPr>
        <w:t>to</w:t>
      </w:r>
      <w:r>
        <w:rPr>
          <w:rFonts w:ascii="Gill Sans MT" w:hAnsi="Gill Sans MT"/>
          <w:spacing w:val="-18"/>
          <w:w w:val="110"/>
          <w:sz w:val="28"/>
        </w:rPr>
        <w:t> </w:t>
      </w:r>
      <w:r>
        <w:rPr>
          <w:rFonts w:ascii="Gill Sans MT" w:hAnsi="Gill Sans MT"/>
          <w:w w:val="110"/>
          <w:sz w:val="28"/>
        </w:rPr>
        <w:t>stay</w:t>
      </w:r>
      <w:r>
        <w:rPr>
          <w:rFonts w:ascii="Gill Sans MT" w:hAnsi="Gill Sans MT"/>
          <w:spacing w:val="-18"/>
          <w:w w:val="110"/>
          <w:sz w:val="28"/>
        </w:rPr>
        <w:t> </w:t>
      </w:r>
      <w:r>
        <w:rPr>
          <w:rFonts w:ascii="Gill Sans MT" w:hAnsi="Gill Sans MT"/>
          <w:w w:val="110"/>
          <w:sz w:val="28"/>
        </w:rPr>
        <w:t>the</w:t>
      </w:r>
      <w:r>
        <w:rPr>
          <w:rFonts w:ascii="Gill Sans MT" w:hAnsi="Gill Sans MT"/>
          <w:spacing w:val="-20"/>
          <w:w w:val="110"/>
          <w:sz w:val="28"/>
        </w:rPr>
        <w:t> </w:t>
      </w:r>
      <w:r>
        <w:rPr>
          <w:rFonts w:ascii="Gill Sans MT" w:hAnsi="Gill Sans MT"/>
          <w:w w:val="110"/>
          <w:sz w:val="28"/>
        </w:rPr>
        <w:t>course</w:t>
      </w:r>
      <w:r>
        <w:rPr>
          <w:rFonts w:ascii="Gill Sans MT" w:hAnsi="Gill Sans MT"/>
          <w:spacing w:val="-20"/>
          <w:w w:val="110"/>
          <w:sz w:val="28"/>
        </w:rPr>
        <w:t> </w:t>
      </w:r>
      <w:r>
        <w:rPr>
          <w:rFonts w:ascii="Gill Sans MT" w:hAnsi="Gill Sans MT"/>
          <w:w w:val="110"/>
          <w:sz w:val="28"/>
        </w:rPr>
        <w:t>during</w:t>
      </w:r>
      <w:r>
        <w:rPr>
          <w:rFonts w:ascii="Gill Sans MT" w:hAnsi="Gill Sans MT"/>
          <w:spacing w:val="-24"/>
          <w:w w:val="110"/>
          <w:sz w:val="28"/>
        </w:rPr>
        <w:t> </w:t>
      </w:r>
      <w:r>
        <w:rPr>
          <w:rFonts w:ascii="Gill Sans MT" w:hAnsi="Gill Sans MT"/>
          <w:w w:val="110"/>
          <w:sz w:val="28"/>
        </w:rPr>
        <w:t>market</w:t>
      </w:r>
      <w:r>
        <w:rPr>
          <w:rFonts w:ascii="Gill Sans MT" w:hAnsi="Gill Sans MT"/>
          <w:spacing w:val="-24"/>
          <w:w w:val="110"/>
          <w:sz w:val="28"/>
        </w:rPr>
        <w:t> </w:t>
      </w:r>
      <w:r>
        <w:rPr>
          <w:rFonts w:ascii="Gill Sans MT" w:hAnsi="Gill Sans MT"/>
          <w:w w:val="110"/>
          <w:sz w:val="28"/>
        </w:rPr>
        <w:t>turmoil</w:t>
      </w:r>
    </w:p>
    <w:p>
      <w:pPr>
        <w:pStyle w:val="ListParagraph"/>
        <w:numPr>
          <w:ilvl w:val="0"/>
          <w:numId w:val="4"/>
        </w:numPr>
        <w:tabs>
          <w:tab w:pos="1176" w:val="left" w:leader="none"/>
        </w:tabs>
        <w:spacing w:line="223" w:lineRule="auto" w:before="157" w:after="0"/>
        <w:ind w:left="1175" w:right="1119" w:hanging="272"/>
        <w:jc w:val="left"/>
        <w:rPr>
          <w:rFonts w:ascii="Gill Sans MT" w:hAnsi="Gill Sans MT"/>
          <w:sz w:val="28"/>
        </w:rPr>
      </w:pPr>
      <w:r>
        <w:rPr>
          <w:rFonts w:ascii="Gill Sans MT" w:hAnsi="Gill Sans MT"/>
          <w:w w:val="110"/>
          <w:sz w:val="28"/>
        </w:rPr>
        <w:t>Investors</w:t>
      </w:r>
      <w:r>
        <w:rPr>
          <w:rFonts w:ascii="Gill Sans MT" w:hAnsi="Gill Sans MT"/>
          <w:spacing w:val="-24"/>
          <w:w w:val="110"/>
          <w:sz w:val="28"/>
        </w:rPr>
        <w:t> </w:t>
      </w:r>
      <w:r>
        <w:rPr>
          <w:rFonts w:ascii="Gill Sans MT" w:hAnsi="Gill Sans MT"/>
          <w:w w:val="110"/>
          <w:sz w:val="28"/>
        </w:rPr>
        <w:t>trying</w:t>
      </w:r>
      <w:r>
        <w:rPr>
          <w:rFonts w:ascii="Gill Sans MT" w:hAnsi="Gill Sans MT"/>
          <w:spacing w:val="-17"/>
          <w:w w:val="110"/>
          <w:sz w:val="28"/>
        </w:rPr>
        <w:t> </w:t>
      </w:r>
      <w:r>
        <w:rPr>
          <w:rFonts w:ascii="Gill Sans MT" w:hAnsi="Gill Sans MT"/>
          <w:w w:val="110"/>
          <w:sz w:val="28"/>
        </w:rPr>
        <w:t>to</w:t>
      </w:r>
      <w:r>
        <w:rPr>
          <w:rFonts w:ascii="Gill Sans MT" w:hAnsi="Gill Sans MT"/>
          <w:spacing w:val="-16"/>
          <w:w w:val="110"/>
          <w:sz w:val="28"/>
        </w:rPr>
        <w:t> </w:t>
      </w:r>
      <w:r>
        <w:rPr>
          <w:rFonts w:ascii="Gill Sans MT" w:hAnsi="Gill Sans MT"/>
          <w:w w:val="110"/>
          <w:sz w:val="28"/>
        </w:rPr>
        <w:t>time</w:t>
      </w:r>
      <w:r>
        <w:rPr>
          <w:rFonts w:ascii="Gill Sans MT" w:hAnsi="Gill Sans MT"/>
          <w:spacing w:val="-20"/>
          <w:w w:val="110"/>
          <w:sz w:val="28"/>
        </w:rPr>
        <w:t> </w:t>
      </w:r>
      <w:r>
        <w:rPr>
          <w:rFonts w:ascii="Gill Sans MT" w:hAnsi="Gill Sans MT"/>
          <w:w w:val="110"/>
          <w:sz w:val="28"/>
        </w:rPr>
        <w:t>the</w:t>
      </w:r>
      <w:r>
        <w:rPr>
          <w:rFonts w:ascii="Gill Sans MT" w:hAnsi="Gill Sans MT"/>
          <w:spacing w:val="-16"/>
          <w:w w:val="110"/>
          <w:sz w:val="28"/>
        </w:rPr>
        <w:t> </w:t>
      </w:r>
      <w:r>
        <w:rPr>
          <w:rFonts w:ascii="Gill Sans MT" w:hAnsi="Gill Sans MT"/>
          <w:w w:val="110"/>
          <w:sz w:val="28"/>
        </w:rPr>
        <w:t>market</w:t>
      </w:r>
      <w:r>
        <w:rPr>
          <w:rFonts w:ascii="Gill Sans MT" w:hAnsi="Gill Sans MT"/>
          <w:spacing w:val="-25"/>
          <w:w w:val="110"/>
          <w:sz w:val="28"/>
        </w:rPr>
        <w:t> </w:t>
      </w:r>
      <w:r>
        <w:rPr>
          <w:rFonts w:ascii="Gill Sans MT" w:hAnsi="Gill Sans MT"/>
          <w:w w:val="110"/>
          <w:sz w:val="28"/>
        </w:rPr>
        <w:t>face</w:t>
      </w:r>
      <w:r>
        <w:rPr>
          <w:rFonts w:ascii="Gill Sans MT" w:hAnsi="Gill Sans MT"/>
          <w:spacing w:val="-18"/>
          <w:w w:val="110"/>
          <w:sz w:val="28"/>
        </w:rPr>
        <w:t> </w:t>
      </w:r>
      <w:r>
        <w:rPr>
          <w:rFonts w:ascii="Gill Sans MT" w:hAnsi="Gill Sans MT"/>
          <w:w w:val="110"/>
          <w:sz w:val="28"/>
        </w:rPr>
        <w:t>the</w:t>
      </w:r>
      <w:r>
        <w:rPr>
          <w:rFonts w:ascii="Gill Sans MT" w:hAnsi="Gill Sans MT"/>
          <w:spacing w:val="-18"/>
          <w:w w:val="110"/>
          <w:sz w:val="28"/>
        </w:rPr>
        <w:t> </w:t>
      </w:r>
      <w:r>
        <w:rPr>
          <w:rFonts w:ascii="Gill Sans MT" w:hAnsi="Gill Sans MT"/>
          <w:w w:val="110"/>
          <w:sz w:val="28"/>
        </w:rPr>
        <w:t>challenge</w:t>
      </w:r>
      <w:r>
        <w:rPr>
          <w:rFonts w:ascii="Gill Sans MT" w:hAnsi="Gill Sans MT"/>
          <w:spacing w:val="-19"/>
          <w:w w:val="110"/>
          <w:sz w:val="28"/>
        </w:rPr>
        <w:t> </w:t>
      </w:r>
      <w:r>
        <w:rPr>
          <w:rFonts w:ascii="Gill Sans MT" w:hAnsi="Gill Sans MT"/>
          <w:w w:val="110"/>
          <w:sz w:val="28"/>
        </w:rPr>
        <w:t>of</w:t>
      </w:r>
      <w:r>
        <w:rPr>
          <w:rFonts w:ascii="Gill Sans MT" w:hAnsi="Gill Sans MT"/>
          <w:spacing w:val="-19"/>
          <w:w w:val="110"/>
          <w:sz w:val="28"/>
        </w:rPr>
        <w:t> </w:t>
      </w:r>
      <w:r>
        <w:rPr>
          <w:rFonts w:ascii="Gill Sans MT" w:hAnsi="Gill Sans MT"/>
          <w:w w:val="110"/>
          <w:sz w:val="28"/>
        </w:rPr>
        <w:t>picking</w:t>
      </w:r>
      <w:r>
        <w:rPr>
          <w:rFonts w:ascii="Gill Sans MT" w:hAnsi="Gill Sans MT"/>
          <w:spacing w:val="-18"/>
          <w:w w:val="110"/>
          <w:sz w:val="28"/>
        </w:rPr>
        <w:t> </w:t>
      </w:r>
      <w:r>
        <w:rPr>
          <w:rFonts w:ascii="Gill Sans MT" w:hAnsi="Gill Sans MT"/>
          <w:w w:val="110"/>
          <w:sz w:val="28"/>
        </w:rPr>
        <w:t>the</w:t>
      </w:r>
      <w:r>
        <w:rPr>
          <w:rFonts w:ascii="Gill Sans MT" w:hAnsi="Gill Sans MT"/>
          <w:spacing w:val="-16"/>
          <w:w w:val="110"/>
          <w:sz w:val="28"/>
        </w:rPr>
        <w:t> </w:t>
      </w:r>
      <w:r>
        <w:rPr>
          <w:rFonts w:ascii="Gill Sans MT" w:hAnsi="Gill Sans MT"/>
          <w:w w:val="110"/>
          <w:sz w:val="28"/>
        </w:rPr>
        <w:t>right</w:t>
      </w:r>
      <w:r>
        <w:rPr>
          <w:rFonts w:ascii="Gill Sans MT" w:hAnsi="Gill Sans MT"/>
          <w:spacing w:val="-17"/>
          <w:w w:val="110"/>
          <w:sz w:val="28"/>
        </w:rPr>
        <w:t> </w:t>
      </w:r>
      <w:r>
        <w:rPr>
          <w:rFonts w:ascii="Gill Sans MT" w:hAnsi="Gill Sans MT"/>
          <w:w w:val="110"/>
          <w:sz w:val="28"/>
        </w:rPr>
        <w:t>time</w:t>
      </w:r>
      <w:r>
        <w:rPr>
          <w:rFonts w:ascii="Gill Sans MT" w:hAnsi="Gill Sans MT"/>
          <w:spacing w:val="-19"/>
          <w:w w:val="110"/>
          <w:sz w:val="28"/>
        </w:rPr>
        <w:t> </w:t>
      </w:r>
      <w:r>
        <w:rPr>
          <w:rFonts w:ascii="Gill Sans MT" w:hAnsi="Gill Sans MT"/>
          <w:w w:val="110"/>
          <w:sz w:val="28"/>
        </w:rPr>
        <w:t>to</w:t>
      </w:r>
      <w:r>
        <w:rPr>
          <w:rFonts w:ascii="Gill Sans MT" w:hAnsi="Gill Sans MT"/>
          <w:spacing w:val="-17"/>
          <w:w w:val="110"/>
          <w:sz w:val="28"/>
        </w:rPr>
        <w:t> </w:t>
      </w:r>
      <w:r>
        <w:rPr>
          <w:rFonts w:ascii="Gill Sans MT" w:hAnsi="Gill Sans MT"/>
          <w:w w:val="110"/>
          <w:sz w:val="28"/>
        </w:rPr>
        <w:t>both</w:t>
      </w:r>
      <w:r>
        <w:rPr>
          <w:rFonts w:ascii="Gill Sans MT" w:hAnsi="Gill Sans MT"/>
          <w:spacing w:val="-18"/>
          <w:w w:val="110"/>
          <w:sz w:val="28"/>
        </w:rPr>
        <w:t> </w:t>
      </w:r>
      <w:r>
        <w:rPr>
          <w:rFonts w:ascii="Gill Sans MT" w:hAnsi="Gill Sans MT"/>
          <w:w w:val="110"/>
          <w:sz w:val="28"/>
        </w:rPr>
        <w:t>exit</w:t>
      </w:r>
      <w:r>
        <w:rPr>
          <w:rFonts w:ascii="Gill Sans MT" w:hAnsi="Gill Sans MT"/>
          <w:spacing w:val="-17"/>
          <w:w w:val="110"/>
          <w:sz w:val="28"/>
        </w:rPr>
        <w:t> </w:t>
      </w:r>
      <w:r>
        <w:rPr>
          <w:rFonts w:ascii="Gill Sans MT" w:hAnsi="Gill Sans MT"/>
          <w:w w:val="110"/>
          <w:sz w:val="28"/>
        </w:rPr>
        <w:t>and</w:t>
      </w:r>
      <w:r>
        <w:rPr>
          <w:rFonts w:ascii="Gill Sans MT" w:hAnsi="Gill Sans MT"/>
          <w:spacing w:val="-20"/>
          <w:w w:val="110"/>
          <w:sz w:val="28"/>
        </w:rPr>
        <w:t> </w:t>
      </w:r>
      <w:r>
        <w:rPr>
          <w:rFonts w:ascii="Gill Sans MT" w:hAnsi="Gill Sans MT"/>
          <w:spacing w:val="3"/>
          <w:w w:val="110"/>
          <w:sz w:val="28"/>
        </w:rPr>
        <w:t>re- </w:t>
      </w:r>
      <w:r>
        <w:rPr>
          <w:rFonts w:ascii="Gill Sans MT" w:hAnsi="Gill Sans MT"/>
          <w:w w:val="110"/>
          <w:sz w:val="28"/>
        </w:rPr>
        <w:t>enter,</w:t>
      </w:r>
      <w:r>
        <w:rPr>
          <w:rFonts w:ascii="Gill Sans MT" w:hAnsi="Gill Sans MT"/>
          <w:spacing w:val="-20"/>
          <w:w w:val="110"/>
          <w:sz w:val="28"/>
        </w:rPr>
        <w:t> </w:t>
      </w:r>
      <w:r>
        <w:rPr>
          <w:rFonts w:ascii="Gill Sans MT" w:hAnsi="Gill Sans MT"/>
          <w:w w:val="110"/>
          <w:sz w:val="28"/>
        </w:rPr>
        <w:t>and</w:t>
      </w:r>
      <w:r>
        <w:rPr>
          <w:rFonts w:ascii="Gill Sans MT" w:hAnsi="Gill Sans MT"/>
          <w:spacing w:val="-21"/>
          <w:w w:val="110"/>
          <w:sz w:val="28"/>
        </w:rPr>
        <w:t> </w:t>
      </w:r>
      <w:r>
        <w:rPr>
          <w:rFonts w:ascii="Gill Sans MT" w:hAnsi="Gill Sans MT"/>
          <w:w w:val="110"/>
          <w:sz w:val="28"/>
        </w:rPr>
        <w:t>missing</w:t>
      </w:r>
      <w:r>
        <w:rPr>
          <w:rFonts w:ascii="Gill Sans MT" w:hAnsi="Gill Sans MT"/>
          <w:spacing w:val="-21"/>
          <w:w w:val="110"/>
          <w:sz w:val="28"/>
        </w:rPr>
        <w:t> </w:t>
      </w:r>
      <w:r>
        <w:rPr>
          <w:rFonts w:ascii="Gill Sans MT" w:hAnsi="Gill Sans MT"/>
          <w:w w:val="110"/>
          <w:sz w:val="28"/>
        </w:rPr>
        <w:t>on</w:t>
      </w:r>
      <w:r>
        <w:rPr>
          <w:rFonts w:ascii="Gill Sans MT" w:hAnsi="Gill Sans MT"/>
          <w:spacing w:val="-17"/>
          <w:w w:val="110"/>
          <w:sz w:val="28"/>
        </w:rPr>
        <w:t> </w:t>
      </w:r>
      <w:r>
        <w:rPr>
          <w:rFonts w:ascii="Gill Sans MT" w:hAnsi="Gill Sans MT"/>
          <w:w w:val="110"/>
          <w:sz w:val="28"/>
        </w:rPr>
        <w:t>either</w:t>
      </w:r>
      <w:r>
        <w:rPr>
          <w:rFonts w:ascii="Gill Sans MT" w:hAnsi="Gill Sans MT"/>
          <w:spacing w:val="-18"/>
          <w:w w:val="110"/>
          <w:sz w:val="28"/>
        </w:rPr>
        <w:t> </w:t>
      </w:r>
      <w:r>
        <w:rPr>
          <w:rFonts w:ascii="Gill Sans MT" w:hAnsi="Gill Sans MT"/>
          <w:w w:val="110"/>
          <w:sz w:val="28"/>
        </w:rPr>
        <w:t>decision</w:t>
      </w:r>
      <w:r>
        <w:rPr>
          <w:rFonts w:ascii="Gill Sans MT" w:hAnsi="Gill Sans MT"/>
          <w:spacing w:val="-20"/>
          <w:w w:val="110"/>
          <w:sz w:val="28"/>
        </w:rPr>
        <w:t> </w:t>
      </w:r>
      <w:r>
        <w:rPr>
          <w:rFonts w:ascii="Gill Sans MT" w:hAnsi="Gill Sans MT"/>
          <w:w w:val="110"/>
          <w:sz w:val="28"/>
        </w:rPr>
        <w:t>is</w:t>
      </w:r>
      <w:r>
        <w:rPr>
          <w:rFonts w:ascii="Gill Sans MT" w:hAnsi="Gill Sans MT"/>
          <w:spacing w:val="-17"/>
          <w:w w:val="110"/>
          <w:sz w:val="28"/>
        </w:rPr>
        <w:t> </w:t>
      </w:r>
      <w:r>
        <w:rPr>
          <w:rFonts w:ascii="Gill Sans MT" w:hAnsi="Gill Sans MT"/>
          <w:w w:val="110"/>
          <w:sz w:val="28"/>
        </w:rPr>
        <w:t>likely</w:t>
      </w:r>
      <w:r>
        <w:rPr>
          <w:rFonts w:ascii="Gill Sans MT" w:hAnsi="Gill Sans MT"/>
          <w:spacing w:val="-19"/>
          <w:w w:val="110"/>
          <w:sz w:val="28"/>
        </w:rPr>
        <w:t> </w:t>
      </w:r>
      <w:r>
        <w:rPr>
          <w:rFonts w:ascii="Gill Sans MT" w:hAnsi="Gill Sans MT"/>
          <w:w w:val="110"/>
          <w:sz w:val="28"/>
        </w:rPr>
        <w:t>to</w:t>
      </w:r>
      <w:r>
        <w:rPr>
          <w:rFonts w:ascii="Gill Sans MT" w:hAnsi="Gill Sans MT"/>
          <w:spacing w:val="-16"/>
          <w:w w:val="110"/>
          <w:sz w:val="28"/>
        </w:rPr>
        <w:t> </w:t>
      </w:r>
      <w:r>
        <w:rPr>
          <w:rFonts w:ascii="Gill Sans MT" w:hAnsi="Gill Sans MT"/>
          <w:w w:val="110"/>
          <w:sz w:val="28"/>
        </w:rPr>
        <w:t>result</w:t>
      </w:r>
      <w:r>
        <w:rPr>
          <w:rFonts w:ascii="Gill Sans MT" w:hAnsi="Gill Sans MT"/>
          <w:spacing w:val="-18"/>
          <w:w w:val="110"/>
          <w:sz w:val="28"/>
        </w:rPr>
        <w:t> </w:t>
      </w:r>
      <w:r>
        <w:rPr>
          <w:rFonts w:ascii="Gill Sans MT" w:hAnsi="Gill Sans MT"/>
          <w:w w:val="110"/>
          <w:sz w:val="28"/>
        </w:rPr>
        <w:t>in</w:t>
      </w:r>
      <w:r>
        <w:rPr>
          <w:rFonts w:ascii="Gill Sans MT" w:hAnsi="Gill Sans MT"/>
          <w:spacing w:val="-18"/>
          <w:w w:val="110"/>
          <w:sz w:val="28"/>
        </w:rPr>
        <w:t> </w:t>
      </w:r>
      <w:r>
        <w:rPr>
          <w:rFonts w:ascii="Gill Sans MT" w:hAnsi="Gill Sans MT"/>
          <w:w w:val="110"/>
          <w:sz w:val="28"/>
        </w:rPr>
        <w:t>lower</w:t>
      </w:r>
      <w:r>
        <w:rPr>
          <w:rFonts w:ascii="Gill Sans MT" w:hAnsi="Gill Sans MT"/>
          <w:spacing w:val="-23"/>
          <w:w w:val="110"/>
          <w:sz w:val="28"/>
        </w:rPr>
        <w:t> </w:t>
      </w:r>
      <w:r>
        <w:rPr>
          <w:rFonts w:ascii="Gill Sans MT" w:hAnsi="Gill Sans MT"/>
          <w:w w:val="110"/>
          <w:sz w:val="28"/>
        </w:rPr>
        <w:t>returns</w:t>
      </w:r>
      <w:r>
        <w:rPr>
          <w:rFonts w:ascii="Gill Sans MT" w:hAnsi="Gill Sans MT"/>
          <w:spacing w:val="-22"/>
          <w:w w:val="110"/>
          <w:sz w:val="28"/>
        </w:rPr>
        <w:t> </w:t>
      </w:r>
      <w:r>
        <w:rPr>
          <w:rFonts w:ascii="Gill Sans MT" w:hAnsi="Gill Sans MT"/>
          <w:w w:val="110"/>
          <w:sz w:val="28"/>
        </w:rPr>
        <w:t>over</w:t>
      </w:r>
      <w:r>
        <w:rPr>
          <w:rFonts w:ascii="Gill Sans MT" w:hAnsi="Gill Sans MT"/>
          <w:spacing w:val="-23"/>
          <w:w w:val="110"/>
          <w:sz w:val="28"/>
        </w:rPr>
        <w:t> </w:t>
      </w:r>
      <w:r>
        <w:rPr>
          <w:rFonts w:ascii="Gill Sans MT" w:hAnsi="Gill Sans MT"/>
          <w:w w:val="110"/>
          <w:sz w:val="28"/>
        </w:rPr>
        <w:t>time</w:t>
      </w:r>
    </w:p>
    <w:p>
      <w:pPr>
        <w:pStyle w:val="BodyText"/>
        <w:spacing w:before="9"/>
        <w:rPr>
          <w:rFonts w:ascii="Gill Sans MT"/>
          <w:sz w:val="15"/>
        </w:rPr>
      </w:pPr>
    </w:p>
    <w:p>
      <w:pPr>
        <w:spacing w:after="0"/>
        <w:rPr>
          <w:rFonts w:ascii="Gill Sans MT"/>
          <w:sz w:val="15"/>
        </w:rPr>
        <w:sectPr>
          <w:headerReference w:type="default" r:id="rId69"/>
          <w:footerReference w:type="default" r:id="rId70"/>
          <w:pgSz w:w="14400" w:h="10800" w:orient="landscape"/>
          <w:pgMar w:header="650" w:footer="1259" w:top="1480" w:bottom="1440" w:left="20" w:right="40"/>
          <w:pgNumType w:start="27"/>
        </w:sectPr>
      </w:pPr>
    </w:p>
    <w:p>
      <w:pPr>
        <w:pStyle w:val="BodyText"/>
        <w:rPr>
          <w:rFonts w:ascii="Gill Sans MT"/>
        </w:rPr>
      </w:pPr>
    </w:p>
    <w:p>
      <w:pPr>
        <w:pStyle w:val="BodyText"/>
        <w:spacing w:before="7"/>
        <w:rPr>
          <w:rFonts w:ascii="Gill Sans MT"/>
          <w:sz w:val="25"/>
        </w:rPr>
      </w:pPr>
    </w:p>
    <w:p>
      <w:pPr>
        <w:spacing w:before="0"/>
        <w:ind w:left="163" w:right="0" w:firstLine="0"/>
        <w:jc w:val="left"/>
        <w:rPr>
          <w:rFonts w:ascii="Gill Sans MT"/>
          <w:sz w:val="20"/>
        </w:rPr>
      </w:pPr>
      <w:r>
        <w:rPr>
          <w:rFonts w:ascii="Gill Sans MT"/>
          <w:w w:val="110"/>
          <w:sz w:val="20"/>
        </w:rPr>
        <w:t>10%</w:t>
      </w:r>
    </w:p>
    <w:p>
      <w:pPr>
        <w:spacing w:before="166"/>
        <w:ind w:left="275" w:right="0" w:firstLine="0"/>
        <w:jc w:val="left"/>
        <w:rPr>
          <w:rFonts w:ascii="Gill Sans MT"/>
          <w:sz w:val="20"/>
        </w:rPr>
      </w:pPr>
      <w:r>
        <w:rPr>
          <w:rFonts w:ascii="Gill Sans MT"/>
          <w:w w:val="110"/>
          <w:sz w:val="20"/>
        </w:rPr>
        <w:t>8%</w:t>
      </w:r>
    </w:p>
    <w:p>
      <w:pPr>
        <w:spacing w:before="166"/>
        <w:ind w:left="275" w:right="0" w:firstLine="0"/>
        <w:jc w:val="left"/>
        <w:rPr>
          <w:rFonts w:ascii="Gill Sans MT"/>
          <w:sz w:val="20"/>
        </w:rPr>
      </w:pPr>
      <w:r>
        <w:rPr>
          <w:rFonts w:ascii="Gill Sans MT"/>
          <w:w w:val="110"/>
          <w:sz w:val="20"/>
        </w:rPr>
        <w:t>6%</w:t>
      </w:r>
    </w:p>
    <w:p>
      <w:pPr>
        <w:spacing w:before="103"/>
        <w:ind w:left="163" w:right="0" w:firstLine="0"/>
        <w:jc w:val="left"/>
        <w:rPr>
          <w:rFonts w:ascii="Gill Sans MT"/>
          <w:sz w:val="30"/>
        </w:rPr>
      </w:pPr>
      <w:r>
        <w:rPr/>
        <w:br w:type="column"/>
      </w:r>
      <w:r>
        <w:rPr>
          <w:rFonts w:ascii="Gill Sans MT"/>
          <w:w w:val="110"/>
          <w:sz w:val="30"/>
        </w:rPr>
        <w:t>U.S.</w:t>
      </w:r>
      <w:r>
        <w:rPr>
          <w:rFonts w:ascii="Gill Sans MT"/>
          <w:spacing w:val="-22"/>
          <w:w w:val="110"/>
          <w:sz w:val="30"/>
        </w:rPr>
        <w:t> </w:t>
      </w:r>
      <w:r>
        <w:rPr>
          <w:rFonts w:ascii="Gill Sans MT"/>
          <w:w w:val="110"/>
          <w:sz w:val="30"/>
        </w:rPr>
        <w:t>Stock</w:t>
      </w:r>
      <w:r>
        <w:rPr>
          <w:rFonts w:ascii="Gill Sans MT"/>
          <w:spacing w:val="-25"/>
          <w:w w:val="110"/>
          <w:sz w:val="30"/>
        </w:rPr>
        <w:t> </w:t>
      </w:r>
      <w:r>
        <w:rPr>
          <w:rFonts w:ascii="Gill Sans MT"/>
          <w:w w:val="110"/>
          <w:sz w:val="30"/>
        </w:rPr>
        <w:t>Market</w:t>
      </w:r>
      <w:r>
        <w:rPr>
          <w:rFonts w:ascii="Gill Sans MT"/>
          <w:spacing w:val="-20"/>
          <w:w w:val="110"/>
          <w:sz w:val="30"/>
        </w:rPr>
        <w:t> </w:t>
      </w:r>
      <w:r>
        <w:rPr>
          <w:rFonts w:ascii="Gill Sans MT"/>
          <w:w w:val="110"/>
          <w:sz w:val="30"/>
        </w:rPr>
        <w:t>Daily</w:t>
      </w:r>
      <w:r>
        <w:rPr>
          <w:rFonts w:ascii="Gill Sans MT"/>
          <w:spacing w:val="-18"/>
          <w:w w:val="110"/>
          <w:sz w:val="30"/>
        </w:rPr>
        <w:t> </w:t>
      </w:r>
      <w:r>
        <w:rPr>
          <w:rFonts w:ascii="Gill Sans MT"/>
          <w:w w:val="110"/>
          <w:sz w:val="30"/>
        </w:rPr>
        <w:t>Returns</w:t>
      </w:r>
    </w:p>
    <w:p>
      <w:pPr>
        <w:pStyle w:val="BodyText"/>
        <w:spacing w:before="9"/>
        <w:rPr>
          <w:rFonts w:ascii="Gill Sans MT"/>
          <w:sz w:val="32"/>
        </w:rPr>
      </w:pPr>
    </w:p>
    <w:p>
      <w:pPr>
        <w:spacing w:before="1"/>
        <w:ind w:left="0" w:right="320" w:firstLine="0"/>
        <w:jc w:val="right"/>
        <w:rPr>
          <w:rFonts w:ascii="Gill Sans MT"/>
          <w:sz w:val="17"/>
        </w:rPr>
      </w:pPr>
      <w:r>
        <w:rPr/>
        <w:pict>
          <v:group style="position:absolute;margin-left:36.879993pt;margin-top:-2.090053pt;width:312.7pt;height:155.050pt;mso-position-horizontal-relative:page;mso-position-vertical-relative:paragraph;z-index:-266993664" coordorigin="738,-42" coordsize="6254,3101">
            <v:shape style="position:absolute;left:714;top:3616;width:6576;height:1673" coordorigin="715,3616" coordsize="6576,1673" path="m738,3051l6991,3051m738,2654l6991,2654m738,2257l6991,2257m738,1460l6991,1460e" filled="false" stroked="true" strokeweight=".713267pt" strokecolor="#d9d9d9">
              <v:path arrowok="t"/>
              <v:stroke dashstyle="solid"/>
            </v:shape>
            <v:rect style="position:absolute;left:790;top:1859;width:39;height:30" filled="true" fillcolor="#014612" stroked="false">
              <v:fill type="solid"/>
            </v:rect>
            <v:line style="position:absolute" from="857,1595" to="857,1860" stroked="true" strokeweight="1.940047pt" strokecolor="#014612">
              <v:stroke dashstyle="solid"/>
            </v:line>
            <v:rect style="position:absolute;left:888;top:1752;width:39;height:108" filled="true" fillcolor="#014612" stroked="false">
              <v:fill type="solid"/>
            </v:rect>
            <v:line style="position:absolute" from="956,1860" to="956,2077" stroked="true" strokeweight="1.940047pt" strokecolor="#014612">
              <v:stroke dashstyle="solid"/>
            </v:line>
            <v:rect style="position:absolute;left:984;top:1832;width:39;height:28" filled="true" fillcolor="#014612" stroked="false">
              <v:fill type="solid"/>
            </v:rect>
            <v:line style="position:absolute" from="1102,1860" to="1102,2166" stroked="true" strokeweight="1.940047pt" strokecolor="#014612">
              <v:stroke dashstyle="solid"/>
            </v:line>
            <v:shape style="position:absolute;left:1130;top:1811;width:87;height:48" coordorigin="1130,1812" coordsize="87,48" path="m1169,1821l1130,1821,1130,1860,1169,1860,1169,1821m1217,1812l1178,1812,1178,1860,1217,1860,1217,1812e" filled="true" fillcolor="#014612" stroked="false">
              <v:path arrowok="t"/>
              <v:fill type="solid"/>
            </v:shape>
            <v:line style="position:absolute" from="1245,1495" to="1245,1860" stroked="true" strokeweight="1.940047pt" strokecolor="#014612">
              <v:stroke dashstyle="solid"/>
            </v:line>
            <v:rect style="position:absolute;left:1276;top:1859;width:39;height:16" filled="true" fillcolor="#014612" stroked="false">
              <v:fill type="solid"/>
            </v:rect>
            <v:line style="position:absolute" from="1344,1670" to="1344,1860" stroked="true" strokeweight="1.940047pt" strokecolor="#014612">
              <v:stroke dashstyle="solid"/>
            </v:line>
            <v:line style="position:absolute" from="1439,1664" to="1439,1860" stroked="true" strokeweight="1.940047pt" strokecolor="#014612">
              <v:stroke dashstyle="solid"/>
            </v:line>
            <v:shape style="position:absolute;left:1470;top:1759;width:135;height:149" coordorigin="1470,1759" coordsize="135,149" path="m1509,1762l1470,1762,1470,1860,1509,1860,1509,1762m1557,1759l1518,1759,1518,1860,1557,1860,1557,1759m1605,1860l1566,1860,1566,1908,1605,1908,1605,1860e" filled="true" fillcolor="#014612" stroked="false">
              <v:path arrowok="t"/>
              <v:fill type="solid"/>
            </v:shape>
            <v:line style="position:absolute" from="1633,1860" to="1633,2143" stroked="true" strokeweight="1.940047pt" strokecolor="#014612">
              <v:stroke dashstyle="solid"/>
            </v:line>
            <v:line style="position:absolute" from="1683,1684" to="1683,1860" stroked="true" strokeweight="1.825926pt" strokecolor="#014612">
              <v:stroke dashstyle="solid"/>
            </v:line>
            <v:shape style="position:absolute;left:1712;top:1736;width:135;height:224" coordorigin="1712,1736" coordsize="135,224" path="m1751,1860l1712,1860,1712,1944,1751,1944,1751,1860m1799,1736l1760,1736,1760,1860,1799,1860,1799,1736m1847,1860l1808,1860,1808,1960,1847,1960,1847,1860e" filled="true" fillcolor="#014612" stroked="false">
              <v:path arrowok="t"/>
              <v:fill type="solid"/>
            </v:shape>
            <v:line style="position:absolute" from="1875,1860" to="1875,2013" stroked="true" strokeweight="1.940047pt" strokecolor="#014612">
              <v:stroke dashstyle="solid"/>
            </v:line>
            <v:line style="position:absolute" from="1926,1711" to="1926,1860" stroked="true" strokeweight="1.940047pt" strokecolor="#014612">
              <v:stroke dashstyle="solid"/>
            </v:line>
            <v:shape style="position:absolute;left:1954;top:1768;width:87;height:92" coordorigin="1954,1768" coordsize="87,92" path="m1993,1768l1954,1768,1954,1860,1993,1860,1993,1768m2041,1800l2002,1800,2002,1860,2041,1860,2041,1800e" filled="true" fillcolor="#014612" stroked="false">
              <v:path arrowok="t"/>
              <v:fill type="solid"/>
            </v:shape>
            <v:line style="position:absolute" from="2069,1860" to="2069,2045" stroked="true" strokeweight="1.940047pt" strokecolor="#014612">
              <v:stroke dashstyle="solid"/>
            </v:line>
            <v:shape style="position:absolute;left:2100;top:1732;width:135;height:190" coordorigin="2100,1732" coordsize="135,190" path="m2139,1732l2100,1732,2100,1860,2139,1860,2139,1732m2187,1860l2148,1860,2148,1873,2187,1873,2187,1860m2235,1860l2196,1860,2196,1921,2235,1921,2235,1860e" filled="true" fillcolor="#014612" stroked="false">
              <v:path arrowok="t"/>
              <v:fill type="solid"/>
            </v:shape>
            <v:line style="position:absolute" from="2263,1648" to="2263,1860" stroked="true" strokeweight="1.940047pt" strokecolor="#014612">
              <v:stroke dashstyle="solid"/>
            </v:line>
            <v:shape style="position:absolute;left:2294;top:1802;width:233;height:160" coordorigin="2294,1803" coordsize="233,160" path="m2333,1857l2294,1857,2294,1860,2333,1860,2333,1857m2429,1803l2390,1803,2390,1860,2429,1860,2429,1803m2477,1835l2438,1835,2438,1860,2477,1860,2477,1835m2527,1860l2488,1860,2488,1962,2527,1962,2527,1860e" filled="true" fillcolor="#014612" stroked="false">
              <v:path arrowok="t"/>
              <v:fill type="solid"/>
            </v:shape>
            <v:line style="position:absolute" from="2555,1860" to="2555,2234" stroked="true" strokeweight="1.940047pt" strokecolor="#014612">
              <v:stroke dashstyle="solid"/>
            </v:line>
            <v:shape style="position:absolute;left:2583;top:1850;width:137;height:112" coordorigin="2584,1851" coordsize="137,112" path="m2623,1860l2584,1860,2584,1962,2623,1962,2623,1860m2671,1860l2632,1860,2632,1958,2671,1958,2671,1860m2721,1851l2682,1851,2682,1860,2721,1860,2721,1851e" filled="true" fillcolor="#014612" stroked="false">
              <v:path arrowok="t"/>
              <v:fill type="solid"/>
            </v:shape>
            <v:line style="position:absolute" from="2749,1860" to="2749,2168" stroked="true" strokeweight="1.940047pt" strokecolor="#014612">
              <v:stroke dashstyle="solid"/>
            </v:line>
            <v:line style="position:absolute" from="2797,1549" to="2797,1860" stroked="true" strokeweight="1.940047pt" strokecolor="#014612">
              <v:stroke dashstyle="solid"/>
            </v:line>
            <v:line style="position:absolute" from="2845,1860" to="2845,2223" stroked="true" strokeweight="1.940047pt" strokecolor="#014612">
              <v:stroke dashstyle="solid"/>
            </v:line>
            <v:line style="position:absolute" from="2893,1860" to="2893,2102" stroked="true" strokeweight="1.940047pt" strokecolor="#014612">
              <v:stroke dashstyle="solid"/>
            </v:line>
            <v:line style="position:absolute" from="2943,1629" to="2943,1860" stroked="true" strokeweight="1.940047pt" strokecolor="#014612">
              <v:stroke dashstyle="solid"/>
            </v:line>
            <v:line style="position:absolute" from="2991,1860" to="2991,2234" stroked="true" strokeweight="1.940047pt" strokecolor="#014612">
              <v:stroke dashstyle="solid"/>
            </v:line>
            <v:rect style="position:absolute;left:3019;top:1754;width:39;height:105" filled="true" fillcolor="#014612" stroked="false">
              <v:fill type="solid"/>
            </v:rect>
            <v:line style="position:absolute" from="3087,1860" to="3087,2408" stroked="true" strokeweight="1.940047pt" strokecolor="#014612">
              <v:stroke dashstyle="solid"/>
            </v:line>
            <v:shape style="position:absolute;left:3118;top:1761;width:87;height:224" coordorigin="3118,1762" coordsize="87,224" path="m3157,1860l3118,1860,3118,1985,3157,1985,3157,1860m3205,1762l3166,1762,3166,1860,3205,1860,3205,1762e" filled="true" fillcolor="#014612" stroked="false">
              <v:path arrowok="t"/>
              <v:fill type="solid"/>
            </v:shape>
            <v:line style="position:absolute" from="3233,1860" to="3233,2147" stroked="true" strokeweight="1.940047pt" strokecolor="#014612">
              <v:stroke dashstyle="solid"/>
            </v:line>
            <v:line style="position:absolute" from="3281,1417" to="3281,1860" stroked="true" strokeweight="1.940047pt" strokecolor="#014612">
              <v:stroke dashstyle="solid"/>
            </v:line>
            <v:line style="position:absolute" from="3331,1707" to="3331,1860" stroked="true" strokeweight="1.940047pt" strokecolor="#014612">
              <v:stroke dashstyle="solid"/>
            </v:line>
            <v:line style="position:absolute" from="3379,1860" to="3379,2072" stroked="true" strokeweight="1.940047pt" strokecolor="#014612">
              <v:stroke dashstyle="solid"/>
            </v:line>
            <v:line style="position:absolute" from="3427,1629" to="3427,1860" stroked="true" strokeweight="1.940047pt" strokecolor="#014612">
              <v:stroke dashstyle="solid"/>
            </v:line>
            <v:shape style="position:absolute;left:3455;top:1850;width:90;height:58" coordorigin="3456,1851" coordsize="90,58" path="m3495,1860l3456,1860,3456,1908,3495,1908,3495,1860m3545,1851l3506,1851,3506,1860,3545,1860,3545,1851e" filled="true" fillcolor="#014612" stroked="false">
              <v:path arrowok="t"/>
              <v:fill type="solid"/>
            </v:shape>
            <v:line style="position:absolute" from="3573,1483" to="3573,1860" stroked="true" strokeweight="1.940047pt" strokecolor="#014612">
              <v:stroke dashstyle="solid"/>
            </v:line>
            <v:rect style="position:absolute;left:3601;top:1839;width:39;height:21" filled="true" fillcolor="#014612" stroked="false">
              <v:fill type="solid"/>
            </v:rect>
            <v:line style="position:absolute" from="3669,1860" to="3669,2086" stroked="true" strokeweight="1.940047pt" strokecolor="#014612">
              <v:stroke dashstyle="solid"/>
            </v:line>
            <v:rect style="position:absolute;left:3700;top:1859;width:39;height:80" filled="true" fillcolor="#014612" stroked="false">
              <v:fill type="solid"/>
            </v:rect>
            <v:line style="position:absolute" from="3767,1860" to="3767,2255" stroked="true" strokeweight="1.940047pt" strokecolor="#014612">
              <v:stroke dashstyle="solid"/>
            </v:line>
            <v:shape style="position:absolute;left:3795;top:1768;width:87;height:92" coordorigin="3796,1768" coordsize="87,92" path="m3835,1768l3796,1768,3796,1860,3835,1860,3835,1768m3883,1780l3844,1780,3844,1860,3883,1860,3883,1780e" filled="true" fillcolor="#014612" stroked="false">
              <v:path arrowok="t"/>
              <v:fill type="solid"/>
            </v:shape>
            <v:line style="position:absolute" from="3913,1700" to="3913,1860" stroked="true" strokeweight="1.940047pt" strokecolor="#014612">
              <v:stroke dashstyle="solid"/>
            </v:line>
            <v:line style="position:absolute" from="3961,1860" to="3961,2864" stroked="true" strokeweight="1.940047pt" strokecolor="#014612">
              <v:stroke dashstyle="solid"/>
            </v:line>
            <v:line style="position:absolute" from="4009,1860" to="4009,3028" stroked="true" strokeweight="1.940047pt" strokecolor="#014612">
              <v:stroke dashstyle="solid"/>
            </v:line>
            <v:rect style="position:absolute;left:4037;top:1859;width:39;height:60" filled="true" fillcolor="#014612" stroked="false">
              <v:fill type="solid"/>
            </v:rect>
            <v:line style="position:absolute" from="4105,1860" to="4105,2188" stroked="true" strokeweight="1.940047pt" strokecolor="#014612">
              <v:stroke dashstyle="solid"/>
            </v:line>
            <v:shape style="position:absolute;left:714;top:2363;width:6576;height:836" coordorigin="715,2364" coordsize="6576,836" path="m738,1063l6991,1063m738,666l6991,666m738,269l6991,269e" filled="false" stroked="true" strokeweight=".713267pt" strokecolor="#d9d9d9">
              <v:path arrowok="t"/>
              <v:stroke dashstyle="solid"/>
            </v:shape>
            <v:line style="position:absolute" from="4155,-35" to="4155,1860" stroked="true" strokeweight="1.940047pt" strokecolor="#014612">
              <v:stroke dashstyle="solid"/>
            </v:line>
            <v:line style="position:absolute" from="4203,1860" to="4203,2563" stroked="true" strokeweight="1.940047pt" strokecolor="#014612">
              <v:stroke dashstyle="solid"/>
            </v:line>
            <v:line style="position:absolute" from="4251,1508" to="4251,1860" stroked="true" strokeweight="1.940047pt" strokecolor="#014612">
              <v:stroke dashstyle="solid"/>
            </v:line>
            <v:line style="position:absolute" from="4299,1695" to="4299,1860" stroked="true" strokeweight="1.940047pt" strokecolor="#014612">
              <v:stroke dashstyle="solid"/>
            </v:line>
            <v:rect style="position:absolute;left:4330;top:1859;width:39;height:26" filled="true" fillcolor="#014612" stroked="false">
              <v:fill type="solid"/>
            </v:rect>
            <v:line style="position:absolute" from="4397,1860" to="4397,2275" stroked="true" strokeweight="1.940047pt" strokecolor="#014612">
              <v:stroke dashstyle="solid"/>
            </v:line>
            <v:rect style="position:absolute;left:4425;top:1814;width:39;height:46" filled="true" fillcolor="#014612" stroked="false">
              <v:fill type="solid"/>
            </v:rect>
            <v:line style="position:absolute" from="4543,1860" to="4543,2325" stroked="true" strokeweight="1.940047pt" strokecolor="#014612">
              <v:stroke dashstyle="solid"/>
            </v:line>
            <v:line style="position:absolute" from="4591,1351" to="4591,1860" stroked="true" strokeweight="1.940047pt" strokecolor="#014612">
              <v:stroke dashstyle="solid"/>
            </v:line>
            <v:line style="position:absolute" from="4639,1527" to="4639,1860" stroked="true" strokeweight="1.940047pt" strokecolor="#014612">
              <v:stroke dashstyle="solid"/>
            </v:line>
            <v:line style="position:absolute" from="4687,1447" to="4687,1860" stroked="true" strokeweight="1.940047pt" strokecolor="#014612">
              <v:stroke dashstyle="solid"/>
            </v:line>
            <v:shape style="position:absolute;left:4718;top:1725;width:233;height:135" coordorigin="4718,1725" coordsize="233,135" path="m4757,1725l4718,1725,4718,1860,4757,1860,4757,1725m4805,1837l4766,1837,4766,1860,4805,1860,4805,1837m4853,1741l4814,1741,4814,1860,4853,1860,4853,1741m4901,1841l4862,1841,4862,1860,4901,1860,4901,1841m4951,1736l4912,1736,4912,1860,4951,1860,4951,1736e" filled="true" fillcolor="#014612" stroked="false">
              <v:path arrowok="t"/>
              <v:fill type="solid"/>
            </v:shape>
            <v:line style="position:absolute" from="4979,1547" to="4979,1860" stroked="true" strokeweight="1.940047pt" strokecolor="#014612">
              <v:stroke dashstyle="solid"/>
            </v:line>
            <v:rect style="position:absolute;left:5008;top:1859;width:39;height:119" filled="true" fillcolor="#014612" stroked="false">
              <v:fill type="solid"/>
            </v:rect>
            <v:line style="position:absolute" from="5075,1860" to="5075,2015" stroked="true" strokeweight="1.940047pt" strokecolor="#014612">
              <v:stroke dashstyle="solid"/>
            </v:line>
            <v:rect style="position:absolute;left:5103;top:1775;width:39;height:85" filled="true" fillcolor="#014612" stroked="false">
              <v:fill type="solid"/>
            </v:rect>
            <v:line style="position:absolute" from="5173,1714" to="5173,1860" stroked="true" strokeweight="1.940047pt" strokecolor="#014612">
              <v:stroke dashstyle="solid"/>
            </v:line>
            <v:rect style="position:absolute;left:5201;top:1859;width:39;height:12" filled="true" fillcolor="#014612" stroked="false">
              <v:fill type="solid"/>
            </v:rect>
            <v:line style="position:absolute" from="5269,1205" to="5269,1860" stroked="true" strokeweight="1.940047pt" strokecolor="#014612">
              <v:stroke dashstyle="solid"/>
            </v:line>
            <v:line style="position:absolute" from="5317,1714" to="5317,1860" stroked="true" strokeweight="1.940047pt" strokecolor="#014612">
              <v:stroke dashstyle="solid"/>
            </v:line>
            <v:shape style="position:absolute;left:5347;top:1779;width:87;height:80" coordorigin="5348,1780" coordsize="87,80" path="m5387,1848l5348,1848,5348,1860,5387,1860,5387,1848m5435,1780l5396,1780,5396,1860,5435,1860,5435,1780e" filled="true" fillcolor="#014612" stroked="false">
              <v:path arrowok="t"/>
              <v:fill type="solid"/>
            </v:shape>
            <v:line style="position:absolute" from="5463,1711" to="5463,1860" stroked="true" strokeweight="1.940047pt" strokecolor="#014612">
              <v:stroke dashstyle="solid"/>
            </v:line>
            <v:shape style="position:absolute;left:5491;top:1846;width:89;height:85" coordorigin="5492,1846" coordsize="89,85" path="m5531,1846l5492,1846,5492,1860,5531,1860,5531,1846m5581,1860l5542,1860,5542,1930,5581,1930,5581,1860e" filled="true" fillcolor="#014612" stroked="false">
              <v:path arrowok="t"/>
              <v:fill type="solid"/>
            </v:shape>
            <v:line style="position:absolute" from="5609,1860" to="5609,2204" stroked="true" strokeweight="1.940047pt" strokecolor="#014612">
              <v:stroke dashstyle="solid"/>
            </v:line>
            <v:shape style="position:absolute;left:5637;top:1859;width:87;height:124" coordorigin="5638,1860" coordsize="87,124" path="m5677,1860l5638,1860,5638,1862,5677,1862,5677,1860m5725,1860l5686,1860,5686,1983,5725,1983,5725,1860e" filled="true" fillcolor="#014612" stroked="false">
              <v:path arrowok="t"/>
              <v:fill type="solid"/>
            </v:shape>
            <v:line style="position:absolute" from="5803,1447" to="5803,1860" stroked="true" strokeweight="1.940047pt" strokecolor="#014612">
              <v:stroke dashstyle="solid"/>
            </v:line>
            <v:shape style="position:absolute;left:5831;top:1727;width:332;height:249" coordorigin="5832,1727" coordsize="332,249" path="m5871,1860l5832,1860,5832,1976,5871,1976,5871,1860m5919,1787l5880,1787,5880,1860,5919,1860,5919,1787m5969,1857l5930,1857,5930,1860,5969,1860,5969,1857m6017,1782l5978,1782,5978,1860,6017,1860,6017,1782m6065,1727l6026,1727,6026,1860,6065,1860,6065,1727m6113,1855l6074,1855,6074,1860,6113,1860,6113,1855m6163,1860l6124,1860,6124,1949,6163,1949,6163,1860e" filled="true" fillcolor="#014612" stroked="false">
              <v:path arrowok="t"/>
              <v:fill type="solid"/>
            </v:shape>
            <v:line style="position:absolute" from="6191,1648" to="6191,1860" stroked="true" strokeweight="1.940047pt" strokecolor="#014612">
              <v:stroke dashstyle="solid"/>
            </v:line>
            <v:shape style="position:absolute;left:6220;top:1757;width:185;height:156" coordorigin="6220,1757" coordsize="185,156" path="m6259,1839l6220,1839,6220,1860,6259,1860,6259,1839m6307,1757l6268,1757,6268,1860,6307,1860,6307,1757m6355,1860l6316,1860,6316,1912,6355,1912,6355,1860m6405,1798l6366,1798,6366,1860,6405,1860,6405,1798e" filled="true" fillcolor="#014612" stroked="false">
              <v:path arrowok="t"/>
              <v:fill type="solid"/>
            </v:shape>
            <v:line style="position:absolute" from="6433,1860" to="6433,2093" stroked="true" strokeweight="1.940047pt" strokecolor="#014612">
              <v:stroke dashstyle="solid"/>
            </v:line>
            <v:line style="position:absolute" from="6481,1664" to="6481,1860" stroked="true" strokeweight="1.930537pt" strokecolor="#014612">
              <v:stroke dashstyle="solid"/>
            </v:line>
            <v:line style="position:absolute" from="6529,1860" to="6529,2024" stroked="true" strokeweight="1.949557pt" strokecolor="#014612">
              <v:stroke dashstyle="solid"/>
            </v:line>
            <v:shape style="position:absolute;left:6559;top:1852;width:135;height:48" coordorigin="6560,1853" coordsize="135,48" path="m6599,1853l6560,1853,6560,1860,6599,1860,6599,1853m6695,1860l6656,1860,6656,1901,6695,1901,6695,1860e" filled="true" fillcolor="#014612" stroked="false">
              <v:path arrowok="t"/>
              <v:fill type="solid"/>
            </v:shape>
            <v:line style="position:absolute" from="6723,1670" to="6723,1860" stroked="true" strokeweight="1.940047pt" strokecolor="#014612">
              <v:stroke dashstyle="solid"/>
            </v:line>
            <v:line style="position:absolute" from="6773,1629" to="6773,1860" stroked="true" strokeweight="1.940047pt" strokecolor="#014612">
              <v:stroke dashstyle="solid"/>
            </v:line>
            <v:rect style="position:absolute;left:6801;top:1859;width:39;height:23" filled="true" fillcolor="#014612" stroked="false">
              <v:fill type="solid"/>
            </v:rect>
            <v:line style="position:absolute" from="6869,1684" to="6869,1860" stroked="true" strokeweight="1.940047pt" strokecolor="#014612">
              <v:stroke dashstyle="solid"/>
            </v:line>
            <v:shape style="position:absolute;left:6897;top:1754;width:89;height:105" coordorigin="6898,1755" coordsize="89,105" path="m6937,1762l6898,1762,6898,1860,6937,1860,6937,1762m6987,1755l6948,1755,6948,1860,6987,1860,6987,1755e" filled="true" fillcolor="#014612" stroked="false">
              <v:path arrowok="t"/>
              <v:fill type="solid"/>
            </v:shape>
            <v:shape style="position:absolute;left:769;top:2044;width:6516;height:3221" coordorigin="770,2044" coordsize="6516,3221" path="m790,1889l829,1889,829,1860,790,1860,790,1889xm838,1595l877,1595,877,1860,838,1860,838,1595xm888,1752l927,1752,927,1860,888,1860,888,1752xm936,2077l975,2077,975,1860,936,1860,936,2077xm984,1832l1023,1832,1023,1860,984,1860,984,1832xm1082,2166l1121,2166,1121,1860,1082,1860,1082,2166xm1130,1821l1169,1821,1169,1860,1130,1860,1130,1821xm1178,1812l1217,1812,1217,1860,1178,1860,1178,1812xm1226,1495l1265,1495,1265,1860,1226,1860,1226,1495xm1276,1876l1315,1876,1315,1860,1276,1860,1276,1876xm1324,1670l1363,1670,1363,1860,1324,1860,1324,1670xm1420,1664l1459,1664,1459,1860,1420,1860,1420,1664xm1470,1762l1509,1762,1509,1860,1470,1860,1470,1762xm1518,1759l1557,1759,1557,1860,1518,1860,1518,1759xm1566,1908l1605,1908,1605,1860,1566,1860,1566,1908xm1614,2143l1653,2143,1653,1860,1614,1860,1614,2143xm1664,1684l1701,1684,1701,1860,1664,1860,1664,1684xm1712,1944l1751,1944,1751,1860,1712,1860,1712,1944xm1760,1736l1799,1736,1799,1860,1760,1860,1760,1736xm1808,1960l1847,1960,1847,1860,1808,1860,1808,1960xm1856,2013l1895,2013,1895,1860,1856,1860,1856,2013xm1906,1711l1945,1711,1945,1860,1906,1860,1906,1711xm1954,1768l1993,1768,1993,1860,1954,1860,1954,1768xm2002,1800l2041,1800,2041,1860,2002,1860,2002,1800xm2050,2045l2089,2045,2089,1860,2050,1860,2050,2045xm2100,1732l2139,1732,2139,1860,2100,1860,2100,1732xm2148,1873l2187,1873,2187,1860,2148,1860,2148,1873xm2196,1921l2235,1921,2235,1860,2196,1860,2196,1921xm2244,1648l2283,1648,2283,1860,2244,1860,2244,1648xm2294,1857l2333,1857,2333,1860,2294,1860,2294,1857xm2390,1803l2429,1803,2429,1860,2390,1860,2390,1803xm2438,1835l2477,1835,2477,1860,2438,1860,2438,1835xm2488,1962l2527,1962,2527,1860,2488,1860,2488,1962xm2536,2234l2575,2234,2575,1860,2536,1860,2536,2234xm2584,1962l2623,1962,2623,1860,2584,1860,2584,1962xm2632,1958l2671,1958,2671,1860,2632,1860,2632,1958xm2682,1851l2721,1851,2721,1860,2682,1860,2682,1851xm2730,2168l2769,2168,2769,1860,2730,1860,2730,2168xm2778,1549l2817,1549,2817,1860,2778,1860,2778,1549xm2826,2223l2865,2223,2865,1860,2826,1860,2826,2223xm2874,2102l2913,2102,2913,1860,2874,1860,2874,2102xm2924,1629l2963,1629,2963,1860,2924,1860,2924,1629xm2972,2234l3011,2234,3011,1860,2972,1860,2972,2234xm3020,1755l3059,1755,3059,1860,3020,1860,3020,1755xm3068,2408l3107,2408,3107,1860,3068,1860,3068,2408xm3118,1985l3157,1985,3157,1860,3118,1860,3118,1985xm3166,1762l3205,1762,3205,1860,3166,1860,3166,1762xm3214,2147l3253,2147,3253,1860,3214,1860,3214,2147xm3262,1417l3301,1417,3301,1860,3262,1860,3262,1417xm3312,1707l3351,1707,3351,1860,3312,1860,3312,1707xm3360,2072l3399,2072,3399,1860,3360,1860,3360,2072xm3408,1629l3447,1629,3447,1860,3408,1860,3408,1629xm3456,1908l3495,1908,3495,1860,3456,1860,3456,1908xm3506,1851l3545,1851,3545,1860,3506,1860,3506,1851xm3554,1483l3593,1483,3593,1860,3554,1860,3554,1483xm3602,1839l3641,1839,3641,1860,3602,1860,3602,1839xm3650,2086l3689,2086,3689,1860,3650,1860,3650,2086xm3700,1940l3739,1940,3739,1860,3700,1860,3700,1940xm3748,2255l3787,2255,3787,1860,3748,1860,3748,2255xm3796,1768l3835,1768,3835,1860,3796,1860,3796,1768xm3844,1780l3883,1780,3883,1860,3844,1860,3844,1780xm3894,1700l3933,1700,3933,1860,3894,1860,3894,1700xm3942,2864l3981,2864,3981,1860,3942,1860,3942,2864xm3990,3028l4029,3028,4029,1860,3990,1860,3990,3028xm4038,1919l4077,1919,4077,1860,4038,1860,4038,1919xm4086,2188l4125,2188,4125,1860,4086,1860,4086,2188xm4136,-35l4175,-35,4175,1860,4136,1860,4136,-35xm4184,2563l4223,2563,4223,1860,4184,1860,4184,2563xm4232,1508l4271,1508,4271,1860,4232,1860,4232,1508xm4280,1695l4319,1695,4319,1860,4280,1860,4280,1695xm4330,1885l4369,1885,4369,1860,4330,1860,4330,1885xm4378,2275l4417,2275,4417,1860,4378,1860,4378,2275xm4426,1814l4465,1814,4465,1860,4426,1860,4426,1814xm4524,2325l4563,2325,4563,1860,4524,1860,4524,2325xm4572,1351l4611,1351,4611,1860,4572,1860,4572,1351xm4620,1527l4659,1527,4659,1860,4620,1860,4620,1527xm4668,1447l4707,1447,4707,1860,4668,1860,4668,1447xm4718,1725l4757,1725,4757,1860,4718,1860,4718,1725xm4766,1837l4805,1837,4805,1860,4766,1860,4766,1837xm4814,1741l4853,1741,4853,1860,4814,1860,4814,1741xm4862,1841l4901,1841,4901,1860,4862,1860,4862,1841xm4912,1736l4951,1736,4951,1860,4912,1860,4912,1736xm4960,1547l4999,1547,4999,1860,4960,1860,4960,1547xm5008,1978l5047,1978,5047,1860,5008,1860,5008,1978xm5056,2015l5095,2015,5095,1860,5056,1860,5056,2015xm5104,1775l5143,1775,5143,1860,5104,1860,5104,1775xm5154,1714l5193,1714,5193,1860,5154,1860,5154,1714xm5202,1871l5241,1871,5241,1860,5202,1860,5202,1871xm5250,1205l5289,1205,5289,1860,5250,1860,5250,1205xm5298,1714l5337,1714,5337,1860,5298,1860,5298,1714xm5348,1848l5387,1848,5387,1860,5348,1860,5348,1848xm5396,1780l5435,1780,5435,1860,5396,1860,5396,1780xm5444,1711l5483,1711,5483,1860,5444,1860,5444,1711xm5492,1846l5531,1846,5531,1860,5492,1860,5492,1846xm5542,1930l5581,1930,5581,1860,5542,1860,5542,1930xm5590,2204l5629,2204,5629,1860,5590,1860,5590,2204xm5638,1862l5677,1862,5677,1860,5638,1860,5638,1862xm5686,1983l5725,1983,5725,1860,5686,1860,5686,1983xm5784,1447l5823,1447,5823,1860,5784,1860,5784,1447xm5832,1976l5871,1976,5871,1860,5832,1860,5832,1976xm5880,1787l5919,1787,5919,1860,5880,1860,5880,1787xm5930,1857l5969,1857,5969,1860,5930,1860,5930,1857xm5978,1782l6017,1782,6017,1860,5978,1860,5978,1782xm6026,1727l6065,1727,6065,1860,6026,1860,6026,1727xm6074,1855l6113,1855,6113,1860,6074,1860,6074,1855xm6124,1949l6163,1949,6163,1860,6124,1860,6124,1949xm6172,1648l6211,1648,6211,1860,6172,1860,6172,1648xm6220,1839l6259,1839,6259,1860,6220,1860,6220,1839xm6268,1757l6307,1757,6307,1860,6268,1860,6268,1757xm6316,1912l6355,1912,6355,1860,6316,1860,6316,1912xm6366,1798l6405,1798,6405,1860,6366,1860,6366,1798xm6414,2093l6453,2093,6453,1860,6414,1860,6414,2093xm6462,1664l6501,1664,6501,1860,6462,1860,6462,1664xm6510,2024l6549,2024,6549,1860,6510,1860,6510,2024xm6560,1853l6599,1853,6599,1860,6560,1860,6560,1853xm6656,1901l6695,1901,6695,1860,6656,1860,6656,1901xm6704,1670l6743,1670,6743,1860,6704,1860,6704,1670xm6754,1629l6793,1629,6793,1860,6754,1860,6754,1629xm6802,1883l6841,1883,6841,1860,6802,1860,6802,1883xm6850,1684l6889,1684,6889,1860,6850,1860,6850,1684xm6898,1762l6937,1762,6937,1860,6898,1860,6898,1762xm6948,1755l6987,1755,6987,1860,6948,1860,6948,1755xe" filled="false" stroked="true" strokeweight=".475512pt" strokecolor="#014612">
              <v:path arrowok="t"/>
              <v:stroke dashstyle="solid"/>
            </v:shape>
            <v:line style="position:absolute" from="738,1860" to="6991,1860" stroked="true" strokeweight=".713282pt" strokecolor="#d9d9d9">
              <v:stroke dashstyle="solid"/>
            </v:line>
            <v:shape style="position:absolute;left:3894;top:2044;width:3116;height:3068" coordorigin="3894,2044" coordsize="3116,3068" path="m3960,2864l3848,2882,3762,2882m4154,-35l4223,100,4309,100m6432,2093l6165,2282m6724,1670l6407,1385e" filled="false" stroked="true" strokeweight=".713267pt" strokecolor="#a6a6a6">
              <v:path arrowok="t"/>
              <v:stroke dashstyle="solid"/>
            </v:shape>
            <w10:wrap type="none"/>
          </v:group>
        </w:pict>
      </w:r>
      <w:r>
        <w:rPr/>
        <w:pict>
          <v:line style="position:absolute;mso-position-horizontal-relative:page;mso-position-vertical-relative:paragraph;z-index:251706368" from="36.879993pt,-6.412551pt" to="349.565128pt,-6.412551pt" stroked="true" strokeweight=".713282pt" strokecolor="#d9d9d9">
            <v:stroke dashstyle="solid"/>
            <w10:wrap type="none"/>
          </v:line>
        </w:pict>
      </w:r>
      <w:r>
        <w:rPr>
          <w:rFonts w:ascii="Gill Sans MT"/>
          <w:w w:val="115"/>
          <w:sz w:val="17"/>
        </w:rPr>
        <w:t>Tariffs paused</w:t>
      </w:r>
    </w:p>
    <w:p>
      <w:pPr>
        <w:pStyle w:val="Heading4"/>
        <w:spacing w:before="103"/>
        <w:ind w:left="1574" w:right="0"/>
        <w:jc w:val="left"/>
      </w:pPr>
      <w:r>
        <w:rPr/>
        <w:br w:type="column"/>
      </w:r>
      <w:r>
        <w:rPr>
          <w:w w:val="110"/>
        </w:rPr>
        <w:t>U.S.</w:t>
      </w:r>
      <w:r>
        <w:rPr>
          <w:spacing w:val="-25"/>
          <w:w w:val="110"/>
        </w:rPr>
        <w:t> </w:t>
      </w:r>
      <w:r>
        <w:rPr>
          <w:w w:val="110"/>
        </w:rPr>
        <w:t>Stock</w:t>
      </w:r>
      <w:r>
        <w:rPr>
          <w:spacing w:val="-26"/>
          <w:w w:val="110"/>
        </w:rPr>
        <w:t> </w:t>
      </w:r>
      <w:r>
        <w:rPr>
          <w:w w:val="110"/>
        </w:rPr>
        <w:t>Market</w:t>
      </w:r>
      <w:r>
        <w:rPr>
          <w:spacing w:val="-23"/>
          <w:w w:val="110"/>
        </w:rPr>
        <w:t> </w:t>
      </w:r>
      <w:r>
        <w:rPr>
          <w:w w:val="110"/>
        </w:rPr>
        <w:t>Return</w:t>
      </w:r>
    </w:p>
    <w:p>
      <w:pPr>
        <w:pStyle w:val="BodyText"/>
        <w:spacing w:before="1"/>
        <w:rPr>
          <w:rFonts w:ascii="Gill Sans MT"/>
          <w:sz w:val="28"/>
        </w:rPr>
      </w:pPr>
    </w:p>
    <w:p>
      <w:pPr>
        <w:spacing w:before="1"/>
        <w:ind w:left="163" w:right="0" w:firstLine="0"/>
        <w:jc w:val="left"/>
        <w:rPr>
          <w:rFonts w:ascii="Gill Sans MT"/>
          <w:sz w:val="20"/>
        </w:rPr>
      </w:pPr>
      <w:r>
        <w:rPr/>
        <w:pict>
          <v:line style="position:absolute;mso-position-horizontal-relative:page;mso-position-vertical-relative:paragraph;z-index:251701248" from="405.389343pt,6.346194pt" to="703.142694pt,6.346194pt" stroked="true" strokeweight=".713282pt" strokecolor="#aeabab">
            <v:stroke dashstyle="solid"/>
            <w10:wrap type="none"/>
          </v:line>
        </w:pict>
      </w:r>
      <w:r>
        <w:rPr>
          <w:rFonts w:ascii="Gill Sans MT"/>
          <w:w w:val="110"/>
          <w:sz w:val="20"/>
        </w:rPr>
        <w:t>8%</w:t>
      </w:r>
    </w:p>
    <w:p>
      <w:pPr>
        <w:spacing w:before="147"/>
        <w:ind w:left="163" w:right="0" w:firstLine="0"/>
        <w:jc w:val="left"/>
        <w:rPr>
          <w:rFonts w:ascii="Gill Sans MT"/>
          <w:sz w:val="20"/>
        </w:rPr>
      </w:pPr>
      <w:r>
        <w:rPr/>
        <w:pict>
          <v:group style="position:absolute;margin-left:405.175385pt;margin-top:4.045430pt;width:298.3pt;height:124.3pt;mso-position-horizontal-relative:page;mso-position-vertical-relative:paragraph;z-index:-266998784" coordorigin="8104,81" coordsize="5966,2486">
            <v:shape style="position:absolute;left:954;top:2377;width:6262;height:2391" coordorigin="955,2377" coordsize="6262,2391" path="m8108,2546l14063,2546m8108,2167l14063,2167m8108,1788l14063,1788m8108,1410l14063,1410m8108,273l14063,273m8108,652l14063,652e" filled="false" stroked="true" strokeweight=".713289pt" strokecolor="#aeabab">
              <v:path arrowok="t"/>
              <v:stroke dashstyle="solid"/>
            </v:shape>
            <v:shape style="position:absolute;left:8124;top:107;width:5924;height:2016" coordorigin="8125,107" coordsize="5924,2016" path="m8125,653l8157,667,8191,541,8289,491,8321,596,8355,584,8387,584,8422,731,8520,712,8552,689,8586,516,8618,525,8650,434,8750,434,8782,338,8817,290,8848,242,8880,265,8981,406,9013,320,9045,363,9079,304,9111,354,9211,429,9243,356,9275,313,9309,283,9341,377,9440,313,9474,320,9506,352,9540,247,9572,247,9670,247,9704,219,9736,208,9771,258,9803,445,9901,495,9935,543,9967,539,9999,687,10033,541,10131,717,10165,831,10197,724,10229,902,10264,852,10362,1109,10394,1164,10428,1121,10460,1253,10494,1055,10592,984,10624,1084,10659,979,10690,1000,10725,998,10823,824,10855,815,10889,920,10921,959,10955,1141,11053,1100,11085,1064,11120,991,11152,1452,11183,1963,11284,1986,11316,2123,11350,1358,11382,1671,11414,1520,11514,1450,11546,1461,11578,1641,11613,1623,11644,1623,11743,1824,11777,1612,11809,1468,11843,1290,11875,1230,11973,1221,12007,1169,12039,1160,12074,1105,12106,963,12204,1018,12238,1091,12270,1052,12304,986,12336,991,12434,692,12468,623,12500,616,12532,580,12567,509,12665,502,12699,537,12731,703,12763,705,12797,765,12895,765,12927,571,12962,626,12993,591,13028,591,13126,555,13158,491,13192,489,13224,532,13258,432,13356,422,13388,372,13423,397,13455,368,13487,482,13587,388,13619,470,13653,466,13685,466,13717,486,13817,395,13849,283,13881,295,13916,208,13948,160,14048,107e" filled="false" stroked="true" strokeweight="2.139851pt" strokecolor="#014612">
              <v:path arrowok="t"/>
              <v:stroke dashstyle="solid"/>
            </v:shape>
            <v:shape style="position:absolute;left:8124;top:207;width:5924;height:1865" coordorigin="8125,208" coordsize="5924,1865" path="m8125,653l8157,667,8191,541,8289,491,8321,596,8355,584,8387,584,8422,731,8520,712,8552,689,8586,516,8618,525,8650,434,8750,434,8782,338,8817,290,8848,242,8880,265,8981,406,9013,320,9045,363,9079,304,9111,354,9211,429,9243,356,9275,313,9309,283,9341,377,9440,313,9474,320,9506,352,9540,247,9572,247,9670,247,9704,219,9736,208,9771,258,9803,445,9901,495,9935,543,9967,539,9999,687,10033,541,10131,717,10165,831,10197,724,10229,902,10264,852,10362,1109,10394,1164,10428,1121,10460,1253,10494,1055,10592,984,10624,1084,10659,979,10690,1000,10725,998,10823,824,10855,815,10889,920,10921,959,10955,1141,11053,1100,11085,1064,11120,991,11152,1452,11183,1452,11284,1479,11316,1623,11350,1623,11382,1924,11414,1778,11514,1710,11546,1721,11578,1897,11613,1879,11644,1879,11743,2073,11777,1865,11809,1728,11843,1555,11875,1497,11973,1488,12007,1436,12039,1429,12074,1377,12106,1237,12204,1292,12238,1361,12270,1324,12304,1260,12336,1265,12434,975,12468,906,12500,902,12532,865,12567,797,12665,792,12699,824,12731,986,12763,988,12797,1046,12895,1046,12927,856,12962,911,12993,877,13028,877,13126,842,13158,781,13192,778,13224,820,13258,721,13356,712,13388,664,13423,689,13455,660,13487,772,13587,680,13619,758,13653,756,13685,756,13717,776,13817,687,13849,578,13881,589,13916,505,13948,459,14048,409e" filled="false" stroked="true" strokeweight="2.139851pt" strokecolor="#3c6c48">
              <v:path arrowok="t"/>
              <v:stroke dashstyle="dash"/>
            </v:shape>
            <v:shape style="position:absolute;left:8124;top:207;width:5924;height:2338" coordorigin="8125,208" coordsize="5924,2338" path="m8125,653l8157,667,8191,541,8289,491,8321,596,8355,584,8387,584,8422,731,8520,712,8552,689,8586,516,8618,525,8650,434,8750,434,8782,338,8817,290,8848,242,8880,265,8981,406,9013,320,9045,363,9079,304,9111,354,9211,429,9243,356,9275,313,9309,283,9341,377,9440,313,9474,320,9506,352,9540,247,9572,247,9670,247,9704,219,9736,208,9771,258,9803,445,9901,495,9935,543,9967,539,9999,687,10033,541,10131,717,10165,831,10197,724,10229,902,10264,852,10362,1109,10394,1164,10428,1121,10460,1253,10494,1055,10592,984,10624,1084,10659,979,10690,1000,10725,998,10823,824,10855,815,10889,920,10921,959,10955,1141,11053,1100,11085,1064,11120,991,11152,1452,11183,1963,11284,1986,11316,2123,11350,2123,11382,2406,11414,2269,11514,2205,11546,2214,11578,2381,11613,2362,11644,2362,11743,2545,11777,2351,11809,2221,11843,2059,11875,2004,11973,1995,12007,1947,12039,1940,12074,1890,12106,1760,12204,1810,12238,1876,12270,1842,12304,1780,12336,1785,12434,1511,12468,1450,12500,1445,12532,1411,12567,1345,12665,1340,12699,1372,12731,1523,12763,1525,12797,1580,12895,1580,12927,1402,12962,1454,12993,1422,13028,1422,13126,1388,13158,1329,13192,1329,13224,1367,13258,1274,13356,1267,13388,1221,13423,1244,13455,1217,13487,1322,13587,1235,13619,1310,13653,1306,13685,1306,13717,1326,13817,1242,13849,1139,13881,1151,13916,1071,13948,1027,14048,979e" filled="false" stroked="true" strokeweight="2.139853pt" strokecolor="#6d9276">
              <v:path arrowok="t"/>
              <v:stroke dashstyle="dot"/>
            </v:shape>
            <v:shape style="position:absolute;left:6889;top:2182;width:310;height:1400" coordorigin="6890,2183" coordsize="310,1400" path="m14047,106l13837,88,13752,88m14047,408l13960,732m14047,978l13876,1419e" filled="false" stroked="true" strokeweight=".713289pt" strokecolor="#aeabab">
              <v:path arrowok="t"/>
              <v:stroke dashstyle="solid"/>
            </v:shape>
            <w10:wrap type="none"/>
          </v:group>
        </w:pict>
      </w:r>
      <w:r>
        <w:rPr>
          <w:rFonts w:ascii="Gill Sans MT"/>
          <w:w w:val="110"/>
          <w:sz w:val="20"/>
        </w:rPr>
        <w:t>4%</w:t>
      </w:r>
    </w:p>
    <w:p>
      <w:pPr>
        <w:spacing w:before="147"/>
        <w:ind w:left="163" w:right="0" w:firstLine="0"/>
        <w:jc w:val="left"/>
        <w:rPr>
          <w:rFonts w:ascii="Gill Sans MT"/>
          <w:sz w:val="20"/>
        </w:rPr>
      </w:pPr>
      <w:r>
        <w:rPr>
          <w:rFonts w:ascii="Gill Sans MT"/>
          <w:w w:val="110"/>
          <w:sz w:val="20"/>
        </w:rPr>
        <w:t>0%</w:t>
      </w:r>
    </w:p>
    <w:p>
      <w:pPr>
        <w:pStyle w:val="BodyText"/>
        <w:rPr>
          <w:rFonts w:ascii="Gill Sans MT"/>
        </w:rPr>
      </w:pPr>
      <w:r>
        <w:rPr/>
        <w:br w:type="column"/>
      </w:r>
      <w:r>
        <w:rPr>
          <w:rFonts w:ascii="Gill Sans MT"/>
        </w:rPr>
      </w:r>
    </w:p>
    <w:p>
      <w:pPr>
        <w:pStyle w:val="BodyText"/>
        <w:rPr>
          <w:rFonts w:ascii="Gill Sans MT"/>
        </w:rPr>
      </w:pPr>
    </w:p>
    <w:p>
      <w:pPr>
        <w:pStyle w:val="BodyText"/>
        <w:rPr>
          <w:rFonts w:ascii="Gill Sans MT"/>
        </w:rPr>
      </w:pPr>
    </w:p>
    <w:p>
      <w:pPr>
        <w:spacing w:before="144"/>
        <w:ind w:left="163" w:right="0" w:firstLine="0"/>
        <w:jc w:val="left"/>
        <w:rPr>
          <w:rFonts w:ascii="Gill Sans MT"/>
          <w:sz w:val="20"/>
        </w:rPr>
      </w:pPr>
      <w:r>
        <w:rPr>
          <w:rFonts w:ascii="Gill Sans MT"/>
          <w:w w:val="115"/>
          <w:sz w:val="20"/>
        </w:rPr>
        <w:t>5.75%</w:t>
      </w:r>
    </w:p>
    <w:p>
      <w:pPr>
        <w:spacing w:after="0"/>
        <w:jc w:val="left"/>
        <w:rPr>
          <w:rFonts w:ascii="Gill Sans MT"/>
          <w:sz w:val="20"/>
        </w:rPr>
        <w:sectPr>
          <w:type w:val="continuous"/>
          <w:pgSz w:w="14400" w:h="10800" w:orient="landscape"/>
          <w:pgMar w:top="180" w:bottom="280" w:left="20" w:right="40"/>
          <w:cols w:num="4" w:equalWidth="0">
            <w:col w:w="574" w:space="743"/>
            <w:col w:w="4458" w:space="1708"/>
            <w:col w:w="4980" w:space="515"/>
            <w:col w:w="1362"/>
          </w:cols>
        </w:sectPr>
      </w:pPr>
    </w:p>
    <w:p>
      <w:pPr>
        <w:spacing w:before="1"/>
        <w:ind w:left="275" w:right="0" w:firstLine="0"/>
        <w:jc w:val="left"/>
        <w:rPr>
          <w:rFonts w:ascii="Gill Sans MT"/>
          <w:sz w:val="20"/>
        </w:rPr>
      </w:pPr>
      <w:r>
        <w:rPr>
          <w:rFonts w:ascii="Gill Sans MT"/>
          <w:w w:val="110"/>
          <w:sz w:val="20"/>
        </w:rPr>
        <w:t>4%</w:t>
      </w:r>
    </w:p>
    <w:p>
      <w:pPr>
        <w:spacing w:before="166"/>
        <w:ind w:left="275" w:right="0" w:firstLine="0"/>
        <w:jc w:val="left"/>
        <w:rPr>
          <w:rFonts w:ascii="Gill Sans MT"/>
          <w:sz w:val="20"/>
        </w:rPr>
      </w:pPr>
      <w:r>
        <w:rPr>
          <w:rFonts w:ascii="Gill Sans MT"/>
          <w:w w:val="110"/>
          <w:sz w:val="20"/>
        </w:rPr>
        <w:t>2%</w:t>
      </w:r>
    </w:p>
    <w:p>
      <w:pPr>
        <w:spacing w:before="166"/>
        <w:ind w:left="275" w:right="0" w:firstLine="0"/>
        <w:jc w:val="left"/>
        <w:rPr>
          <w:rFonts w:ascii="Gill Sans MT"/>
          <w:sz w:val="20"/>
        </w:rPr>
      </w:pPr>
      <w:r>
        <w:rPr>
          <w:rFonts w:ascii="Gill Sans MT"/>
          <w:w w:val="110"/>
          <w:sz w:val="20"/>
        </w:rPr>
        <w:t>0%</w:t>
      </w:r>
    </w:p>
    <w:p>
      <w:pPr>
        <w:spacing w:before="166"/>
        <w:ind w:left="220" w:right="0" w:firstLine="0"/>
        <w:jc w:val="left"/>
        <w:rPr>
          <w:rFonts w:ascii="Gill Sans MT"/>
          <w:sz w:val="20"/>
        </w:rPr>
      </w:pPr>
      <w:r>
        <w:rPr>
          <w:rFonts w:ascii="Gill Sans MT"/>
          <w:sz w:val="20"/>
        </w:rPr>
        <w:t>-2%</w:t>
      </w:r>
    </w:p>
    <w:p>
      <w:pPr>
        <w:spacing w:before="166"/>
        <w:ind w:left="220" w:right="0" w:firstLine="0"/>
        <w:jc w:val="left"/>
        <w:rPr>
          <w:rFonts w:ascii="Gill Sans MT"/>
          <w:sz w:val="20"/>
        </w:rPr>
      </w:pPr>
      <w:r>
        <w:rPr>
          <w:rFonts w:ascii="Gill Sans MT"/>
          <w:sz w:val="20"/>
        </w:rPr>
        <w:t>-4%</w:t>
      </w:r>
    </w:p>
    <w:p>
      <w:pPr>
        <w:pStyle w:val="BodyText"/>
        <w:spacing w:before="9"/>
        <w:rPr>
          <w:rFonts w:ascii="Gill Sans MT"/>
          <w:sz w:val="18"/>
        </w:rPr>
      </w:pPr>
      <w:r>
        <w:rPr/>
        <w:br w:type="column"/>
      </w:r>
      <w:r>
        <w:rPr>
          <w:rFonts w:ascii="Gill Sans MT"/>
          <w:sz w:val="18"/>
        </w:rPr>
      </w:r>
    </w:p>
    <w:p>
      <w:pPr>
        <w:spacing w:before="0"/>
        <w:ind w:left="519" w:right="0" w:firstLine="0"/>
        <w:jc w:val="left"/>
        <w:rPr>
          <w:rFonts w:ascii="Gill Sans MT"/>
          <w:sz w:val="17"/>
        </w:rPr>
      </w:pPr>
      <w:r>
        <w:rPr>
          <w:rFonts w:ascii="Gill Sans MT"/>
          <w:w w:val="115"/>
          <w:sz w:val="17"/>
        </w:rPr>
        <w:t>U.S. attacks Iran</w:t>
      </w: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8"/>
        <w:rPr>
          <w:rFonts w:ascii="Gill Sans MT"/>
        </w:rPr>
      </w:pPr>
    </w:p>
    <w:p>
      <w:pPr>
        <w:spacing w:before="0"/>
        <w:ind w:left="220" w:right="0" w:firstLine="0"/>
        <w:jc w:val="left"/>
        <w:rPr>
          <w:rFonts w:ascii="Gill Sans MT"/>
          <w:sz w:val="17"/>
        </w:rPr>
      </w:pPr>
      <w:r>
        <w:rPr>
          <w:rFonts w:ascii="Gill Sans MT"/>
          <w:w w:val="115"/>
          <w:sz w:val="17"/>
        </w:rPr>
        <w:t>Israel attacks Iran</w:t>
      </w:r>
    </w:p>
    <w:p>
      <w:pPr>
        <w:spacing w:before="147"/>
        <w:ind w:left="332" w:right="0" w:firstLine="0"/>
        <w:jc w:val="left"/>
        <w:rPr>
          <w:rFonts w:ascii="Gill Sans MT"/>
          <w:sz w:val="20"/>
        </w:rPr>
      </w:pPr>
      <w:r>
        <w:rPr/>
        <w:br w:type="column"/>
      </w:r>
      <w:r>
        <w:rPr>
          <w:rFonts w:ascii="Gill Sans MT"/>
          <w:w w:val="105"/>
          <w:sz w:val="20"/>
        </w:rPr>
        <w:t>-4%</w:t>
      </w:r>
    </w:p>
    <w:p>
      <w:pPr>
        <w:spacing w:before="147"/>
        <w:ind w:left="332" w:right="0" w:firstLine="0"/>
        <w:jc w:val="left"/>
        <w:rPr>
          <w:rFonts w:ascii="Gill Sans MT"/>
          <w:sz w:val="20"/>
        </w:rPr>
      </w:pPr>
      <w:r>
        <w:rPr>
          <w:rFonts w:ascii="Gill Sans MT"/>
          <w:sz w:val="20"/>
        </w:rPr>
        <w:t>-8%</w:t>
      </w:r>
    </w:p>
    <w:p>
      <w:pPr>
        <w:spacing w:before="148"/>
        <w:ind w:left="220" w:right="0" w:firstLine="0"/>
        <w:jc w:val="left"/>
        <w:rPr>
          <w:rFonts w:ascii="Gill Sans MT"/>
          <w:sz w:val="20"/>
        </w:rPr>
      </w:pPr>
      <w:r>
        <w:rPr>
          <w:rFonts w:ascii="Gill Sans MT"/>
          <w:w w:val="105"/>
          <w:sz w:val="20"/>
        </w:rPr>
        <w:t>-12%</w:t>
      </w:r>
    </w:p>
    <w:p>
      <w:pPr>
        <w:spacing w:before="147"/>
        <w:ind w:left="220" w:right="0" w:firstLine="0"/>
        <w:jc w:val="left"/>
        <w:rPr>
          <w:rFonts w:ascii="Gill Sans MT"/>
          <w:sz w:val="20"/>
        </w:rPr>
      </w:pPr>
      <w:r>
        <w:rPr>
          <w:rFonts w:ascii="Gill Sans MT"/>
          <w:w w:val="105"/>
          <w:sz w:val="20"/>
        </w:rPr>
        <w:t>-16%</w:t>
      </w:r>
    </w:p>
    <w:p>
      <w:pPr>
        <w:spacing w:line="184" w:lineRule="exact" w:before="147"/>
        <w:ind w:left="220" w:right="0" w:firstLine="0"/>
        <w:jc w:val="left"/>
        <w:rPr>
          <w:rFonts w:ascii="Gill Sans MT"/>
          <w:sz w:val="20"/>
        </w:rPr>
      </w:pPr>
      <w:r>
        <w:rPr>
          <w:rFonts w:ascii="Gill Sans MT"/>
          <w:w w:val="105"/>
          <w:sz w:val="20"/>
        </w:rPr>
        <w:t>-20%</w:t>
      </w:r>
    </w:p>
    <w:p>
      <w:pPr>
        <w:tabs>
          <w:tab w:pos="5586" w:val="left" w:leader="none"/>
        </w:tabs>
        <w:spacing w:before="7"/>
        <w:ind w:left="0" w:right="128" w:firstLine="0"/>
        <w:jc w:val="right"/>
        <w:rPr>
          <w:rFonts w:ascii="Gill Sans MT"/>
          <w:sz w:val="20"/>
        </w:rPr>
      </w:pPr>
      <w:r>
        <w:rPr/>
        <w:br w:type="column"/>
      </w:r>
      <w:r>
        <w:rPr>
          <w:rFonts w:ascii="Gill Sans MT"/>
          <w:w w:val="89"/>
          <w:sz w:val="20"/>
          <w:u w:val="single" w:color="AEABAB"/>
        </w:rPr>
        <w:t> </w:t>
      </w:r>
      <w:r>
        <w:rPr>
          <w:rFonts w:ascii="Gill Sans MT"/>
          <w:sz w:val="20"/>
          <w:u w:val="single" w:color="AEABAB"/>
        </w:rPr>
        <w:tab/>
      </w:r>
      <w:r>
        <w:rPr>
          <w:rFonts w:ascii="Gill Sans MT"/>
          <w:spacing w:val="-2"/>
          <w:w w:val="110"/>
          <w:sz w:val="20"/>
          <w:u w:val="single" w:color="AEABAB"/>
        </w:rPr>
        <w:t>2.58</w:t>
      </w:r>
      <w:r>
        <w:rPr>
          <w:rFonts w:ascii="Gill Sans MT"/>
          <w:spacing w:val="-2"/>
          <w:w w:val="110"/>
          <w:sz w:val="20"/>
        </w:rPr>
        <w:t>%</w:t>
      </w:r>
    </w:p>
    <w:p>
      <w:pPr>
        <w:pStyle w:val="BodyText"/>
        <w:rPr>
          <w:rFonts w:ascii="Gill Sans MT"/>
        </w:rPr>
      </w:pPr>
    </w:p>
    <w:p>
      <w:pPr>
        <w:spacing w:before="176"/>
        <w:ind w:left="0" w:right="185" w:firstLine="0"/>
        <w:jc w:val="right"/>
        <w:rPr>
          <w:rFonts w:ascii="Gill Sans MT"/>
          <w:sz w:val="20"/>
        </w:rPr>
      </w:pPr>
      <w:r>
        <w:rPr>
          <w:rFonts w:ascii="Gill Sans MT"/>
          <w:w w:val="105"/>
          <w:sz w:val="20"/>
        </w:rPr>
        <w:t>-3.45%</w:t>
      </w:r>
    </w:p>
    <w:p>
      <w:pPr>
        <w:spacing w:after="0"/>
        <w:jc w:val="right"/>
        <w:rPr>
          <w:rFonts w:ascii="Gill Sans MT"/>
          <w:sz w:val="20"/>
        </w:rPr>
        <w:sectPr>
          <w:type w:val="continuous"/>
          <w:pgSz w:w="14400" w:h="10800" w:orient="landscape"/>
          <w:pgMar w:top="180" w:bottom="280" w:left="20" w:right="40"/>
          <w:cols w:num="4" w:equalWidth="0">
            <w:col w:w="575" w:space="4674"/>
            <w:col w:w="1801" w:space="209"/>
            <w:col w:w="650" w:space="39"/>
            <w:col w:w="6392"/>
          </w:cols>
        </w:sectPr>
      </w:pPr>
    </w:p>
    <w:p>
      <w:pPr>
        <w:spacing w:before="143"/>
        <w:ind w:left="220" w:right="0" w:firstLine="0"/>
        <w:jc w:val="left"/>
        <w:rPr>
          <w:rFonts w:ascii="Gill Sans MT"/>
          <w:sz w:val="20"/>
        </w:rPr>
      </w:pPr>
      <w:r>
        <w:rPr>
          <w:rFonts w:ascii="Gill Sans MT"/>
          <w:sz w:val="20"/>
        </w:rPr>
        <w:t>-6%</w:t>
      </w:r>
    </w:p>
    <w:p>
      <w:pPr>
        <w:spacing w:before="1"/>
        <w:ind w:left="1653" w:right="0" w:firstLine="0"/>
        <w:jc w:val="left"/>
        <w:rPr>
          <w:rFonts w:ascii="Gill Sans MT"/>
          <w:sz w:val="17"/>
        </w:rPr>
      </w:pPr>
      <w:r>
        <w:rPr/>
        <w:br w:type="column"/>
      </w:r>
      <w:r>
        <w:rPr>
          <w:rFonts w:ascii="Gill Sans MT"/>
          <w:w w:val="115"/>
          <w:sz w:val="17"/>
        </w:rPr>
        <w:t>Tariffs announced</w:t>
      </w:r>
    </w:p>
    <w:p>
      <w:pPr>
        <w:pStyle w:val="BodyText"/>
        <w:spacing w:before="4"/>
        <w:rPr>
          <w:rFonts w:ascii="Gill Sans MT"/>
          <w:sz w:val="21"/>
        </w:rPr>
      </w:pPr>
    </w:p>
    <w:p>
      <w:pPr>
        <w:tabs>
          <w:tab w:pos="1119" w:val="left" w:leader="none"/>
          <w:tab w:pos="2066" w:val="left" w:leader="none"/>
          <w:tab w:pos="3149" w:val="left" w:leader="none"/>
          <w:tab w:pos="4141" w:val="left" w:leader="none"/>
          <w:tab w:pos="5227" w:val="left" w:leader="none"/>
        </w:tabs>
        <w:spacing w:before="0"/>
        <w:ind w:left="57" w:right="0" w:firstLine="0"/>
        <w:jc w:val="left"/>
        <w:rPr>
          <w:rFonts w:ascii="Gill Sans MT"/>
          <w:sz w:val="21"/>
        </w:rPr>
      </w:pPr>
      <w:r>
        <w:rPr>
          <w:rFonts w:ascii="Gill Sans MT"/>
          <w:spacing w:val="-2"/>
          <w:w w:val="221"/>
          <w:sz w:val="21"/>
        </w:rPr>
        <w:t>J</w:t>
      </w:r>
      <w:r>
        <w:rPr>
          <w:rFonts w:ascii="Gill Sans MT"/>
          <w:w w:val="118"/>
          <w:sz w:val="21"/>
        </w:rPr>
        <w:t>a</w:t>
      </w:r>
      <w:r>
        <w:rPr>
          <w:rFonts w:ascii="Gill Sans MT"/>
          <w:spacing w:val="-2"/>
          <w:w w:val="118"/>
          <w:sz w:val="21"/>
        </w:rPr>
        <w:t>n</w:t>
      </w:r>
      <w:r>
        <w:rPr>
          <w:rFonts w:ascii="Gill Sans MT"/>
          <w:spacing w:val="-1"/>
          <w:w w:val="85"/>
          <w:sz w:val="21"/>
        </w:rPr>
        <w:t>-</w:t>
      </w:r>
      <w:r>
        <w:rPr>
          <w:rFonts w:ascii="Gill Sans MT"/>
          <w:spacing w:val="1"/>
          <w:w w:val="112"/>
          <w:sz w:val="21"/>
        </w:rPr>
        <w:t>2</w:t>
      </w:r>
      <w:r>
        <w:rPr>
          <w:rFonts w:ascii="Gill Sans MT"/>
          <w:w w:val="112"/>
          <w:sz w:val="21"/>
        </w:rPr>
        <w:t>5</w:t>
      </w:r>
      <w:r>
        <w:rPr>
          <w:rFonts w:ascii="Gill Sans MT"/>
          <w:sz w:val="21"/>
        </w:rPr>
        <w:tab/>
      </w:r>
      <w:r>
        <w:rPr>
          <w:rFonts w:ascii="Gill Sans MT"/>
          <w:spacing w:val="-2"/>
          <w:w w:val="118"/>
          <w:sz w:val="21"/>
        </w:rPr>
        <w:t>F</w:t>
      </w:r>
      <w:r>
        <w:rPr>
          <w:rFonts w:ascii="Gill Sans MT"/>
          <w:w w:val="111"/>
          <w:sz w:val="21"/>
        </w:rPr>
        <w:t>e</w:t>
      </w:r>
      <w:r>
        <w:rPr>
          <w:rFonts w:ascii="Gill Sans MT"/>
          <w:spacing w:val="-1"/>
          <w:w w:val="112"/>
          <w:sz w:val="21"/>
        </w:rPr>
        <w:t>b</w:t>
      </w:r>
      <w:r>
        <w:rPr>
          <w:rFonts w:ascii="Gill Sans MT"/>
          <w:spacing w:val="-1"/>
          <w:w w:val="85"/>
          <w:sz w:val="21"/>
        </w:rPr>
        <w:t>-</w:t>
      </w:r>
      <w:r>
        <w:rPr>
          <w:rFonts w:ascii="Gill Sans MT"/>
          <w:spacing w:val="-1"/>
          <w:w w:val="112"/>
          <w:sz w:val="21"/>
        </w:rPr>
        <w:t>2</w:t>
      </w:r>
      <w:r>
        <w:rPr>
          <w:rFonts w:ascii="Gill Sans MT"/>
          <w:w w:val="112"/>
          <w:sz w:val="21"/>
        </w:rPr>
        <w:t>5</w:t>
      </w:r>
      <w:r>
        <w:rPr>
          <w:rFonts w:ascii="Gill Sans MT"/>
          <w:sz w:val="21"/>
        </w:rPr>
        <w:tab/>
      </w:r>
      <w:r>
        <w:rPr>
          <w:rFonts w:ascii="Gill Sans MT"/>
          <w:spacing w:val="-2"/>
          <w:w w:val="112"/>
          <w:sz w:val="21"/>
        </w:rPr>
        <w:t>M</w:t>
      </w:r>
      <w:r>
        <w:rPr>
          <w:rFonts w:ascii="Gill Sans MT"/>
          <w:w w:val="107"/>
          <w:sz w:val="21"/>
        </w:rPr>
        <w:t>ar</w:t>
      </w:r>
      <w:r>
        <w:rPr>
          <w:rFonts w:ascii="Gill Sans MT"/>
          <w:spacing w:val="-1"/>
          <w:w w:val="85"/>
          <w:sz w:val="21"/>
        </w:rPr>
        <w:t>-</w:t>
      </w:r>
      <w:r>
        <w:rPr>
          <w:rFonts w:ascii="Gill Sans MT"/>
          <w:spacing w:val="-1"/>
          <w:w w:val="112"/>
          <w:sz w:val="21"/>
        </w:rPr>
        <w:t>2</w:t>
      </w:r>
      <w:r>
        <w:rPr>
          <w:rFonts w:ascii="Gill Sans MT"/>
          <w:w w:val="112"/>
          <w:sz w:val="21"/>
        </w:rPr>
        <w:t>5</w:t>
      </w:r>
      <w:r>
        <w:rPr>
          <w:rFonts w:ascii="Gill Sans MT"/>
          <w:sz w:val="21"/>
        </w:rPr>
        <w:tab/>
      </w:r>
      <w:r>
        <w:rPr>
          <w:rFonts w:ascii="Gill Sans MT"/>
          <w:spacing w:val="-1"/>
          <w:w w:val="98"/>
          <w:sz w:val="21"/>
        </w:rPr>
        <w:t>A</w:t>
      </w:r>
      <w:r>
        <w:rPr>
          <w:rFonts w:ascii="Gill Sans MT"/>
          <w:spacing w:val="-1"/>
          <w:w w:val="112"/>
          <w:sz w:val="21"/>
        </w:rPr>
        <w:t>p</w:t>
      </w:r>
      <w:r>
        <w:rPr>
          <w:rFonts w:ascii="Gill Sans MT"/>
          <w:spacing w:val="-1"/>
          <w:w w:val="96"/>
          <w:sz w:val="21"/>
        </w:rPr>
        <w:t>r-</w:t>
      </w:r>
      <w:r>
        <w:rPr>
          <w:rFonts w:ascii="Gill Sans MT"/>
          <w:spacing w:val="-2"/>
          <w:w w:val="96"/>
          <w:sz w:val="21"/>
        </w:rPr>
        <w:t>2</w:t>
      </w:r>
      <w:r>
        <w:rPr>
          <w:rFonts w:ascii="Gill Sans MT"/>
          <w:w w:val="112"/>
          <w:sz w:val="21"/>
        </w:rPr>
        <w:t>5</w:t>
      </w:r>
      <w:r>
        <w:rPr>
          <w:rFonts w:ascii="Gill Sans MT"/>
          <w:sz w:val="21"/>
        </w:rPr>
        <w:tab/>
      </w:r>
      <w:r>
        <w:rPr>
          <w:rFonts w:ascii="Gill Sans MT"/>
          <w:spacing w:val="-2"/>
          <w:w w:val="112"/>
          <w:sz w:val="21"/>
        </w:rPr>
        <w:t>M</w:t>
      </w:r>
      <w:r>
        <w:rPr>
          <w:rFonts w:ascii="Gill Sans MT"/>
          <w:w w:val="118"/>
          <w:sz w:val="21"/>
        </w:rPr>
        <w:t>a</w:t>
      </w:r>
      <w:r>
        <w:rPr>
          <w:rFonts w:ascii="Gill Sans MT"/>
          <w:spacing w:val="-2"/>
          <w:w w:val="118"/>
          <w:sz w:val="21"/>
        </w:rPr>
        <w:t>y</w:t>
      </w:r>
      <w:r>
        <w:rPr>
          <w:rFonts w:ascii="Gill Sans MT"/>
          <w:spacing w:val="1"/>
          <w:w w:val="85"/>
          <w:sz w:val="21"/>
        </w:rPr>
        <w:t>-</w:t>
      </w:r>
      <w:r>
        <w:rPr>
          <w:rFonts w:ascii="Gill Sans MT"/>
          <w:spacing w:val="-1"/>
          <w:w w:val="112"/>
          <w:sz w:val="21"/>
        </w:rPr>
        <w:t>2</w:t>
      </w:r>
      <w:r>
        <w:rPr>
          <w:rFonts w:ascii="Gill Sans MT"/>
          <w:w w:val="112"/>
          <w:sz w:val="21"/>
        </w:rPr>
        <w:t>5</w:t>
      </w:r>
      <w:r>
        <w:rPr>
          <w:rFonts w:ascii="Gill Sans MT"/>
          <w:sz w:val="21"/>
        </w:rPr>
        <w:tab/>
      </w:r>
      <w:r>
        <w:rPr>
          <w:rFonts w:ascii="Gill Sans MT"/>
          <w:spacing w:val="-2"/>
          <w:w w:val="221"/>
          <w:sz w:val="21"/>
        </w:rPr>
        <w:t>J</w:t>
      </w:r>
      <w:r>
        <w:rPr>
          <w:rFonts w:ascii="Gill Sans MT"/>
          <w:spacing w:val="1"/>
          <w:w w:val="110"/>
          <w:sz w:val="21"/>
        </w:rPr>
        <w:t>u</w:t>
      </w:r>
      <w:r>
        <w:rPr>
          <w:rFonts w:ascii="Gill Sans MT"/>
          <w:spacing w:val="-2"/>
          <w:w w:val="110"/>
          <w:sz w:val="21"/>
        </w:rPr>
        <w:t>n</w:t>
      </w:r>
      <w:r>
        <w:rPr>
          <w:rFonts w:ascii="Gill Sans MT"/>
          <w:spacing w:val="-1"/>
          <w:w w:val="85"/>
          <w:sz w:val="21"/>
        </w:rPr>
        <w:t>-</w:t>
      </w:r>
      <w:r>
        <w:rPr>
          <w:rFonts w:ascii="Gill Sans MT"/>
          <w:spacing w:val="-1"/>
          <w:w w:val="112"/>
          <w:sz w:val="21"/>
        </w:rPr>
        <w:t>2</w:t>
      </w:r>
      <w:r>
        <w:rPr>
          <w:rFonts w:ascii="Gill Sans MT"/>
          <w:w w:val="112"/>
          <w:sz w:val="21"/>
        </w:rPr>
        <w:t>5</w:t>
      </w:r>
    </w:p>
    <w:p>
      <w:pPr>
        <w:tabs>
          <w:tab w:pos="1240" w:val="left" w:leader="none"/>
          <w:tab w:pos="2151" w:val="left" w:leader="none"/>
          <w:tab w:pos="3191" w:val="left" w:leader="none"/>
          <w:tab w:pos="4145" w:val="left" w:leader="none"/>
          <w:tab w:pos="5189" w:val="left" w:leader="none"/>
        </w:tabs>
        <w:spacing w:before="73"/>
        <w:ind w:left="220" w:right="0" w:firstLine="0"/>
        <w:jc w:val="left"/>
        <w:rPr>
          <w:rFonts w:ascii="Gill Sans MT"/>
          <w:sz w:val="20"/>
        </w:rPr>
      </w:pPr>
      <w:r>
        <w:rPr/>
        <w:br w:type="column"/>
      </w:r>
      <w:r>
        <w:rPr>
          <w:rFonts w:ascii="Gill Sans MT"/>
          <w:spacing w:val="-2"/>
          <w:w w:val="222"/>
          <w:sz w:val="20"/>
        </w:rPr>
        <w:t>J</w:t>
      </w:r>
      <w:r>
        <w:rPr>
          <w:rFonts w:ascii="Gill Sans MT"/>
          <w:w w:val="119"/>
          <w:sz w:val="20"/>
        </w:rPr>
        <w:t>a</w:t>
      </w:r>
      <w:r>
        <w:rPr>
          <w:rFonts w:ascii="Gill Sans MT"/>
          <w:spacing w:val="-2"/>
          <w:w w:val="119"/>
          <w:sz w:val="20"/>
        </w:rPr>
        <w:t>n</w:t>
      </w:r>
      <w:r>
        <w:rPr>
          <w:rFonts w:ascii="Gill Sans MT"/>
          <w:spacing w:val="-1"/>
          <w:w w:val="85"/>
          <w:sz w:val="20"/>
        </w:rPr>
        <w:t>-</w:t>
      </w:r>
      <w:r>
        <w:rPr>
          <w:rFonts w:ascii="Gill Sans MT"/>
          <w:w w:val="113"/>
          <w:sz w:val="20"/>
        </w:rPr>
        <w:t>25</w:t>
      </w:r>
      <w:r>
        <w:rPr>
          <w:rFonts w:ascii="Gill Sans MT"/>
          <w:sz w:val="20"/>
        </w:rPr>
        <w:tab/>
      </w:r>
      <w:r>
        <w:rPr>
          <w:rFonts w:ascii="Gill Sans MT"/>
          <w:spacing w:val="-2"/>
          <w:w w:val="118"/>
          <w:sz w:val="20"/>
        </w:rPr>
        <w:t>F</w:t>
      </w:r>
      <w:r>
        <w:rPr>
          <w:rFonts w:ascii="Gill Sans MT"/>
          <w:w w:val="105"/>
          <w:sz w:val="20"/>
        </w:rPr>
        <w:t>eb</w:t>
      </w:r>
      <w:r>
        <w:rPr>
          <w:rFonts w:ascii="Gill Sans MT"/>
          <w:spacing w:val="-2"/>
          <w:w w:val="105"/>
          <w:sz w:val="20"/>
        </w:rPr>
        <w:t>-</w:t>
      </w:r>
      <w:r>
        <w:rPr>
          <w:rFonts w:ascii="Gill Sans MT"/>
          <w:spacing w:val="-2"/>
          <w:w w:val="113"/>
          <w:sz w:val="20"/>
        </w:rPr>
        <w:t>2</w:t>
      </w:r>
      <w:r>
        <w:rPr>
          <w:rFonts w:ascii="Gill Sans MT"/>
          <w:w w:val="113"/>
          <w:sz w:val="20"/>
        </w:rPr>
        <w:t>5</w:t>
      </w:r>
      <w:r>
        <w:rPr>
          <w:rFonts w:ascii="Gill Sans MT"/>
          <w:sz w:val="20"/>
        </w:rPr>
        <w:tab/>
      </w:r>
      <w:r>
        <w:rPr>
          <w:rFonts w:ascii="Gill Sans MT"/>
          <w:spacing w:val="-3"/>
          <w:w w:val="112"/>
          <w:sz w:val="20"/>
        </w:rPr>
        <w:t>M</w:t>
      </w:r>
      <w:r>
        <w:rPr>
          <w:rFonts w:ascii="Gill Sans MT"/>
          <w:w w:val="105"/>
          <w:sz w:val="20"/>
        </w:rPr>
        <w:t>ar-</w:t>
      </w:r>
      <w:r>
        <w:rPr>
          <w:rFonts w:ascii="Gill Sans MT"/>
          <w:spacing w:val="-2"/>
          <w:w w:val="105"/>
          <w:sz w:val="20"/>
        </w:rPr>
        <w:t>2</w:t>
      </w:r>
      <w:r>
        <w:rPr>
          <w:rFonts w:ascii="Gill Sans MT"/>
          <w:w w:val="113"/>
          <w:sz w:val="20"/>
        </w:rPr>
        <w:t>5</w:t>
      </w:r>
      <w:r>
        <w:rPr>
          <w:rFonts w:ascii="Gill Sans MT"/>
          <w:sz w:val="20"/>
        </w:rPr>
        <w:tab/>
      </w:r>
      <w:r>
        <w:rPr>
          <w:rFonts w:ascii="Gill Sans MT"/>
          <w:spacing w:val="-2"/>
          <w:w w:val="98"/>
          <w:sz w:val="20"/>
        </w:rPr>
        <w:t>A</w:t>
      </w:r>
      <w:r>
        <w:rPr>
          <w:rFonts w:ascii="Gill Sans MT"/>
          <w:spacing w:val="-2"/>
          <w:w w:val="112"/>
          <w:sz w:val="20"/>
        </w:rPr>
        <w:t>p</w:t>
      </w:r>
      <w:r>
        <w:rPr>
          <w:rFonts w:ascii="Gill Sans MT"/>
          <w:spacing w:val="-1"/>
          <w:w w:val="97"/>
          <w:sz w:val="20"/>
        </w:rPr>
        <w:t>r-</w:t>
      </w:r>
      <w:r>
        <w:rPr>
          <w:rFonts w:ascii="Gill Sans MT"/>
          <w:spacing w:val="-2"/>
          <w:w w:val="97"/>
          <w:sz w:val="20"/>
        </w:rPr>
        <w:t>2</w:t>
      </w:r>
      <w:r>
        <w:rPr>
          <w:rFonts w:ascii="Gill Sans MT"/>
          <w:w w:val="113"/>
          <w:sz w:val="20"/>
        </w:rPr>
        <w:t>5</w:t>
      </w:r>
      <w:r>
        <w:rPr>
          <w:rFonts w:ascii="Gill Sans MT"/>
          <w:sz w:val="20"/>
        </w:rPr>
        <w:tab/>
      </w:r>
      <w:r>
        <w:rPr>
          <w:rFonts w:ascii="Gill Sans MT"/>
          <w:spacing w:val="-3"/>
          <w:w w:val="112"/>
          <w:sz w:val="20"/>
        </w:rPr>
        <w:t>M</w:t>
      </w:r>
      <w:r>
        <w:rPr>
          <w:rFonts w:ascii="Gill Sans MT"/>
          <w:w w:val="118"/>
          <w:sz w:val="20"/>
        </w:rPr>
        <w:t>a</w:t>
      </w:r>
      <w:r>
        <w:rPr>
          <w:rFonts w:ascii="Gill Sans MT"/>
          <w:spacing w:val="-2"/>
          <w:w w:val="118"/>
          <w:sz w:val="20"/>
        </w:rPr>
        <w:t>y</w:t>
      </w:r>
      <w:r>
        <w:rPr>
          <w:rFonts w:ascii="Gill Sans MT"/>
          <w:spacing w:val="1"/>
          <w:w w:val="85"/>
          <w:sz w:val="20"/>
        </w:rPr>
        <w:t>-</w:t>
      </w:r>
      <w:r>
        <w:rPr>
          <w:rFonts w:ascii="Gill Sans MT"/>
          <w:spacing w:val="-2"/>
          <w:w w:val="113"/>
          <w:sz w:val="20"/>
        </w:rPr>
        <w:t>2</w:t>
      </w:r>
      <w:r>
        <w:rPr>
          <w:rFonts w:ascii="Gill Sans MT"/>
          <w:w w:val="113"/>
          <w:sz w:val="20"/>
        </w:rPr>
        <w:t>5</w:t>
      </w:r>
      <w:r>
        <w:rPr>
          <w:rFonts w:ascii="Gill Sans MT"/>
          <w:sz w:val="20"/>
        </w:rPr>
        <w:tab/>
      </w:r>
      <w:r>
        <w:rPr>
          <w:rFonts w:ascii="Gill Sans MT"/>
          <w:spacing w:val="-2"/>
          <w:w w:val="222"/>
          <w:sz w:val="20"/>
        </w:rPr>
        <w:t>J</w:t>
      </w:r>
      <w:r>
        <w:rPr>
          <w:rFonts w:ascii="Gill Sans MT"/>
          <w:w w:val="110"/>
          <w:sz w:val="20"/>
        </w:rPr>
        <w:t>u</w:t>
      </w:r>
      <w:r>
        <w:rPr>
          <w:rFonts w:ascii="Gill Sans MT"/>
          <w:spacing w:val="-2"/>
          <w:w w:val="111"/>
          <w:sz w:val="20"/>
        </w:rPr>
        <w:t>n</w:t>
      </w:r>
      <w:r>
        <w:rPr>
          <w:rFonts w:ascii="Gill Sans MT"/>
          <w:spacing w:val="-1"/>
          <w:w w:val="85"/>
          <w:sz w:val="20"/>
        </w:rPr>
        <w:t>-</w:t>
      </w:r>
      <w:r>
        <w:rPr>
          <w:rFonts w:ascii="Gill Sans MT"/>
          <w:spacing w:val="-2"/>
          <w:w w:val="113"/>
          <w:sz w:val="20"/>
        </w:rPr>
        <w:t>2</w:t>
      </w:r>
      <w:r>
        <w:rPr>
          <w:rFonts w:ascii="Gill Sans MT"/>
          <w:w w:val="113"/>
          <w:sz w:val="20"/>
        </w:rPr>
        <w:t>5</w:t>
      </w:r>
    </w:p>
    <w:p>
      <w:pPr>
        <w:tabs>
          <w:tab w:pos="2854" w:val="left" w:leader="none"/>
          <w:tab w:pos="5327" w:val="left" w:leader="none"/>
        </w:tabs>
        <w:spacing w:before="177"/>
        <w:ind w:left="712" w:right="0" w:firstLine="0"/>
        <w:jc w:val="left"/>
        <w:rPr>
          <w:rFonts w:ascii="Gill Sans MT"/>
          <w:sz w:val="17"/>
        </w:rPr>
      </w:pPr>
      <w:r>
        <w:rPr/>
        <w:pict>
          <v:line style="position:absolute;mso-position-horizontal-relative:page;mso-position-vertical-relative:paragraph;z-index:251702272" from="389.012115pt,14.147087pt" to="412.978847pt,14.147087pt" stroked="true" strokeweight="2.139847pt" strokecolor="#014612">
            <v:stroke dashstyle="solid"/>
            <w10:wrap type="none"/>
          </v:line>
        </w:pict>
      </w:r>
      <w:r>
        <w:rPr/>
        <w:pict>
          <v:line style="position:absolute;mso-position-horizontal-relative:page;mso-position-vertical-relative:paragraph;z-index:-266995712" from="496.058746pt,14.147087pt" to="520.025478pt,14.147087pt" stroked="true" strokeweight="2.139847pt" strokecolor="#3c6c48">
            <v:stroke dashstyle="dash"/>
            <w10:wrap type="none"/>
          </v:line>
        </w:pict>
      </w:r>
      <w:r>
        <w:rPr/>
        <w:pict>
          <v:line style="position:absolute;mso-position-horizontal-relative:page;mso-position-vertical-relative:paragraph;z-index:-266994688" from="619.65863pt,14.147087pt" to="643.625362pt,14.147087pt" stroked="true" strokeweight="2.139847pt" strokecolor="#6d9276">
            <v:stroke dashstyle="dot"/>
            <w10:wrap type="none"/>
          </v:line>
        </w:pict>
      </w:r>
      <w:r>
        <w:rPr>
          <w:rFonts w:ascii="Gill Sans MT"/>
          <w:w w:val="110"/>
          <w:sz w:val="17"/>
        </w:rPr>
        <w:t>Stayed Invested</w:t>
        <w:tab/>
        <w:t>Ex</w:t>
      </w:r>
      <w:r>
        <w:rPr>
          <w:rFonts w:ascii="Gill Sans MT"/>
          <w:spacing w:val="-23"/>
          <w:w w:val="110"/>
          <w:sz w:val="17"/>
        </w:rPr>
        <w:t> </w:t>
      </w:r>
      <w:r>
        <w:rPr>
          <w:rFonts w:ascii="Gill Sans MT"/>
          <w:w w:val="110"/>
          <w:sz w:val="17"/>
        </w:rPr>
        <w:t>Best</w:t>
      </w:r>
      <w:r>
        <w:rPr>
          <w:rFonts w:ascii="Gill Sans MT"/>
          <w:spacing w:val="-21"/>
          <w:w w:val="110"/>
          <w:sz w:val="17"/>
        </w:rPr>
        <w:t> </w:t>
      </w:r>
      <w:r>
        <w:rPr>
          <w:rFonts w:ascii="Gill Sans MT"/>
          <w:w w:val="110"/>
          <w:sz w:val="17"/>
        </w:rPr>
        <w:t>&amp;</w:t>
      </w:r>
      <w:r>
        <w:rPr>
          <w:rFonts w:ascii="Gill Sans MT"/>
          <w:spacing w:val="-21"/>
          <w:w w:val="110"/>
          <w:sz w:val="17"/>
        </w:rPr>
        <w:t> </w:t>
      </w:r>
      <w:r>
        <w:rPr>
          <w:rFonts w:ascii="Gill Sans MT"/>
          <w:w w:val="110"/>
          <w:sz w:val="17"/>
        </w:rPr>
        <w:t>Worst</w:t>
      </w:r>
      <w:r>
        <w:rPr>
          <w:rFonts w:ascii="Gill Sans MT"/>
          <w:spacing w:val="-20"/>
          <w:w w:val="110"/>
          <w:sz w:val="17"/>
        </w:rPr>
        <w:t> </w:t>
      </w:r>
      <w:r>
        <w:rPr>
          <w:rFonts w:ascii="Gill Sans MT"/>
          <w:w w:val="110"/>
          <w:sz w:val="17"/>
        </w:rPr>
        <w:t>Day</w:t>
        <w:tab/>
        <w:t>Ex Best</w:t>
      </w:r>
      <w:r>
        <w:rPr>
          <w:rFonts w:ascii="Gill Sans MT"/>
          <w:spacing w:val="-24"/>
          <w:w w:val="110"/>
          <w:sz w:val="17"/>
        </w:rPr>
        <w:t> </w:t>
      </w:r>
      <w:r>
        <w:rPr>
          <w:rFonts w:ascii="Gill Sans MT"/>
          <w:w w:val="110"/>
          <w:sz w:val="17"/>
        </w:rPr>
        <w:t>Day</w:t>
      </w:r>
    </w:p>
    <w:p>
      <w:pPr>
        <w:spacing w:after="0"/>
        <w:jc w:val="left"/>
        <w:rPr>
          <w:rFonts w:ascii="Gill Sans MT"/>
          <w:sz w:val="17"/>
        </w:rPr>
        <w:sectPr>
          <w:type w:val="continuous"/>
          <w:pgSz w:w="14400" w:h="10800" w:orient="landscape"/>
          <w:pgMar w:top="180" w:bottom="280" w:left="20" w:right="40"/>
          <w:cols w:num="3" w:equalWidth="0">
            <w:col w:w="535" w:space="40"/>
            <w:col w:w="5909" w:space="1095"/>
            <w:col w:w="6761"/>
          </w:cols>
        </w:sectPr>
      </w:pPr>
    </w:p>
    <w:p>
      <w:pPr>
        <w:pStyle w:val="BodyText"/>
        <w:rPr>
          <w:rFonts w:ascii="Gill Sans MT"/>
          <w:sz w:val="20"/>
        </w:rPr>
      </w:pPr>
    </w:p>
    <w:p>
      <w:pPr>
        <w:pStyle w:val="BodyText"/>
        <w:rPr>
          <w:rFonts w:ascii="Gill Sans MT"/>
          <w:sz w:val="29"/>
        </w:rPr>
      </w:pPr>
    </w:p>
    <w:p>
      <w:pPr>
        <w:spacing w:before="100"/>
        <w:ind w:left="316" w:right="0" w:firstLine="0"/>
        <w:jc w:val="left"/>
        <w:rPr>
          <w:rFonts w:ascii="Gill Sans MT"/>
          <w:sz w:val="14"/>
        </w:rPr>
      </w:pPr>
      <w:r>
        <w:rPr>
          <w:rFonts w:ascii="Gill Sans MT"/>
          <w:w w:val="110"/>
          <w:sz w:val="14"/>
        </w:rPr>
        <w:t>Source: Bloomberg. Russell 3000 daily and total returns from 1/1/2025 to 6/30/2025. Best day was April 9th; worst day was April 4th.</w:t>
      </w:r>
    </w:p>
    <w:p>
      <w:pPr>
        <w:spacing w:after="0"/>
        <w:jc w:val="left"/>
        <w:rPr>
          <w:rFonts w:ascii="Gill Sans MT"/>
          <w:sz w:val="14"/>
        </w:rPr>
        <w:sectPr>
          <w:type w:val="continuous"/>
          <w:pgSz w:w="14400" w:h="10800" w:orient="landscape"/>
          <w:pgMar w:top="180" w:bottom="280" w:left="20" w:right="40"/>
        </w:sectPr>
      </w:pPr>
    </w:p>
    <w:p>
      <w:pPr>
        <w:pStyle w:val="Heading1"/>
        <w:spacing w:before="137"/>
        <w:ind w:left="844"/>
      </w:pPr>
      <w:bookmarkStart w:name="Slide 28: Intra-Year Stock Market Declin" w:id="35"/>
      <w:bookmarkEnd w:id="35"/>
      <w:r>
        <w:rPr/>
      </w:r>
      <w:r>
        <w:rPr>
          <w:spacing w:val="-5"/>
          <w:w w:val="110"/>
        </w:rPr>
        <w:t>Intra-Year </w:t>
      </w:r>
      <w:r>
        <w:rPr>
          <w:spacing w:val="-4"/>
          <w:w w:val="110"/>
        </w:rPr>
        <w:t>Stock </w:t>
      </w:r>
      <w:r>
        <w:rPr>
          <w:spacing w:val="-6"/>
          <w:w w:val="110"/>
        </w:rPr>
        <w:t>Market</w:t>
      </w:r>
      <w:r>
        <w:rPr>
          <w:spacing w:val="-79"/>
          <w:w w:val="110"/>
        </w:rPr>
        <w:t> </w:t>
      </w:r>
      <w:r>
        <w:rPr>
          <w:spacing w:val="-5"/>
          <w:w w:val="110"/>
        </w:rPr>
        <w:t>Declines</w:t>
      </w:r>
    </w:p>
    <w:p>
      <w:pPr>
        <w:pStyle w:val="Heading5"/>
        <w:numPr>
          <w:ilvl w:val="1"/>
          <w:numId w:val="5"/>
        </w:numPr>
        <w:tabs>
          <w:tab w:pos="1116" w:val="left" w:leader="none"/>
        </w:tabs>
        <w:spacing w:line="273" w:lineRule="auto" w:before="309" w:after="0"/>
        <w:ind w:left="1115" w:right="1730" w:hanging="272"/>
        <w:jc w:val="left"/>
      </w:pPr>
      <w:r>
        <w:rPr>
          <w:w w:val="110"/>
        </w:rPr>
        <w:t>The</w:t>
      </w:r>
      <w:r>
        <w:rPr>
          <w:spacing w:val="-13"/>
          <w:w w:val="110"/>
        </w:rPr>
        <w:t> </w:t>
      </w:r>
      <w:r>
        <w:rPr>
          <w:w w:val="110"/>
        </w:rPr>
        <w:t>S&amp;P</w:t>
      </w:r>
      <w:r>
        <w:rPr>
          <w:spacing w:val="-13"/>
          <w:w w:val="110"/>
        </w:rPr>
        <w:t> </w:t>
      </w:r>
      <w:r>
        <w:rPr>
          <w:w w:val="110"/>
        </w:rPr>
        <w:t>500</w:t>
      </w:r>
      <w:r>
        <w:rPr>
          <w:spacing w:val="-15"/>
          <w:w w:val="110"/>
        </w:rPr>
        <w:t> </w:t>
      </w:r>
      <w:r>
        <w:rPr>
          <w:w w:val="110"/>
        </w:rPr>
        <w:t>Index</w:t>
      </w:r>
      <w:r>
        <w:rPr>
          <w:spacing w:val="-18"/>
          <w:w w:val="110"/>
        </w:rPr>
        <w:t> </w:t>
      </w:r>
      <w:r>
        <w:rPr>
          <w:w w:val="110"/>
        </w:rPr>
        <w:t>delivered</w:t>
      </w:r>
      <w:r>
        <w:rPr>
          <w:spacing w:val="-21"/>
          <w:w w:val="110"/>
        </w:rPr>
        <w:t> </w:t>
      </w:r>
      <w:r>
        <w:rPr>
          <w:w w:val="110"/>
        </w:rPr>
        <w:t>positive</w:t>
      </w:r>
      <w:r>
        <w:rPr>
          <w:spacing w:val="-14"/>
          <w:w w:val="110"/>
        </w:rPr>
        <w:t> </w:t>
      </w:r>
      <w:r>
        <w:rPr>
          <w:w w:val="110"/>
        </w:rPr>
        <w:t>price</w:t>
      </w:r>
      <w:r>
        <w:rPr>
          <w:spacing w:val="-16"/>
          <w:w w:val="110"/>
        </w:rPr>
        <w:t> </w:t>
      </w:r>
      <w:r>
        <w:rPr>
          <w:w w:val="110"/>
        </w:rPr>
        <w:t>returns</w:t>
      </w:r>
      <w:r>
        <w:rPr>
          <w:spacing w:val="-17"/>
          <w:w w:val="110"/>
        </w:rPr>
        <w:t> </w:t>
      </w:r>
      <w:r>
        <w:rPr>
          <w:w w:val="110"/>
        </w:rPr>
        <w:t>in</w:t>
      </w:r>
      <w:r>
        <w:rPr>
          <w:spacing w:val="-13"/>
          <w:w w:val="110"/>
        </w:rPr>
        <w:t> </w:t>
      </w:r>
      <w:r>
        <w:rPr>
          <w:w w:val="110"/>
        </w:rPr>
        <w:t>34</w:t>
      </w:r>
      <w:r>
        <w:rPr>
          <w:spacing w:val="-15"/>
          <w:w w:val="110"/>
        </w:rPr>
        <w:t> </w:t>
      </w:r>
      <w:r>
        <w:rPr>
          <w:w w:val="110"/>
        </w:rPr>
        <w:t>of</w:t>
      </w:r>
      <w:r>
        <w:rPr>
          <w:spacing w:val="-11"/>
          <w:w w:val="110"/>
        </w:rPr>
        <w:t> </w:t>
      </w:r>
      <w:r>
        <w:rPr>
          <w:w w:val="110"/>
        </w:rPr>
        <w:t>45</w:t>
      </w:r>
      <w:r>
        <w:rPr>
          <w:spacing w:val="-15"/>
          <w:w w:val="110"/>
        </w:rPr>
        <w:t> </w:t>
      </w:r>
      <w:r>
        <w:rPr>
          <w:w w:val="110"/>
        </w:rPr>
        <w:t>years</w:t>
      </w:r>
      <w:r>
        <w:rPr>
          <w:spacing w:val="-17"/>
          <w:w w:val="110"/>
        </w:rPr>
        <w:t> </w:t>
      </w:r>
      <w:r>
        <w:rPr>
          <w:w w:val="110"/>
        </w:rPr>
        <w:t>since</w:t>
      </w:r>
      <w:r>
        <w:rPr>
          <w:spacing w:val="-12"/>
          <w:w w:val="110"/>
        </w:rPr>
        <w:t> </w:t>
      </w:r>
      <w:r>
        <w:rPr>
          <w:w w:val="110"/>
        </w:rPr>
        <w:t>1980,</w:t>
      </w:r>
      <w:r>
        <w:rPr>
          <w:spacing w:val="-19"/>
          <w:w w:val="110"/>
        </w:rPr>
        <w:t> </w:t>
      </w:r>
      <w:r>
        <w:rPr>
          <w:w w:val="110"/>
        </w:rPr>
        <w:t>with</w:t>
      </w:r>
      <w:r>
        <w:rPr>
          <w:spacing w:val="-13"/>
          <w:w w:val="110"/>
        </w:rPr>
        <w:t> </w:t>
      </w:r>
      <w:r>
        <w:rPr>
          <w:w w:val="110"/>
        </w:rPr>
        <w:t>average intra-year declines of</w:t>
      </w:r>
      <w:r>
        <w:rPr>
          <w:spacing w:val="-52"/>
          <w:w w:val="110"/>
        </w:rPr>
        <w:t> </w:t>
      </w:r>
      <w:r>
        <w:rPr>
          <w:w w:val="110"/>
        </w:rPr>
        <w:t>14.1%</w:t>
      </w:r>
    </w:p>
    <w:p>
      <w:pPr>
        <w:pStyle w:val="BodyText"/>
        <w:rPr>
          <w:rFonts w:ascii="Gill Sans MT"/>
          <w:sz w:val="15"/>
        </w:rPr>
      </w:pPr>
      <w:r>
        <w:rPr/>
        <w:drawing>
          <wp:anchor distT="0" distB="0" distL="0" distR="0" allowOverlap="1" layoutInCell="1" locked="0" behindDoc="0" simplePos="0" relativeHeight="48">
            <wp:simplePos x="0" y="0"/>
            <wp:positionH relativeFrom="page">
              <wp:posOffset>1109654</wp:posOffset>
            </wp:positionH>
            <wp:positionV relativeFrom="paragraph">
              <wp:posOffset>135563</wp:posOffset>
            </wp:positionV>
            <wp:extent cx="7171695" cy="3882580"/>
            <wp:effectExtent l="0" t="0" r="0" b="0"/>
            <wp:wrapTopAndBottom/>
            <wp:docPr id="61" name="image4.png"/>
            <wp:cNvGraphicFramePr>
              <a:graphicFrameLocks noChangeAspect="1"/>
            </wp:cNvGraphicFramePr>
            <a:graphic>
              <a:graphicData uri="http://schemas.openxmlformats.org/drawingml/2006/picture">
                <pic:pic>
                  <pic:nvPicPr>
                    <pic:cNvPr id="62" name="image4.png"/>
                    <pic:cNvPicPr/>
                  </pic:nvPicPr>
                  <pic:blipFill>
                    <a:blip r:embed="rId73" cstate="print"/>
                    <a:stretch>
                      <a:fillRect/>
                    </a:stretch>
                  </pic:blipFill>
                  <pic:spPr>
                    <a:xfrm>
                      <a:off x="0" y="0"/>
                      <a:ext cx="7171695" cy="3882580"/>
                    </a:xfrm>
                    <a:prstGeom prst="rect">
                      <a:avLst/>
                    </a:prstGeom>
                  </pic:spPr>
                </pic:pic>
              </a:graphicData>
            </a:graphic>
          </wp:anchor>
        </w:drawing>
      </w:r>
    </w:p>
    <w:p>
      <w:pPr>
        <w:spacing w:line="247" w:lineRule="auto" w:before="121"/>
        <w:ind w:left="2284" w:right="1685" w:firstLine="0"/>
        <w:jc w:val="left"/>
        <w:rPr>
          <w:rFonts w:ascii="Gill Sans MT" w:hAnsi="Gill Sans MT"/>
          <w:sz w:val="13"/>
        </w:rPr>
      </w:pPr>
      <w:r>
        <w:rPr>
          <w:rFonts w:ascii="Gill Sans MT" w:hAnsi="Gill Sans MT"/>
          <w:w w:val="115"/>
          <w:sz w:val="13"/>
        </w:rPr>
        <w:t>Source:</w:t>
      </w:r>
      <w:r>
        <w:rPr>
          <w:rFonts w:ascii="Gill Sans MT" w:hAnsi="Gill Sans MT"/>
          <w:spacing w:val="-21"/>
          <w:w w:val="115"/>
          <w:sz w:val="13"/>
        </w:rPr>
        <w:t> </w:t>
      </w:r>
      <w:r>
        <w:rPr>
          <w:rFonts w:ascii="Gill Sans MT" w:hAnsi="Gill Sans MT"/>
          <w:w w:val="115"/>
          <w:sz w:val="13"/>
        </w:rPr>
        <w:t>FactSet,</w:t>
      </w:r>
      <w:r>
        <w:rPr>
          <w:rFonts w:ascii="Gill Sans MT" w:hAnsi="Gill Sans MT"/>
          <w:spacing w:val="-24"/>
          <w:w w:val="115"/>
          <w:sz w:val="13"/>
        </w:rPr>
        <w:t> </w:t>
      </w:r>
      <w:r>
        <w:rPr>
          <w:rFonts w:ascii="Gill Sans MT" w:hAnsi="Gill Sans MT"/>
          <w:w w:val="115"/>
          <w:sz w:val="13"/>
        </w:rPr>
        <w:t>Standard</w:t>
      </w:r>
      <w:r>
        <w:rPr>
          <w:rFonts w:ascii="Gill Sans MT" w:hAnsi="Gill Sans MT"/>
          <w:spacing w:val="-22"/>
          <w:w w:val="115"/>
          <w:sz w:val="13"/>
        </w:rPr>
        <w:t> </w:t>
      </w:r>
      <w:r>
        <w:rPr>
          <w:rFonts w:ascii="Gill Sans MT" w:hAnsi="Gill Sans MT"/>
          <w:w w:val="115"/>
          <w:sz w:val="13"/>
        </w:rPr>
        <w:t>&amp;</w:t>
      </w:r>
      <w:r>
        <w:rPr>
          <w:rFonts w:ascii="Gill Sans MT" w:hAnsi="Gill Sans MT"/>
          <w:spacing w:val="-23"/>
          <w:w w:val="115"/>
          <w:sz w:val="13"/>
        </w:rPr>
        <w:t> </w:t>
      </w:r>
      <w:r>
        <w:rPr>
          <w:rFonts w:ascii="Gill Sans MT" w:hAnsi="Gill Sans MT"/>
          <w:w w:val="115"/>
          <w:sz w:val="13"/>
        </w:rPr>
        <w:t>Poor’s,</w:t>
      </w:r>
      <w:r>
        <w:rPr>
          <w:rFonts w:ascii="Gill Sans MT" w:hAnsi="Gill Sans MT"/>
          <w:spacing w:val="-22"/>
          <w:w w:val="115"/>
          <w:sz w:val="13"/>
        </w:rPr>
        <w:t> </w:t>
      </w:r>
      <w:r>
        <w:rPr>
          <w:rFonts w:ascii="Gill Sans MT" w:hAnsi="Gill Sans MT"/>
          <w:w w:val="125"/>
          <w:sz w:val="13"/>
        </w:rPr>
        <w:t>J.P.</w:t>
      </w:r>
      <w:r>
        <w:rPr>
          <w:rFonts w:ascii="Gill Sans MT" w:hAnsi="Gill Sans MT"/>
          <w:spacing w:val="-24"/>
          <w:w w:val="125"/>
          <w:sz w:val="13"/>
        </w:rPr>
        <w:t> </w:t>
      </w:r>
      <w:r>
        <w:rPr>
          <w:rFonts w:ascii="Gill Sans MT" w:hAnsi="Gill Sans MT"/>
          <w:w w:val="115"/>
          <w:sz w:val="13"/>
        </w:rPr>
        <w:t>Morgan</w:t>
      </w:r>
      <w:r>
        <w:rPr>
          <w:rFonts w:ascii="Gill Sans MT" w:hAnsi="Gill Sans MT"/>
          <w:spacing w:val="-21"/>
          <w:w w:val="115"/>
          <w:sz w:val="13"/>
        </w:rPr>
        <w:t> </w:t>
      </w:r>
      <w:r>
        <w:rPr>
          <w:rFonts w:ascii="Gill Sans MT" w:hAnsi="Gill Sans MT"/>
          <w:w w:val="115"/>
          <w:sz w:val="13"/>
        </w:rPr>
        <w:t>Asset</w:t>
      </w:r>
      <w:r>
        <w:rPr>
          <w:rFonts w:ascii="Gill Sans MT" w:hAnsi="Gill Sans MT"/>
          <w:spacing w:val="-23"/>
          <w:w w:val="115"/>
          <w:sz w:val="13"/>
        </w:rPr>
        <w:t> </w:t>
      </w:r>
      <w:r>
        <w:rPr>
          <w:rFonts w:ascii="Gill Sans MT" w:hAnsi="Gill Sans MT"/>
          <w:w w:val="115"/>
          <w:sz w:val="13"/>
        </w:rPr>
        <w:t>Management.</w:t>
      </w:r>
      <w:r>
        <w:rPr>
          <w:rFonts w:ascii="Gill Sans MT" w:hAnsi="Gill Sans MT"/>
          <w:spacing w:val="-20"/>
          <w:w w:val="115"/>
          <w:sz w:val="13"/>
        </w:rPr>
        <w:t> </w:t>
      </w:r>
      <w:r>
        <w:rPr>
          <w:rFonts w:ascii="Gill Sans MT" w:hAnsi="Gill Sans MT"/>
          <w:w w:val="115"/>
          <w:sz w:val="13"/>
        </w:rPr>
        <w:t>Returns</w:t>
      </w:r>
      <w:r>
        <w:rPr>
          <w:rFonts w:ascii="Gill Sans MT" w:hAnsi="Gill Sans MT"/>
          <w:spacing w:val="-21"/>
          <w:w w:val="115"/>
          <w:sz w:val="13"/>
        </w:rPr>
        <w:t> </w:t>
      </w:r>
      <w:r>
        <w:rPr>
          <w:rFonts w:ascii="Gill Sans MT" w:hAnsi="Gill Sans MT"/>
          <w:w w:val="115"/>
          <w:sz w:val="13"/>
        </w:rPr>
        <w:t>are</w:t>
      </w:r>
      <w:r>
        <w:rPr>
          <w:rFonts w:ascii="Gill Sans MT" w:hAnsi="Gill Sans MT"/>
          <w:spacing w:val="-22"/>
          <w:w w:val="115"/>
          <w:sz w:val="13"/>
        </w:rPr>
        <w:t> </w:t>
      </w:r>
      <w:r>
        <w:rPr>
          <w:rFonts w:ascii="Gill Sans MT" w:hAnsi="Gill Sans MT"/>
          <w:w w:val="115"/>
          <w:sz w:val="13"/>
        </w:rPr>
        <w:t>based</w:t>
      </w:r>
      <w:r>
        <w:rPr>
          <w:rFonts w:ascii="Gill Sans MT" w:hAnsi="Gill Sans MT"/>
          <w:spacing w:val="-22"/>
          <w:w w:val="115"/>
          <w:sz w:val="13"/>
        </w:rPr>
        <w:t> </w:t>
      </w:r>
      <w:r>
        <w:rPr>
          <w:rFonts w:ascii="Gill Sans MT" w:hAnsi="Gill Sans MT"/>
          <w:w w:val="115"/>
          <w:sz w:val="13"/>
        </w:rPr>
        <w:t>on</w:t>
      </w:r>
      <w:r>
        <w:rPr>
          <w:rFonts w:ascii="Gill Sans MT" w:hAnsi="Gill Sans MT"/>
          <w:spacing w:val="-23"/>
          <w:w w:val="115"/>
          <w:sz w:val="13"/>
        </w:rPr>
        <w:t> </w:t>
      </w:r>
      <w:r>
        <w:rPr>
          <w:rFonts w:ascii="Gill Sans MT" w:hAnsi="Gill Sans MT"/>
          <w:w w:val="115"/>
          <w:sz w:val="13"/>
        </w:rPr>
        <w:t>price</w:t>
      </w:r>
      <w:r>
        <w:rPr>
          <w:rFonts w:ascii="Gill Sans MT" w:hAnsi="Gill Sans MT"/>
          <w:spacing w:val="-21"/>
          <w:w w:val="115"/>
          <w:sz w:val="13"/>
        </w:rPr>
        <w:t> </w:t>
      </w:r>
      <w:r>
        <w:rPr>
          <w:rFonts w:ascii="Gill Sans MT" w:hAnsi="Gill Sans MT"/>
          <w:w w:val="115"/>
          <w:sz w:val="13"/>
        </w:rPr>
        <w:t>index</w:t>
      </w:r>
      <w:r>
        <w:rPr>
          <w:rFonts w:ascii="Gill Sans MT" w:hAnsi="Gill Sans MT"/>
          <w:spacing w:val="-21"/>
          <w:w w:val="115"/>
          <w:sz w:val="13"/>
        </w:rPr>
        <w:t> </w:t>
      </w:r>
      <w:r>
        <w:rPr>
          <w:rFonts w:ascii="Gill Sans MT" w:hAnsi="Gill Sans MT"/>
          <w:w w:val="115"/>
          <w:sz w:val="13"/>
        </w:rPr>
        <w:t>only</w:t>
      </w:r>
      <w:r>
        <w:rPr>
          <w:rFonts w:ascii="Gill Sans MT" w:hAnsi="Gill Sans MT"/>
          <w:spacing w:val="-21"/>
          <w:w w:val="115"/>
          <w:sz w:val="13"/>
        </w:rPr>
        <w:t> </w:t>
      </w:r>
      <w:r>
        <w:rPr>
          <w:rFonts w:ascii="Gill Sans MT" w:hAnsi="Gill Sans MT"/>
          <w:w w:val="115"/>
          <w:sz w:val="13"/>
        </w:rPr>
        <w:t>and</w:t>
      </w:r>
      <w:r>
        <w:rPr>
          <w:rFonts w:ascii="Gill Sans MT" w:hAnsi="Gill Sans MT"/>
          <w:spacing w:val="-23"/>
          <w:w w:val="115"/>
          <w:sz w:val="13"/>
        </w:rPr>
        <w:t> </w:t>
      </w:r>
      <w:r>
        <w:rPr>
          <w:rFonts w:ascii="Gill Sans MT" w:hAnsi="Gill Sans MT"/>
          <w:w w:val="115"/>
          <w:sz w:val="13"/>
        </w:rPr>
        <w:t>do</w:t>
      </w:r>
      <w:r>
        <w:rPr>
          <w:rFonts w:ascii="Gill Sans MT" w:hAnsi="Gill Sans MT"/>
          <w:spacing w:val="-23"/>
          <w:w w:val="115"/>
          <w:sz w:val="13"/>
        </w:rPr>
        <w:t> </w:t>
      </w:r>
      <w:r>
        <w:rPr>
          <w:rFonts w:ascii="Gill Sans MT" w:hAnsi="Gill Sans MT"/>
          <w:w w:val="115"/>
          <w:sz w:val="13"/>
        </w:rPr>
        <w:t>not</w:t>
      </w:r>
      <w:r>
        <w:rPr>
          <w:rFonts w:ascii="Gill Sans MT" w:hAnsi="Gill Sans MT"/>
          <w:spacing w:val="-24"/>
          <w:w w:val="115"/>
          <w:sz w:val="13"/>
        </w:rPr>
        <w:t> </w:t>
      </w:r>
      <w:r>
        <w:rPr>
          <w:rFonts w:ascii="Gill Sans MT" w:hAnsi="Gill Sans MT"/>
          <w:w w:val="115"/>
          <w:sz w:val="13"/>
        </w:rPr>
        <w:t>include</w:t>
      </w:r>
      <w:r>
        <w:rPr>
          <w:rFonts w:ascii="Gill Sans MT" w:hAnsi="Gill Sans MT"/>
          <w:spacing w:val="-20"/>
          <w:w w:val="115"/>
          <w:sz w:val="13"/>
        </w:rPr>
        <w:t> </w:t>
      </w:r>
      <w:r>
        <w:rPr>
          <w:rFonts w:ascii="Gill Sans MT" w:hAnsi="Gill Sans MT"/>
          <w:w w:val="115"/>
          <w:sz w:val="13"/>
        </w:rPr>
        <w:t>dividends.</w:t>
      </w:r>
      <w:r>
        <w:rPr>
          <w:rFonts w:ascii="Gill Sans MT" w:hAnsi="Gill Sans MT"/>
          <w:spacing w:val="-1"/>
          <w:w w:val="115"/>
          <w:sz w:val="13"/>
        </w:rPr>
        <w:t> </w:t>
      </w:r>
      <w:r>
        <w:rPr>
          <w:rFonts w:ascii="Gill Sans MT" w:hAnsi="Gill Sans MT"/>
          <w:w w:val="115"/>
          <w:sz w:val="13"/>
        </w:rPr>
        <w:t>Intra-year</w:t>
      </w:r>
      <w:r>
        <w:rPr>
          <w:rFonts w:ascii="Gill Sans MT" w:hAnsi="Gill Sans MT"/>
          <w:spacing w:val="-23"/>
          <w:w w:val="115"/>
          <w:sz w:val="13"/>
        </w:rPr>
        <w:t> </w:t>
      </w:r>
      <w:r>
        <w:rPr>
          <w:rFonts w:ascii="Gill Sans MT" w:hAnsi="Gill Sans MT"/>
          <w:w w:val="115"/>
          <w:sz w:val="13"/>
        </w:rPr>
        <w:t>drops</w:t>
      </w:r>
      <w:r>
        <w:rPr>
          <w:rFonts w:ascii="Gill Sans MT" w:hAnsi="Gill Sans MT"/>
          <w:spacing w:val="-20"/>
          <w:w w:val="115"/>
          <w:sz w:val="13"/>
        </w:rPr>
        <w:t> </w:t>
      </w:r>
      <w:r>
        <w:rPr>
          <w:rFonts w:ascii="Gill Sans MT" w:hAnsi="Gill Sans MT"/>
          <w:w w:val="115"/>
          <w:sz w:val="13"/>
        </w:rPr>
        <w:t>(red</w:t>
      </w:r>
      <w:r>
        <w:rPr>
          <w:rFonts w:ascii="Gill Sans MT" w:hAnsi="Gill Sans MT"/>
          <w:spacing w:val="-22"/>
          <w:w w:val="115"/>
          <w:sz w:val="13"/>
        </w:rPr>
        <w:t> </w:t>
      </w:r>
      <w:r>
        <w:rPr>
          <w:rFonts w:ascii="Gill Sans MT" w:hAnsi="Gill Sans MT"/>
          <w:w w:val="115"/>
          <w:sz w:val="13"/>
        </w:rPr>
        <w:t>dots)</w:t>
      </w:r>
      <w:r>
        <w:rPr>
          <w:rFonts w:ascii="Gill Sans MT" w:hAnsi="Gill Sans MT"/>
          <w:spacing w:val="-22"/>
          <w:w w:val="115"/>
          <w:sz w:val="13"/>
        </w:rPr>
        <w:t> </w:t>
      </w:r>
      <w:r>
        <w:rPr>
          <w:rFonts w:ascii="Gill Sans MT" w:hAnsi="Gill Sans MT"/>
          <w:w w:val="115"/>
          <w:sz w:val="13"/>
        </w:rPr>
        <w:t>refers</w:t>
      </w:r>
      <w:r>
        <w:rPr>
          <w:rFonts w:ascii="Gill Sans MT" w:hAnsi="Gill Sans MT"/>
          <w:spacing w:val="-22"/>
          <w:w w:val="115"/>
          <w:sz w:val="13"/>
        </w:rPr>
        <w:t> </w:t>
      </w:r>
      <w:r>
        <w:rPr>
          <w:rFonts w:ascii="Gill Sans MT" w:hAnsi="Gill Sans MT"/>
          <w:w w:val="115"/>
          <w:sz w:val="13"/>
        </w:rPr>
        <w:t>to</w:t>
      </w:r>
      <w:r>
        <w:rPr>
          <w:rFonts w:ascii="Gill Sans MT" w:hAnsi="Gill Sans MT"/>
          <w:spacing w:val="-23"/>
          <w:w w:val="115"/>
          <w:sz w:val="13"/>
        </w:rPr>
        <w:t> </w:t>
      </w:r>
      <w:r>
        <w:rPr>
          <w:rFonts w:ascii="Gill Sans MT" w:hAnsi="Gill Sans MT"/>
          <w:w w:val="115"/>
          <w:sz w:val="13"/>
        </w:rPr>
        <w:t>the largest</w:t>
      </w:r>
      <w:r>
        <w:rPr>
          <w:rFonts w:ascii="Gill Sans MT" w:hAnsi="Gill Sans MT"/>
          <w:spacing w:val="-22"/>
          <w:w w:val="115"/>
          <w:sz w:val="13"/>
        </w:rPr>
        <w:t> </w:t>
      </w:r>
      <w:r>
        <w:rPr>
          <w:rFonts w:ascii="Gill Sans MT" w:hAnsi="Gill Sans MT"/>
          <w:w w:val="115"/>
          <w:sz w:val="13"/>
        </w:rPr>
        <w:t>market</w:t>
      </w:r>
      <w:r>
        <w:rPr>
          <w:rFonts w:ascii="Gill Sans MT" w:hAnsi="Gill Sans MT"/>
          <w:spacing w:val="-20"/>
          <w:w w:val="115"/>
          <w:sz w:val="13"/>
        </w:rPr>
        <w:t> </w:t>
      </w:r>
      <w:r>
        <w:rPr>
          <w:rFonts w:ascii="Gill Sans MT" w:hAnsi="Gill Sans MT"/>
          <w:w w:val="115"/>
          <w:sz w:val="13"/>
        </w:rPr>
        <w:t>drops</w:t>
      </w:r>
      <w:r>
        <w:rPr>
          <w:rFonts w:ascii="Gill Sans MT" w:hAnsi="Gill Sans MT"/>
          <w:spacing w:val="-21"/>
          <w:w w:val="115"/>
          <w:sz w:val="13"/>
        </w:rPr>
        <w:t> </w:t>
      </w:r>
      <w:r>
        <w:rPr>
          <w:rFonts w:ascii="Gill Sans MT" w:hAnsi="Gill Sans MT"/>
          <w:w w:val="115"/>
          <w:sz w:val="13"/>
        </w:rPr>
        <w:t>from</w:t>
      </w:r>
      <w:r>
        <w:rPr>
          <w:rFonts w:ascii="Gill Sans MT" w:hAnsi="Gill Sans MT"/>
          <w:spacing w:val="-22"/>
          <w:w w:val="115"/>
          <w:sz w:val="13"/>
        </w:rPr>
        <w:t> </w:t>
      </w:r>
      <w:r>
        <w:rPr>
          <w:rFonts w:ascii="Gill Sans MT" w:hAnsi="Gill Sans MT"/>
          <w:w w:val="115"/>
          <w:sz w:val="13"/>
        </w:rPr>
        <w:t>a</w:t>
      </w:r>
      <w:r>
        <w:rPr>
          <w:rFonts w:ascii="Gill Sans MT" w:hAnsi="Gill Sans MT"/>
          <w:spacing w:val="-23"/>
          <w:w w:val="115"/>
          <w:sz w:val="13"/>
        </w:rPr>
        <w:t> </w:t>
      </w:r>
      <w:r>
        <w:rPr>
          <w:rFonts w:ascii="Gill Sans MT" w:hAnsi="Gill Sans MT"/>
          <w:w w:val="115"/>
          <w:sz w:val="13"/>
        </w:rPr>
        <w:t>peak</w:t>
      </w:r>
      <w:r>
        <w:rPr>
          <w:rFonts w:ascii="Gill Sans MT" w:hAnsi="Gill Sans MT"/>
          <w:spacing w:val="-24"/>
          <w:w w:val="115"/>
          <w:sz w:val="13"/>
        </w:rPr>
        <w:t> </w:t>
      </w:r>
      <w:r>
        <w:rPr>
          <w:rFonts w:ascii="Gill Sans MT" w:hAnsi="Gill Sans MT"/>
          <w:w w:val="115"/>
          <w:sz w:val="13"/>
        </w:rPr>
        <w:t>to</w:t>
      </w:r>
      <w:r>
        <w:rPr>
          <w:rFonts w:ascii="Gill Sans MT" w:hAnsi="Gill Sans MT"/>
          <w:spacing w:val="-24"/>
          <w:w w:val="115"/>
          <w:sz w:val="13"/>
        </w:rPr>
        <w:t> </w:t>
      </w:r>
      <w:r>
        <w:rPr>
          <w:rFonts w:ascii="Gill Sans MT" w:hAnsi="Gill Sans MT"/>
          <w:w w:val="115"/>
          <w:sz w:val="13"/>
        </w:rPr>
        <w:t>a</w:t>
      </w:r>
      <w:r>
        <w:rPr>
          <w:rFonts w:ascii="Gill Sans MT" w:hAnsi="Gill Sans MT"/>
          <w:spacing w:val="-23"/>
          <w:w w:val="115"/>
          <w:sz w:val="13"/>
        </w:rPr>
        <w:t> </w:t>
      </w:r>
      <w:r>
        <w:rPr>
          <w:rFonts w:ascii="Gill Sans MT" w:hAnsi="Gill Sans MT"/>
          <w:w w:val="115"/>
          <w:sz w:val="13"/>
        </w:rPr>
        <w:t>trough</w:t>
      </w:r>
      <w:r>
        <w:rPr>
          <w:rFonts w:ascii="Gill Sans MT" w:hAnsi="Gill Sans MT"/>
          <w:spacing w:val="-21"/>
          <w:w w:val="115"/>
          <w:sz w:val="13"/>
        </w:rPr>
        <w:t> </w:t>
      </w:r>
      <w:r>
        <w:rPr>
          <w:rFonts w:ascii="Gill Sans MT" w:hAnsi="Gill Sans MT"/>
          <w:w w:val="115"/>
          <w:sz w:val="13"/>
        </w:rPr>
        <w:t>during</w:t>
      </w:r>
      <w:r>
        <w:rPr>
          <w:rFonts w:ascii="Gill Sans MT" w:hAnsi="Gill Sans MT"/>
          <w:spacing w:val="-22"/>
          <w:w w:val="115"/>
          <w:sz w:val="13"/>
        </w:rPr>
        <w:t> </w:t>
      </w:r>
      <w:r>
        <w:rPr>
          <w:rFonts w:ascii="Gill Sans MT" w:hAnsi="Gill Sans MT"/>
          <w:w w:val="115"/>
          <w:sz w:val="13"/>
        </w:rPr>
        <w:t>the</w:t>
      </w:r>
      <w:r>
        <w:rPr>
          <w:rFonts w:ascii="Gill Sans MT" w:hAnsi="Gill Sans MT"/>
          <w:spacing w:val="-22"/>
          <w:w w:val="115"/>
          <w:sz w:val="13"/>
        </w:rPr>
        <w:t> </w:t>
      </w:r>
      <w:r>
        <w:rPr>
          <w:rFonts w:ascii="Gill Sans MT" w:hAnsi="Gill Sans MT"/>
          <w:w w:val="115"/>
          <w:sz w:val="13"/>
        </w:rPr>
        <w:t>year.</w:t>
      </w:r>
      <w:r>
        <w:rPr>
          <w:rFonts w:ascii="Gill Sans MT" w:hAnsi="Gill Sans MT"/>
          <w:spacing w:val="-3"/>
          <w:w w:val="115"/>
          <w:sz w:val="13"/>
        </w:rPr>
        <w:t> </w:t>
      </w:r>
      <w:r>
        <w:rPr>
          <w:rFonts w:ascii="Gill Sans MT" w:hAnsi="Gill Sans MT"/>
          <w:w w:val="115"/>
          <w:sz w:val="13"/>
        </w:rPr>
        <w:t>For</w:t>
      </w:r>
      <w:r>
        <w:rPr>
          <w:rFonts w:ascii="Gill Sans MT" w:hAnsi="Gill Sans MT"/>
          <w:spacing w:val="-22"/>
          <w:w w:val="115"/>
          <w:sz w:val="13"/>
        </w:rPr>
        <w:t> </w:t>
      </w:r>
      <w:r>
        <w:rPr>
          <w:rFonts w:ascii="Gill Sans MT" w:hAnsi="Gill Sans MT"/>
          <w:w w:val="115"/>
          <w:sz w:val="13"/>
        </w:rPr>
        <w:t>illustrative</w:t>
      </w:r>
      <w:r>
        <w:rPr>
          <w:rFonts w:ascii="Gill Sans MT" w:hAnsi="Gill Sans MT"/>
          <w:spacing w:val="-20"/>
          <w:w w:val="115"/>
          <w:sz w:val="13"/>
        </w:rPr>
        <w:t> </w:t>
      </w:r>
      <w:r>
        <w:rPr>
          <w:rFonts w:ascii="Gill Sans MT" w:hAnsi="Gill Sans MT"/>
          <w:w w:val="115"/>
          <w:sz w:val="13"/>
        </w:rPr>
        <w:t>purposes</w:t>
      </w:r>
      <w:r>
        <w:rPr>
          <w:rFonts w:ascii="Gill Sans MT" w:hAnsi="Gill Sans MT"/>
          <w:spacing w:val="-20"/>
          <w:w w:val="115"/>
          <w:sz w:val="13"/>
        </w:rPr>
        <w:t> </w:t>
      </w:r>
      <w:r>
        <w:rPr>
          <w:rFonts w:ascii="Gill Sans MT" w:hAnsi="Gill Sans MT"/>
          <w:w w:val="115"/>
          <w:sz w:val="13"/>
        </w:rPr>
        <w:t>only.</w:t>
      </w:r>
      <w:r>
        <w:rPr>
          <w:rFonts w:ascii="Gill Sans MT" w:hAnsi="Gill Sans MT"/>
          <w:spacing w:val="-3"/>
          <w:w w:val="115"/>
          <w:sz w:val="13"/>
        </w:rPr>
        <w:t> </w:t>
      </w:r>
      <w:r>
        <w:rPr>
          <w:rFonts w:ascii="Gill Sans MT" w:hAnsi="Gill Sans MT"/>
          <w:w w:val="115"/>
          <w:sz w:val="13"/>
        </w:rPr>
        <w:t>Returns</w:t>
      </w:r>
      <w:r>
        <w:rPr>
          <w:rFonts w:ascii="Gill Sans MT" w:hAnsi="Gill Sans MT"/>
          <w:spacing w:val="-21"/>
          <w:w w:val="115"/>
          <w:sz w:val="13"/>
        </w:rPr>
        <w:t> </w:t>
      </w:r>
      <w:r>
        <w:rPr>
          <w:rFonts w:ascii="Gill Sans MT" w:hAnsi="Gill Sans MT"/>
          <w:w w:val="115"/>
          <w:sz w:val="13"/>
        </w:rPr>
        <w:t>shown</w:t>
      </w:r>
      <w:r>
        <w:rPr>
          <w:rFonts w:ascii="Gill Sans MT" w:hAnsi="Gill Sans MT"/>
          <w:spacing w:val="-23"/>
          <w:w w:val="115"/>
          <w:sz w:val="13"/>
        </w:rPr>
        <w:t> </w:t>
      </w:r>
      <w:r>
        <w:rPr>
          <w:rFonts w:ascii="Gill Sans MT" w:hAnsi="Gill Sans MT"/>
          <w:w w:val="115"/>
          <w:sz w:val="13"/>
        </w:rPr>
        <w:t>are</w:t>
      </w:r>
      <w:r>
        <w:rPr>
          <w:rFonts w:ascii="Gill Sans MT" w:hAnsi="Gill Sans MT"/>
          <w:spacing w:val="-22"/>
          <w:w w:val="115"/>
          <w:sz w:val="13"/>
        </w:rPr>
        <w:t> </w:t>
      </w:r>
      <w:r>
        <w:rPr>
          <w:rFonts w:ascii="Gill Sans MT" w:hAnsi="Gill Sans MT"/>
          <w:w w:val="115"/>
          <w:sz w:val="13"/>
        </w:rPr>
        <w:t>calendar</w:t>
      </w:r>
      <w:r>
        <w:rPr>
          <w:rFonts w:ascii="Gill Sans MT" w:hAnsi="Gill Sans MT"/>
          <w:spacing w:val="-21"/>
          <w:w w:val="115"/>
          <w:sz w:val="13"/>
        </w:rPr>
        <w:t> </w:t>
      </w:r>
      <w:r>
        <w:rPr>
          <w:rFonts w:ascii="Gill Sans MT" w:hAnsi="Gill Sans MT"/>
          <w:w w:val="115"/>
          <w:sz w:val="13"/>
        </w:rPr>
        <w:t>year</w:t>
      </w:r>
      <w:r>
        <w:rPr>
          <w:rFonts w:ascii="Gill Sans MT" w:hAnsi="Gill Sans MT"/>
          <w:spacing w:val="-22"/>
          <w:w w:val="115"/>
          <w:sz w:val="13"/>
        </w:rPr>
        <w:t> </w:t>
      </w:r>
      <w:r>
        <w:rPr>
          <w:rFonts w:ascii="Gill Sans MT" w:hAnsi="Gill Sans MT"/>
          <w:w w:val="115"/>
          <w:sz w:val="13"/>
        </w:rPr>
        <w:t>returns</w:t>
      </w:r>
      <w:r>
        <w:rPr>
          <w:rFonts w:ascii="Gill Sans MT" w:hAnsi="Gill Sans MT"/>
          <w:spacing w:val="-21"/>
          <w:w w:val="115"/>
          <w:sz w:val="13"/>
        </w:rPr>
        <w:t> </w:t>
      </w:r>
      <w:r>
        <w:rPr>
          <w:rFonts w:ascii="Gill Sans MT" w:hAnsi="Gill Sans MT"/>
          <w:w w:val="115"/>
          <w:sz w:val="13"/>
        </w:rPr>
        <w:t>(gray</w:t>
      </w:r>
      <w:r>
        <w:rPr>
          <w:rFonts w:ascii="Gill Sans MT" w:hAnsi="Gill Sans MT"/>
          <w:spacing w:val="-19"/>
          <w:w w:val="115"/>
          <w:sz w:val="13"/>
        </w:rPr>
        <w:t> </w:t>
      </w:r>
      <w:r>
        <w:rPr>
          <w:rFonts w:ascii="Gill Sans MT" w:hAnsi="Gill Sans MT"/>
          <w:w w:val="115"/>
          <w:sz w:val="13"/>
        </w:rPr>
        <w:t>bars)</w:t>
      </w:r>
      <w:r>
        <w:rPr>
          <w:rFonts w:ascii="Gill Sans MT" w:hAnsi="Gill Sans MT"/>
          <w:spacing w:val="-22"/>
          <w:w w:val="115"/>
          <w:sz w:val="13"/>
        </w:rPr>
        <w:t> </w:t>
      </w:r>
      <w:r>
        <w:rPr>
          <w:rFonts w:ascii="Gill Sans MT" w:hAnsi="Gill Sans MT"/>
          <w:w w:val="115"/>
          <w:sz w:val="13"/>
        </w:rPr>
        <w:t>from</w:t>
      </w:r>
      <w:r>
        <w:rPr>
          <w:rFonts w:ascii="Gill Sans MT" w:hAnsi="Gill Sans MT"/>
          <w:spacing w:val="-23"/>
          <w:w w:val="115"/>
          <w:sz w:val="13"/>
        </w:rPr>
        <w:t> </w:t>
      </w:r>
      <w:r>
        <w:rPr>
          <w:rFonts w:ascii="Gill Sans MT" w:hAnsi="Gill Sans MT"/>
          <w:w w:val="115"/>
          <w:sz w:val="13"/>
        </w:rPr>
        <w:t>1980</w:t>
      </w:r>
      <w:r>
        <w:rPr>
          <w:rFonts w:ascii="Gill Sans MT" w:hAnsi="Gill Sans MT"/>
          <w:spacing w:val="-21"/>
          <w:w w:val="115"/>
          <w:sz w:val="13"/>
        </w:rPr>
        <w:t> </w:t>
      </w:r>
      <w:r>
        <w:rPr>
          <w:rFonts w:ascii="Gill Sans MT" w:hAnsi="Gill Sans MT"/>
          <w:w w:val="115"/>
          <w:sz w:val="13"/>
        </w:rPr>
        <w:t>to</w:t>
      </w:r>
      <w:r>
        <w:rPr>
          <w:rFonts w:ascii="Gill Sans MT" w:hAnsi="Gill Sans MT"/>
          <w:spacing w:val="-24"/>
          <w:w w:val="115"/>
          <w:sz w:val="13"/>
        </w:rPr>
        <w:t> </w:t>
      </w:r>
      <w:r>
        <w:rPr>
          <w:rFonts w:ascii="Gill Sans MT" w:hAnsi="Gill Sans MT"/>
          <w:w w:val="115"/>
          <w:sz w:val="13"/>
        </w:rPr>
        <w:t>2024,</w:t>
      </w:r>
      <w:r>
        <w:rPr>
          <w:rFonts w:ascii="Gill Sans MT" w:hAnsi="Gill Sans MT"/>
          <w:spacing w:val="-23"/>
          <w:w w:val="115"/>
          <w:sz w:val="13"/>
        </w:rPr>
        <w:t> </w:t>
      </w:r>
      <w:r>
        <w:rPr>
          <w:rFonts w:ascii="Gill Sans MT" w:hAnsi="Gill Sans MT"/>
          <w:w w:val="115"/>
          <w:sz w:val="13"/>
        </w:rPr>
        <w:t>over</w:t>
      </w:r>
      <w:r>
        <w:rPr>
          <w:rFonts w:ascii="Gill Sans MT" w:hAnsi="Gill Sans MT"/>
          <w:spacing w:val="-21"/>
          <w:w w:val="115"/>
          <w:sz w:val="13"/>
        </w:rPr>
        <w:t> </w:t>
      </w:r>
      <w:r>
        <w:rPr>
          <w:rFonts w:ascii="Gill Sans MT" w:hAnsi="Gill Sans MT"/>
          <w:w w:val="115"/>
          <w:sz w:val="13"/>
        </w:rPr>
        <w:t>which </w:t>
      </w:r>
      <w:r>
        <w:rPr>
          <w:rFonts w:ascii="Gill Sans MT" w:hAnsi="Gill Sans MT"/>
          <w:w w:val="97"/>
          <w:sz w:val="13"/>
        </w:rPr>
        <w:t>t</w:t>
      </w:r>
      <w:r>
        <w:rPr>
          <w:rFonts w:ascii="Gill Sans MT" w:hAnsi="Gill Sans MT"/>
          <w:w w:val="112"/>
          <w:sz w:val="13"/>
        </w:rPr>
        <w:t>i</w:t>
      </w:r>
      <w:r>
        <w:rPr>
          <w:rFonts w:ascii="Gill Sans MT" w:hAnsi="Gill Sans MT"/>
          <w:spacing w:val="-1"/>
          <w:w w:val="112"/>
          <w:sz w:val="13"/>
        </w:rPr>
        <w:t>m</w:t>
      </w:r>
      <w:r>
        <w:rPr>
          <w:rFonts w:ascii="Gill Sans MT" w:hAnsi="Gill Sans MT"/>
          <w:w w:val="110"/>
          <w:sz w:val="13"/>
        </w:rPr>
        <w:t>e</w:t>
      </w:r>
      <w:r>
        <w:rPr>
          <w:rFonts w:ascii="Gill Sans MT" w:hAnsi="Gill Sans MT"/>
          <w:sz w:val="13"/>
        </w:rPr>
        <w:t> </w:t>
      </w:r>
      <w:r>
        <w:rPr>
          <w:rFonts w:ascii="Gill Sans MT" w:hAnsi="Gill Sans MT"/>
          <w:w w:val="97"/>
          <w:sz w:val="13"/>
        </w:rPr>
        <w:t>t</w:t>
      </w:r>
      <w:r>
        <w:rPr>
          <w:rFonts w:ascii="Gill Sans MT" w:hAnsi="Gill Sans MT"/>
          <w:w w:val="109"/>
          <w:sz w:val="13"/>
        </w:rPr>
        <w:t>h</w:t>
      </w:r>
      <w:r>
        <w:rPr>
          <w:rFonts w:ascii="Gill Sans MT" w:hAnsi="Gill Sans MT"/>
          <w:w w:val="110"/>
          <w:sz w:val="13"/>
        </w:rPr>
        <w:t>e</w:t>
      </w:r>
      <w:r>
        <w:rPr>
          <w:rFonts w:ascii="Gill Sans MT" w:hAnsi="Gill Sans MT"/>
          <w:spacing w:val="-5"/>
          <w:sz w:val="13"/>
        </w:rPr>
        <w:t> </w:t>
      </w:r>
      <w:r>
        <w:rPr>
          <w:rFonts w:ascii="Gill Sans MT" w:hAnsi="Gill Sans MT"/>
          <w:spacing w:val="-1"/>
          <w:w w:val="127"/>
          <w:sz w:val="13"/>
        </w:rPr>
        <w:t>a</w:t>
      </w:r>
      <w:r>
        <w:rPr>
          <w:rFonts w:ascii="Gill Sans MT" w:hAnsi="Gill Sans MT"/>
          <w:spacing w:val="-1"/>
          <w:w w:val="110"/>
          <w:sz w:val="13"/>
        </w:rPr>
        <w:t>v</w:t>
      </w:r>
      <w:r>
        <w:rPr>
          <w:rFonts w:ascii="Gill Sans MT" w:hAnsi="Gill Sans MT"/>
          <w:w w:val="110"/>
          <w:sz w:val="13"/>
        </w:rPr>
        <w:t>e</w:t>
      </w:r>
      <w:r>
        <w:rPr>
          <w:rFonts w:ascii="Gill Sans MT" w:hAnsi="Gill Sans MT"/>
          <w:spacing w:val="-1"/>
          <w:w w:val="85"/>
          <w:sz w:val="13"/>
        </w:rPr>
        <w:t>r</w:t>
      </w:r>
      <w:r>
        <w:rPr>
          <w:rFonts w:ascii="Gill Sans MT" w:hAnsi="Gill Sans MT"/>
          <w:spacing w:val="-1"/>
          <w:w w:val="127"/>
          <w:sz w:val="13"/>
        </w:rPr>
        <w:t>a</w:t>
      </w:r>
      <w:r>
        <w:rPr>
          <w:rFonts w:ascii="Gill Sans MT" w:hAnsi="Gill Sans MT"/>
          <w:spacing w:val="-1"/>
          <w:w w:val="131"/>
          <w:sz w:val="13"/>
        </w:rPr>
        <w:t>g</w:t>
      </w:r>
      <w:r>
        <w:rPr>
          <w:rFonts w:ascii="Gill Sans MT" w:hAnsi="Gill Sans MT"/>
          <w:w w:val="110"/>
          <w:sz w:val="13"/>
        </w:rPr>
        <w:t>e</w:t>
      </w:r>
      <w:r>
        <w:rPr>
          <w:rFonts w:ascii="Gill Sans MT" w:hAnsi="Gill Sans MT"/>
          <w:spacing w:val="2"/>
          <w:sz w:val="13"/>
        </w:rPr>
        <w:t> </w:t>
      </w:r>
      <w:r>
        <w:rPr>
          <w:rFonts w:ascii="Gill Sans MT" w:hAnsi="Gill Sans MT"/>
          <w:spacing w:val="-1"/>
          <w:w w:val="127"/>
          <w:sz w:val="13"/>
        </w:rPr>
        <w:t>a</w:t>
      </w:r>
      <w:r>
        <w:rPr>
          <w:rFonts w:ascii="Gill Sans MT" w:hAnsi="Gill Sans MT"/>
          <w:w w:val="110"/>
          <w:sz w:val="13"/>
        </w:rPr>
        <w:t>nn</w:t>
      </w:r>
      <w:r>
        <w:rPr>
          <w:rFonts w:ascii="Gill Sans MT" w:hAnsi="Gill Sans MT"/>
          <w:w w:val="109"/>
          <w:sz w:val="13"/>
        </w:rPr>
        <w:t>u</w:t>
      </w:r>
      <w:r>
        <w:rPr>
          <w:rFonts w:ascii="Gill Sans MT" w:hAnsi="Gill Sans MT"/>
          <w:spacing w:val="-1"/>
          <w:w w:val="127"/>
          <w:sz w:val="13"/>
        </w:rPr>
        <w:t>a</w:t>
      </w:r>
      <w:r>
        <w:rPr>
          <w:rFonts w:ascii="Gill Sans MT" w:hAnsi="Gill Sans MT"/>
          <w:w w:val="110"/>
          <w:sz w:val="13"/>
        </w:rPr>
        <w:t>l</w:t>
      </w:r>
      <w:r>
        <w:rPr>
          <w:rFonts w:ascii="Gill Sans MT" w:hAnsi="Gill Sans MT"/>
          <w:spacing w:val="-1"/>
          <w:sz w:val="13"/>
        </w:rPr>
        <w:t> </w:t>
      </w:r>
      <w:r>
        <w:rPr>
          <w:rFonts w:ascii="Gill Sans MT" w:hAnsi="Gill Sans MT"/>
          <w:spacing w:val="-1"/>
          <w:w w:val="85"/>
          <w:sz w:val="13"/>
        </w:rPr>
        <w:t>r</w:t>
      </w:r>
      <w:r>
        <w:rPr>
          <w:rFonts w:ascii="Gill Sans MT" w:hAnsi="Gill Sans MT"/>
          <w:w w:val="110"/>
          <w:sz w:val="13"/>
        </w:rPr>
        <w:t>e</w:t>
      </w:r>
      <w:r>
        <w:rPr>
          <w:rFonts w:ascii="Gill Sans MT" w:hAnsi="Gill Sans MT"/>
          <w:w w:val="97"/>
          <w:sz w:val="13"/>
        </w:rPr>
        <w:t>t</w:t>
      </w:r>
      <w:r>
        <w:rPr>
          <w:rFonts w:ascii="Gill Sans MT" w:hAnsi="Gill Sans MT"/>
          <w:w w:val="109"/>
          <w:sz w:val="13"/>
        </w:rPr>
        <w:t>u</w:t>
      </w:r>
      <w:r>
        <w:rPr>
          <w:rFonts w:ascii="Gill Sans MT" w:hAnsi="Gill Sans MT"/>
          <w:spacing w:val="-1"/>
          <w:w w:val="85"/>
          <w:sz w:val="13"/>
        </w:rPr>
        <w:t>r</w:t>
      </w:r>
      <w:r>
        <w:rPr>
          <w:rFonts w:ascii="Gill Sans MT" w:hAnsi="Gill Sans MT"/>
          <w:w w:val="110"/>
          <w:sz w:val="13"/>
        </w:rPr>
        <w:t>n</w:t>
      </w:r>
      <w:r>
        <w:rPr>
          <w:rFonts w:ascii="Gill Sans MT" w:hAnsi="Gill Sans MT"/>
          <w:sz w:val="13"/>
        </w:rPr>
        <w:t> </w:t>
      </w:r>
      <w:r>
        <w:rPr>
          <w:rFonts w:ascii="Gill Sans MT" w:hAnsi="Gill Sans MT"/>
          <w:w w:val="104"/>
          <w:sz w:val="13"/>
        </w:rPr>
        <w:t>w</w:t>
      </w:r>
      <w:r>
        <w:rPr>
          <w:rFonts w:ascii="Gill Sans MT" w:hAnsi="Gill Sans MT"/>
          <w:spacing w:val="-1"/>
          <w:w w:val="127"/>
          <w:sz w:val="13"/>
        </w:rPr>
        <w:t>a</w:t>
      </w:r>
      <w:r>
        <w:rPr>
          <w:rFonts w:ascii="Gill Sans MT" w:hAnsi="Gill Sans MT"/>
          <w:w w:val="133"/>
          <w:sz w:val="13"/>
        </w:rPr>
        <w:t>s</w:t>
      </w:r>
      <w:r>
        <w:rPr>
          <w:rFonts w:ascii="Gill Sans MT" w:hAnsi="Gill Sans MT"/>
          <w:spacing w:val="-3"/>
          <w:sz w:val="13"/>
        </w:rPr>
        <w:t> </w:t>
      </w:r>
      <w:r>
        <w:rPr>
          <w:rFonts w:ascii="Gill Sans MT" w:hAnsi="Gill Sans MT"/>
          <w:spacing w:val="-1"/>
          <w:w w:val="111"/>
          <w:sz w:val="13"/>
        </w:rPr>
        <w:t>10</w:t>
      </w:r>
      <w:r>
        <w:rPr>
          <w:rFonts w:ascii="Gill Sans MT" w:hAnsi="Gill Sans MT"/>
          <w:spacing w:val="-1"/>
          <w:w w:val="119"/>
          <w:sz w:val="13"/>
        </w:rPr>
        <w:t>.</w:t>
      </w:r>
      <w:r>
        <w:rPr>
          <w:rFonts w:ascii="Gill Sans MT" w:hAnsi="Gill Sans MT"/>
          <w:spacing w:val="-1"/>
          <w:w w:val="111"/>
          <w:sz w:val="13"/>
        </w:rPr>
        <w:t>6</w:t>
      </w:r>
      <w:r>
        <w:rPr>
          <w:rFonts w:ascii="Gill Sans MT" w:hAnsi="Gill Sans MT"/>
          <w:w w:val="108"/>
          <w:sz w:val="13"/>
        </w:rPr>
        <w:t>%</w:t>
      </w:r>
      <w:r>
        <w:rPr>
          <w:rFonts w:ascii="Gill Sans MT" w:hAnsi="Gill Sans MT"/>
          <w:w w:val="119"/>
          <w:sz w:val="13"/>
        </w:rPr>
        <w:t>.</w:t>
      </w:r>
      <w:r>
        <w:rPr>
          <w:rFonts w:ascii="Gill Sans MT" w:hAnsi="Gill Sans MT"/>
          <w:spacing w:val="-4"/>
          <w:sz w:val="13"/>
        </w:rPr>
        <w:t> </w:t>
      </w:r>
      <w:r>
        <w:rPr>
          <w:rFonts w:ascii="Gill Sans MT" w:hAnsi="Gill Sans MT"/>
          <w:spacing w:val="-1"/>
          <w:w w:val="87"/>
          <w:sz w:val="13"/>
        </w:rPr>
        <w:t>D</w:t>
      </w:r>
      <w:r>
        <w:rPr>
          <w:rFonts w:ascii="Gill Sans MT" w:hAnsi="Gill Sans MT"/>
          <w:spacing w:val="-1"/>
          <w:w w:val="127"/>
          <w:sz w:val="13"/>
        </w:rPr>
        <w:t>a</w:t>
      </w:r>
      <w:r>
        <w:rPr>
          <w:rFonts w:ascii="Gill Sans MT" w:hAnsi="Gill Sans MT"/>
          <w:w w:val="97"/>
          <w:sz w:val="13"/>
        </w:rPr>
        <w:t>t</w:t>
      </w:r>
      <w:r>
        <w:rPr>
          <w:rFonts w:ascii="Gill Sans MT" w:hAnsi="Gill Sans MT"/>
          <w:w w:val="127"/>
          <w:sz w:val="13"/>
        </w:rPr>
        <w:t>a</w:t>
      </w:r>
      <w:r>
        <w:rPr>
          <w:rFonts w:ascii="Gill Sans MT" w:hAnsi="Gill Sans MT"/>
          <w:spacing w:val="-4"/>
          <w:sz w:val="13"/>
        </w:rPr>
        <w:t> </w:t>
      </w:r>
      <w:r>
        <w:rPr>
          <w:rFonts w:ascii="Gill Sans MT" w:hAnsi="Gill Sans MT"/>
          <w:spacing w:val="-1"/>
          <w:w w:val="127"/>
          <w:sz w:val="13"/>
        </w:rPr>
        <w:t>a</w:t>
      </w:r>
      <w:r>
        <w:rPr>
          <w:rFonts w:ascii="Gill Sans MT" w:hAnsi="Gill Sans MT"/>
          <w:spacing w:val="-1"/>
          <w:w w:val="85"/>
          <w:sz w:val="13"/>
        </w:rPr>
        <w:t>r</w:t>
      </w:r>
      <w:r>
        <w:rPr>
          <w:rFonts w:ascii="Gill Sans MT" w:hAnsi="Gill Sans MT"/>
          <w:w w:val="110"/>
          <w:sz w:val="13"/>
        </w:rPr>
        <w:t>e</w:t>
      </w:r>
      <w:r>
        <w:rPr>
          <w:rFonts w:ascii="Gill Sans MT" w:hAnsi="Gill Sans MT"/>
          <w:sz w:val="13"/>
        </w:rPr>
        <w:t> </w:t>
      </w:r>
      <w:r>
        <w:rPr>
          <w:rFonts w:ascii="Gill Sans MT" w:hAnsi="Gill Sans MT"/>
          <w:spacing w:val="-1"/>
          <w:w w:val="127"/>
          <w:sz w:val="13"/>
        </w:rPr>
        <w:t>a</w:t>
      </w:r>
      <w:r>
        <w:rPr>
          <w:rFonts w:ascii="Gill Sans MT" w:hAnsi="Gill Sans MT"/>
          <w:w w:val="133"/>
          <w:sz w:val="13"/>
        </w:rPr>
        <w:t>s</w:t>
      </w:r>
      <w:r>
        <w:rPr>
          <w:rFonts w:ascii="Gill Sans MT" w:hAnsi="Gill Sans MT"/>
          <w:spacing w:val="-3"/>
          <w:sz w:val="13"/>
        </w:rPr>
        <w:t> </w:t>
      </w:r>
      <w:r>
        <w:rPr>
          <w:rFonts w:ascii="Gill Sans MT" w:hAnsi="Gill Sans MT"/>
          <w:w w:val="103"/>
          <w:sz w:val="13"/>
        </w:rPr>
        <w:t>o</w:t>
      </w:r>
      <w:r>
        <w:rPr>
          <w:rFonts w:ascii="Gill Sans MT" w:hAnsi="Gill Sans MT"/>
          <w:w w:val="138"/>
          <w:sz w:val="13"/>
        </w:rPr>
        <w:t>f</w:t>
      </w:r>
      <w:r>
        <w:rPr>
          <w:rFonts w:ascii="Gill Sans MT" w:hAnsi="Gill Sans MT"/>
          <w:spacing w:val="-1"/>
          <w:sz w:val="13"/>
        </w:rPr>
        <w:t> </w:t>
      </w:r>
      <w:r>
        <w:rPr>
          <w:rFonts w:ascii="Gill Sans MT" w:hAnsi="Gill Sans MT"/>
          <w:w w:val="220"/>
          <w:sz w:val="13"/>
        </w:rPr>
        <w:t>J</w:t>
      </w:r>
      <w:r>
        <w:rPr>
          <w:rFonts w:ascii="Gill Sans MT" w:hAnsi="Gill Sans MT"/>
          <w:w w:val="109"/>
          <w:sz w:val="13"/>
        </w:rPr>
        <w:t>u</w:t>
      </w:r>
      <w:r>
        <w:rPr>
          <w:rFonts w:ascii="Gill Sans MT" w:hAnsi="Gill Sans MT"/>
          <w:w w:val="110"/>
          <w:sz w:val="13"/>
        </w:rPr>
        <w:t>n</w:t>
      </w:r>
      <w:r>
        <w:rPr>
          <w:rFonts w:ascii="Gill Sans MT" w:hAnsi="Gill Sans MT"/>
          <w:w w:val="110"/>
          <w:sz w:val="13"/>
        </w:rPr>
        <w:t>e</w:t>
      </w:r>
      <w:r>
        <w:rPr>
          <w:rFonts w:ascii="Gill Sans MT" w:hAnsi="Gill Sans MT"/>
          <w:sz w:val="13"/>
        </w:rPr>
        <w:t> </w:t>
      </w:r>
      <w:r>
        <w:rPr>
          <w:rFonts w:ascii="Gill Sans MT" w:hAnsi="Gill Sans MT"/>
          <w:spacing w:val="-1"/>
          <w:w w:val="111"/>
          <w:sz w:val="13"/>
        </w:rPr>
        <w:t>30</w:t>
      </w:r>
      <w:r>
        <w:rPr>
          <w:rFonts w:ascii="Gill Sans MT" w:hAnsi="Gill Sans MT"/>
          <w:w w:val="89"/>
          <w:sz w:val="13"/>
        </w:rPr>
        <w:t>,</w:t>
      </w:r>
      <w:r>
        <w:rPr>
          <w:rFonts w:ascii="Gill Sans MT" w:hAnsi="Gill Sans MT"/>
          <w:spacing w:val="-5"/>
          <w:sz w:val="13"/>
        </w:rPr>
        <w:t> </w:t>
      </w:r>
      <w:r>
        <w:rPr>
          <w:rFonts w:ascii="Gill Sans MT" w:hAnsi="Gill Sans MT"/>
          <w:spacing w:val="-1"/>
          <w:w w:val="111"/>
          <w:sz w:val="13"/>
        </w:rPr>
        <w:t>2025</w:t>
      </w:r>
      <w:r>
        <w:rPr>
          <w:rFonts w:ascii="Gill Sans MT" w:hAnsi="Gill Sans MT"/>
          <w:w w:val="119"/>
          <w:sz w:val="13"/>
        </w:rPr>
        <w:t>.</w:t>
      </w:r>
    </w:p>
    <w:p>
      <w:pPr>
        <w:spacing w:after="0" w:line="247" w:lineRule="auto"/>
        <w:jc w:val="left"/>
        <w:rPr>
          <w:rFonts w:ascii="Gill Sans MT" w:hAnsi="Gill Sans MT"/>
          <w:sz w:val="13"/>
        </w:rPr>
        <w:sectPr>
          <w:headerReference w:type="default" r:id="rId71"/>
          <w:footerReference w:type="default" r:id="rId72"/>
          <w:pgSz w:w="14400" w:h="10800" w:orient="landscape"/>
          <w:pgMar w:header="0" w:footer="1078" w:top="560" w:bottom="1260" w:left="20" w:right="40"/>
          <w:pgNumType w:start="28"/>
        </w:sectPr>
      </w:pPr>
    </w:p>
    <w:p>
      <w:pPr>
        <w:pStyle w:val="BodyText"/>
        <w:spacing w:before="11"/>
        <w:rPr>
          <w:rFonts w:ascii="Gill Sans MT"/>
          <w:sz w:val="10"/>
        </w:rPr>
      </w:pPr>
    </w:p>
    <w:p>
      <w:pPr>
        <w:spacing w:after="0"/>
        <w:rPr>
          <w:rFonts w:ascii="Gill Sans MT"/>
          <w:sz w:val="10"/>
        </w:rPr>
        <w:sectPr>
          <w:headerReference w:type="default" r:id="rId74"/>
          <w:footerReference w:type="default" r:id="rId75"/>
          <w:pgSz w:w="14400" w:h="10800" w:orient="landscape"/>
          <w:pgMar w:header="639" w:footer="1045" w:top="1480" w:bottom="1240" w:left="20" w:right="40"/>
          <w:pgNumType w:start="29"/>
        </w:sectPr>
      </w:pPr>
    </w:p>
    <w:p>
      <w:pPr>
        <w:spacing w:line="223" w:lineRule="auto" w:before="119"/>
        <w:ind w:left="830" w:right="385" w:firstLine="0"/>
        <w:jc w:val="left"/>
        <w:rPr>
          <w:rFonts w:ascii="Gill Sans MT"/>
          <w:sz w:val="32"/>
        </w:rPr>
      </w:pPr>
      <w:bookmarkStart w:name="Slide 29: U.S. Dollar &amp; Equity Market Re" w:id="36"/>
      <w:bookmarkEnd w:id="36"/>
      <w:r>
        <w:rPr/>
      </w:r>
      <w:r>
        <w:rPr>
          <w:rFonts w:ascii="Gill Sans MT"/>
          <w:w w:val="110"/>
          <w:sz w:val="32"/>
        </w:rPr>
        <w:t>The</w:t>
      </w:r>
      <w:r>
        <w:rPr>
          <w:rFonts w:ascii="Gill Sans MT"/>
          <w:spacing w:val="-36"/>
          <w:w w:val="110"/>
          <w:sz w:val="32"/>
        </w:rPr>
        <w:t> </w:t>
      </w:r>
      <w:r>
        <w:rPr>
          <w:rFonts w:ascii="Gill Sans MT"/>
          <w:w w:val="110"/>
          <w:sz w:val="32"/>
        </w:rPr>
        <w:t>U.S.</w:t>
      </w:r>
      <w:r>
        <w:rPr>
          <w:rFonts w:ascii="Gill Sans MT"/>
          <w:spacing w:val="-36"/>
          <w:w w:val="110"/>
          <w:sz w:val="32"/>
        </w:rPr>
        <w:t> </w:t>
      </w:r>
      <w:r>
        <w:rPr>
          <w:rFonts w:ascii="Gill Sans MT"/>
          <w:w w:val="110"/>
          <w:sz w:val="32"/>
        </w:rPr>
        <w:t>dollar</w:t>
      </w:r>
      <w:r>
        <w:rPr>
          <w:rFonts w:ascii="Gill Sans MT"/>
          <w:spacing w:val="-37"/>
          <w:w w:val="110"/>
          <w:sz w:val="32"/>
        </w:rPr>
        <w:t> </w:t>
      </w:r>
      <w:r>
        <w:rPr>
          <w:rFonts w:ascii="Gill Sans MT"/>
          <w:w w:val="110"/>
          <w:sz w:val="32"/>
        </w:rPr>
        <w:t>declined</w:t>
      </w:r>
      <w:r>
        <w:rPr>
          <w:rFonts w:ascii="Gill Sans MT"/>
          <w:spacing w:val="-38"/>
          <w:w w:val="110"/>
          <w:sz w:val="32"/>
        </w:rPr>
        <w:t> </w:t>
      </w:r>
      <w:r>
        <w:rPr>
          <w:rFonts w:ascii="Gill Sans MT"/>
          <w:w w:val="110"/>
          <w:sz w:val="32"/>
        </w:rPr>
        <w:t>to</w:t>
      </w:r>
      <w:r>
        <w:rPr>
          <w:rFonts w:ascii="Gill Sans MT"/>
          <w:spacing w:val="-34"/>
          <w:w w:val="110"/>
          <w:sz w:val="32"/>
        </w:rPr>
        <w:t> </w:t>
      </w:r>
      <w:r>
        <w:rPr>
          <w:rFonts w:ascii="Gill Sans MT"/>
          <w:w w:val="110"/>
          <w:sz w:val="32"/>
        </w:rPr>
        <w:t>its</w:t>
      </w:r>
      <w:r>
        <w:rPr>
          <w:rFonts w:ascii="Gill Sans MT"/>
          <w:spacing w:val="-35"/>
          <w:w w:val="110"/>
          <w:sz w:val="32"/>
        </w:rPr>
        <w:t> </w:t>
      </w:r>
      <w:r>
        <w:rPr>
          <w:rFonts w:ascii="Gill Sans MT"/>
          <w:w w:val="110"/>
          <w:sz w:val="32"/>
        </w:rPr>
        <w:t>lowest</w:t>
      </w:r>
      <w:r>
        <w:rPr>
          <w:rFonts w:ascii="Gill Sans MT"/>
          <w:spacing w:val="-38"/>
          <w:w w:val="110"/>
          <w:sz w:val="32"/>
        </w:rPr>
        <w:t> </w:t>
      </w:r>
      <w:r>
        <w:rPr>
          <w:rFonts w:ascii="Gill Sans MT"/>
          <w:w w:val="110"/>
          <w:sz w:val="32"/>
        </w:rPr>
        <w:t>level</w:t>
      </w:r>
      <w:r>
        <w:rPr>
          <w:rFonts w:ascii="Gill Sans MT"/>
          <w:spacing w:val="-32"/>
          <w:w w:val="110"/>
          <w:sz w:val="32"/>
        </w:rPr>
        <w:t> </w:t>
      </w:r>
      <w:r>
        <w:rPr>
          <w:rFonts w:ascii="Gill Sans MT"/>
          <w:w w:val="110"/>
          <w:sz w:val="32"/>
        </w:rPr>
        <w:t>in over three</w:t>
      </w:r>
      <w:r>
        <w:rPr>
          <w:rFonts w:ascii="Gill Sans MT"/>
          <w:spacing w:val="-56"/>
          <w:w w:val="110"/>
          <w:sz w:val="32"/>
        </w:rPr>
        <w:t> </w:t>
      </w:r>
      <w:r>
        <w:rPr>
          <w:rFonts w:ascii="Gill Sans MT"/>
          <w:w w:val="110"/>
          <w:sz w:val="32"/>
        </w:rPr>
        <w:t>years</w:t>
      </w:r>
    </w:p>
    <w:p>
      <w:pPr>
        <w:pStyle w:val="Heading5"/>
        <w:numPr>
          <w:ilvl w:val="1"/>
          <w:numId w:val="5"/>
        </w:numPr>
        <w:tabs>
          <w:tab w:pos="1102" w:val="left" w:leader="none"/>
        </w:tabs>
        <w:spacing w:line="223" w:lineRule="auto" w:before="161" w:after="0"/>
        <w:ind w:left="1101" w:right="65" w:hanging="272"/>
        <w:jc w:val="left"/>
      </w:pPr>
      <w:r>
        <w:rPr>
          <w:w w:val="110"/>
        </w:rPr>
        <w:t>U.S. trade policy uncertainty and concerns over the</w:t>
      </w:r>
      <w:r>
        <w:rPr>
          <w:spacing w:val="-11"/>
          <w:w w:val="110"/>
        </w:rPr>
        <w:t> </w:t>
      </w:r>
      <w:r>
        <w:rPr>
          <w:w w:val="110"/>
        </w:rPr>
        <w:t>long-term</w:t>
      </w:r>
      <w:r>
        <w:rPr>
          <w:spacing w:val="-16"/>
          <w:w w:val="110"/>
        </w:rPr>
        <w:t> </w:t>
      </w:r>
      <w:r>
        <w:rPr>
          <w:w w:val="110"/>
        </w:rPr>
        <w:t>fiscal</w:t>
      </w:r>
      <w:r>
        <w:rPr>
          <w:spacing w:val="-12"/>
          <w:w w:val="110"/>
        </w:rPr>
        <w:t> </w:t>
      </w:r>
      <w:r>
        <w:rPr>
          <w:w w:val="110"/>
        </w:rPr>
        <w:t>health</w:t>
      </w:r>
      <w:r>
        <w:rPr>
          <w:spacing w:val="-13"/>
          <w:w w:val="110"/>
        </w:rPr>
        <w:t> </w:t>
      </w:r>
      <w:r>
        <w:rPr>
          <w:w w:val="110"/>
        </w:rPr>
        <w:t>of</w:t>
      </w:r>
      <w:r>
        <w:rPr>
          <w:spacing w:val="-11"/>
          <w:w w:val="110"/>
        </w:rPr>
        <w:t> </w:t>
      </w:r>
      <w:r>
        <w:rPr>
          <w:w w:val="110"/>
        </w:rPr>
        <w:t>the</w:t>
      </w:r>
      <w:r>
        <w:rPr>
          <w:spacing w:val="-10"/>
          <w:w w:val="110"/>
        </w:rPr>
        <w:t> </w:t>
      </w:r>
      <w:r>
        <w:rPr>
          <w:w w:val="110"/>
        </w:rPr>
        <w:t>U.S.</w:t>
      </w:r>
      <w:r>
        <w:rPr>
          <w:spacing w:val="-17"/>
          <w:w w:val="110"/>
        </w:rPr>
        <w:t> </w:t>
      </w:r>
      <w:r>
        <w:rPr>
          <w:w w:val="110"/>
        </w:rPr>
        <w:t>government have weakened demand for dollar-denominated assets</w:t>
      </w:r>
    </w:p>
    <w:p>
      <w:pPr>
        <w:pStyle w:val="ListParagraph"/>
        <w:numPr>
          <w:ilvl w:val="1"/>
          <w:numId w:val="5"/>
        </w:numPr>
        <w:tabs>
          <w:tab w:pos="1102" w:val="left" w:leader="none"/>
        </w:tabs>
        <w:spacing w:line="223" w:lineRule="auto" w:before="158" w:after="0"/>
        <w:ind w:left="1101" w:right="0" w:hanging="272"/>
        <w:jc w:val="left"/>
        <w:rPr>
          <w:rFonts w:ascii="Gill Sans MT" w:hAnsi="Gill Sans MT"/>
          <w:sz w:val="28"/>
        </w:rPr>
      </w:pPr>
      <w:r>
        <w:rPr>
          <w:rFonts w:ascii="Gill Sans MT" w:hAnsi="Gill Sans MT"/>
          <w:w w:val="110"/>
          <w:sz w:val="28"/>
        </w:rPr>
        <w:t>The U.S. dollar has declined 10% relative to a basket of global currencies since the beginning of 2025 and reached its lowest level since early</w:t>
      </w:r>
      <w:r>
        <w:rPr>
          <w:rFonts w:ascii="Gill Sans MT" w:hAnsi="Gill Sans MT"/>
          <w:spacing w:val="-45"/>
          <w:w w:val="110"/>
          <w:sz w:val="28"/>
        </w:rPr>
        <w:t> </w:t>
      </w:r>
      <w:r>
        <w:rPr>
          <w:rFonts w:ascii="Gill Sans MT" w:hAnsi="Gill Sans MT"/>
          <w:w w:val="110"/>
          <w:sz w:val="28"/>
        </w:rPr>
        <w:t>2022</w:t>
      </w:r>
    </w:p>
    <w:p>
      <w:pPr>
        <w:pStyle w:val="BodyText"/>
        <w:rPr>
          <w:rFonts w:ascii="Gill Sans MT"/>
          <w:sz w:val="32"/>
        </w:rPr>
      </w:pPr>
    </w:p>
    <w:p>
      <w:pPr>
        <w:spacing w:line="223" w:lineRule="auto" w:before="234"/>
        <w:ind w:left="830" w:right="0" w:firstLine="0"/>
        <w:jc w:val="left"/>
        <w:rPr>
          <w:rFonts w:ascii="Gill Sans MT"/>
          <w:sz w:val="32"/>
        </w:rPr>
      </w:pPr>
      <w:r>
        <w:rPr>
          <w:rFonts w:ascii="Gill Sans MT"/>
          <w:w w:val="110"/>
          <w:sz w:val="32"/>
        </w:rPr>
        <w:t>Globally</w:t>
      </w:r>
      <w:r>
        <w:rPr>
          <w:rFonts w:ascii="Gill Sans MT"/>
          <w:spacing w:val="-34"/>
          <w:w w:val="110"/>
          <w:sz w:val="32"/>
        </w:rPr>
        <w:t> </w:t>
      </w:r>
      <w:r>
        <w:rPr>
          <w:rFonts w:ascii="Gill Sans MT"/>
          <w:w w:val="110"/>
          <w:sz w:val="32"/>
        </w:rPr>
        <w:t>diversified</w:t>
      </w:r>
      <w:r>
        <w:rPr>
          <w:rFonts w:ascii="Gill Sans MT"/>
          <w:spacing w:val="-32"/>
          <w:w w:val="110"/>
          <w:sz w:val="32"/>
        </w:rPr>
        <w:t> </w:t>
      </w:r>
      <w:r>
        <w:rPr>
          <w:rFonts w:ascii="Gill Sans MT"/>
          <w:w w:val="110"/>
          <w:sz w:val="32"/>
        </w:rPr>
        <w:t>investors</w:t>
      </w:r>
      <w:r>
        <w:rPr>
          <w:rFonts w:ascii="Gill Sans MT"/>
          <w:spacing w:val="-33"/>
          <w:w w:val="110"/>
          <w:sz w:val="32"/>
        </w:rPr>
        <w:t> </w:t>
      </w:r>
      <w:r>
        <w:rPr>
          <w:rFonts w:ascii="Gill Sans MT"/>
          <w:w w:val="110"/>
          <w:sz w:val="32"/>
        </w:rPr>
        <w:t>have</w:t>
      </w:r>
      <w:r>
        <w:rPr>
          <w:rFonts w:ascii="Gill Sans MT"/>
          <w:spacing w:val="-30"/>
          <w:w w:val="110"/>
          <w:sz w:val="32"/>
        </w:rPr>
        <w:t> </w:t>
      </w:r>
      <w:r>
        <w:rPr>
          <w:rFonts w:ascii="Gill Sans MT"/>
          <w:w w:val="110"/>
          <w:sz w:val="32"/>
        </w:rPr>
        <w:t>benefited </w:t>
      </w:r>
      <w:r>
        <w:rPr>
          <w:rFonts w:ascii="Gill Sans MT"/>
          <w:w w:val="115"/>
          <w:sz w:val="32"/>
        </w:rPr>
        <w:t>from</w:t>
      </w:r>
      <w:r>
        <w:rPr>
          <w:rFonts w:ascii="Gill Sans MT"/>
          <w:spacing w:val="-40"/>
          <w:w w:val="115"/>
          <w:sz w:val="32"/>
        </w:rPr>
        <w:t> </w:t>
      </w:r>
      <w:r>
        <w:rPr>
          <w:rFonts w:ascii="Gill Sans MT"/>
          <w:w w:val="115"/>
          <w:sz w:val="32"/>
        </w:rPr>
        <w:t>a</w:t>
      </w:r>
      <w:r>
        <w:rPr>
          <w:rFonts w:ascii="Gill Sans MT"/>
          <w:spacing w:val="-33"/>
          <w:w w:val="115"/>
          <w:sz w:val="32"/>
        </w:rPr>
        <w:t> </w:t>
      </w:r>
      <w:r>
        <w:rPr>
          <w:rFonts w:ascii="Gill Sans MT"/>
          <w:w w:val="115"/>
          <w:sz w:val="32"/>
        </w:rPr>
        <w:t>weakening</w:t>
      </w:r>
      <w:r>
        <w:rPr>
          <w:rFonts w:ascii="Gill Sans MT"/>
          <w:spacing w:val="-40"/>
          <w:w w:val="115"/>
          <w:sz w:val="32"/>
        </w:rPr>
        <w:t> </w:t>
      </w:r>
      <w:r>
        <w:rPr>
          <w:rFonts w:ascii="Gill Sans MT"/>
          <w:w w:val="115"/>
          <w:sz w:val="32"/>
        </w:rPr>
        <w:t>dollar</w:t>
      </w:r>
      <w:r>
        <w:rPr>
          <w:rFonts w:ascii="Gill Sans MT"/>
          <w:spacing w:val="-39"/>
          <w:w w:val="115"/>
          <w:sz w:val="32"/>
        </w:rPr>
        <w:t> </w:t>
      </w:r>
      <w:r>
        <w:rPr>
          <w:rFonts w:ascii="Gill Sans MT"/>
          <w:w w:val="115"/>
          <w:sz w:val="32"/>
        </w:rPr>
        <w:t>in</w:t>
      </w:r>
      <w:r>
        <w:rPr>
          <w:rFonts w:ascii="Gill Sans MT"/>
          <w:spacing w:val="-36"/>
          <w:w w:val="115"/>
          <w:sz w:val="32"/>
        </w:rPr>
        <w:t> </w:t>
      </w:r>
      <w:r>
        <w:rPr>
          <w:rFonts w:ascii="Gill Sans MT"/>
          <w:w w:val="115"/>
          <w:sz w:val="32"/>
        </w:rPr>
        <w:t>2025</w:t>
      </w:r>
    </w:p>
    <w:p>
      <w:pPr>
        <w:pStyle w:val="ListParagraph"/>
        <w:numPr>
          <w:ilvl w:val="1"/>
          <w:numId w:val="5"/>
        </w:numPr>
        <w:tabs>
          <w:tab w:pos="1102" w:val="left" w:leader="none"/>
        </w:tabs>
        <w:spacing w:line="223" w:lineRule="auto" w:before="161" w:after="0"/>
        <w:ind w:left="1101" w:right="224" w:hanging="272"/>
        <w:jc w:val="left"/>
        <w:rPr>
          <w:rFonts w:ascii="Gill Sans MT" w:hAnsi="Gill Sans MT"/>
          <w:sz w:val="28"/>
        </w:rPr>
      </w:pPr>
      <w:r>
        <w:rPr>
          <w:rFonts w:ascii="Gill Sans MT" w:hAnsi="Gill Sans MT"/>
          <w:w w:val="110"/>
          <w:sz w:val="28"/>
        </w:rPr>
        <w:t>Stock performance was positive across market segments, and U.S. investors with international equity</w:t>
      </w:r>
      <w:r>
        <w:rPr>
          <w:rFonts w:ascii="Gill Sans MT" w:hAnsi="Gill Sans MT"/>
          <w:spacing w:val="-28"/>
          <w:w w:val="110"/>
          <w:sz w:val="28"/>
        </w:rPr>
        <w:t> </w:t>
      </w:r>
      <w:r>
        <w:rPr>
          <w:rFonts w:ascii="Gill Sans MT" w:hAnsi="Gill Sans MT"/>
          <w:w w:val="110"/>
          <w:sz w:val="28"/>
        </w:rPr>
        <w:t>exposure</w:t>
      </w:r>
      <w:r>
        <w:rPr>
          <w:rFonts w:ascii="Gill Sans MT" w:hAnsi="Gill Sans MT"/>
          <w:spacing w:val="-31"/>
          <w:w w:val="110"/>
          <w:sz w:val="28"/>
        </w:rPr>
        <w:t> </w:t>
      </w:r>
      <w:r>
        <w:rPr>
          <w:rFonts w:ascii="Gill Sans MT" w:hAnsi="Gill Sans MT"/>
          <w:w w:val="110"/>
          <w:sz w:val="28"/>
        </w:rPr>
        <w:t>received</w:t>
      </w:r>
      <w:r>
        <w:rPr>
          <w:rFonts w:ascii="Gill Sans MT" w:hAnsi="Gill Sans MT"/>
          <w:spacing w:val="-31"/>
          <w:w w:val="110"/>
          <w:sz w:val="28"/>
        </w:rPr>
        <w:t> </w:t>
      </w:r>
      <w:r>
        <w:rPr>
          <w:rFonts w:ascii="Gill Sans MT" w:hAnsi="Gill Sans MT"/>
          <w:w w:val="110"/>
          <w:sz w:val="28"/>
        </w:rPr>
        <w:t>additional</w:t>
      </w:r>
      <w:r>
        <w:rPr>
          <w:rFonts w:ascii="Gill Sans MT" w:hAnsi="Gill Sans MT"/>
          <w:spacing w:val="-31"/>
          <w:w w:val="110"/>
          <w:sz w:val="28"/>
        </w:rPr>
        <w:t> </w:t>
      </w:r>
      <w:r>
        <w:rPr>
          <w:rFonts w:ascii="Gill Sans MT" w:hAnsi="Gill Sans MT"/>
          <w:w w:val="110"/>
          <w:sz w:val="28"/>
        </w:rPr>
        <w:t>returns</w:t>
      </w:r>
      <w:r>
        <w:rPr>
          <w:rFonts w:ascii="Gill Sans MT" w:hAnsi="Gill Sans MT"/>
          <w:spacing w:val="-30"/>
          <w:w w:val="110"/>
          <w:sz w:val="28"/>
        </w:rPr>
        <w:t> </w:t>
      </w:r>
      <w:r>
        <w:rPr>
          <w:rFonts w:ascii="Gill Sans MT" w:hAnsi="Gill Sans MT"/>
          <w:w w:val="110"/>
          <w:sz w:val="28"/>
        </w:rPr>
        <w:t>from the dollar’s</w:t>
      </w:r>
      <w:r>
        <w:rPr>
          <w:rFonts w:ascii="Gill Sans MT" w:hAnsi="Gill Sans MT"/>
          <w:spacing w:val="-35"/>
          <w:w w:val="110"/>
          <w:sz w:val="28"/>
        </w:rPr>
        <w:t> </w:t>
      </w:r>
      <w:r>
        <w:rPr>
          <w:rFonts w:ascii="Gill Sans MT" w:hAnsi="Gill Sans MT"/>
          <w:w w:val="110"/>
          <w:sz w:val="28"/>
        </w:rPr>
        <w:t>decline</w:t>
      </w:r>
    </w:p>
    <w:p>
      <w:pPr>
        <w:pStyle w:val="ListParagraph"/>
        <w:numPr>
          <w:ilvl w:val="1"/>
          <w:numId w:val="5"/>
        </w:numPr>
        <w:tabs>
          <w:tab w:pos="1102" w:val="left" w:leader="none"/>
        </w:tabs>
        <w:spacing w:line="223" w:lineRule="auto" w:before="157" w:after="0"/>
        <w:ind w:left="1101" w:right="46" w:hanging="272"/>
        <w:jc w:val="left"/>
        <w:rPr>
          <w:rFonts w:ascii="Gill Sans MT" w:hAnsi="Gill Sans MT"/>
          <w:sz w:val="28"/>
        </w:rPr>
      </w:pPr>
      <w:r>
        <w:rPr>
          <w:rFonts w:ascii="Gill Sans MT" w:hAnsi="Gill Sans MT"/>
          <w:w w:val="115"/>
          <w:sz w:val="28"/>
        </w:rPr>
        <w:t>When</w:t>
      </w:r>
      <w:r>
        <w:rPr>
          <w:rFonts w:ascii="Gill Sans MT" w:hAnsi="Gill Sans MT"/>
          <w:spacing w:val="-65"/>
          <w:w w:val="115"/>
          <w:sz w:val="28"/>
        </w:rPr>
        <w:t> </w:t>
      </w:r>
      <w:r>
        <w:rPr>
          <w:rFonts w:ascii="Gill Sans MT" w:hAnsi="Gill Sans MT"/>
          <w:w w:val="115"/>
          <w:sz w:val="28"/>
        </w:rPr>
        <w:t>the</w:t>
      </w:r>
      <w:r>
        <w:rPr>
          <w:rFonts w:ascii="Gill Sans MT" w:hAnsi="Gill Sans MT"/>
          <w:spacing w:val="-64"/>
          <w:w w:val="115"/>
          <w:sz w:val="28"/>
        </w:rPr>
        <w:t> </w:t>
      </w:r>
      <w:r>
        <w:rPr>
          <w:rFonts w:ascii="Gill Sans MT" w:hAnsi="Gill Sans MT"/>
          <w:w w:val="115"/>
          <w:sz w:val="28"/>
        </w:rPr>
        <w:t>purchasing</w:t>
      </w:r>
      <w:r>
        <w:rPr>
          <w:rFonts w:ascii="Gill Sans MT" w:hAnsi="Gill Sans MT"/>
          <w:spacing w:val="-65"/>
          <w:w w:val="115"/>
          <w:sz w:val="28"/>
        </w:rPr>
        <w:t> </w:t>
      </w:r>
      <w:r>
        <w:rPr>
          <w:rFonts w:ascii="Gill Sans MT" w:hAnsi="Gill Sans MT"/>
          <w:w w:val="115"/>
          <w:sz w:val="28"/>
        </w:rPr>
        <w:t>power</w:t>
      </w:r>
      <w:r>
        <w:rPr>
          <w:rFonts w:ascii="Gill Sans MT" w:hAnsi="Gill Sans MT"/>
          <w:spacing w:val="-65"/>
          <w:w w:val="115"/>
          <w:sz w:val="28"/>
        </w:rPr>
        <w:t> </w:t>
      </w:r>
      <w:r>
        <w:rPr>
          <w:rFonts w:ascii="Gill Sans MT" w:hAnsi="Gill Sans MT"/>
          <w:w w:val="115"/>
          <w:sz w:val="28"/>
        </w:rPr>
        <w:t>of</w:t>
      </w:r>
      <w:r>
        <w:rPr>
          <w:rFonts w:ascii="Gill Sans MT" w:hAnsi="Gill Sans MT"/>
          <w:spacing w:val="-65"/>
          <w:w w:val="115"/>
          <w:sz w:val="28"/>
        </w:rPr>
        <w:t> </w:t>
      </w:r>
      <w:r>
        <w:rPr>
          <w:rFonts w:ascii="Gill Sans MT" w:hAnsi="Gill Sans MT"/>
          <w:w w:val="115"/>
          <w:sz w:val="28"/>
        </w:rPr>
        <w:t>the</w:t>
      </w:r>
      <w:r>
        <w:rPr>
          <w:rFonts w:ascii="Gill Sans MT" w:hAnsi="Gill Sans MT"/>
          <w:spacing w:val="-63"/>
          <w:w w:val="115"/>
          <w:sz w:val="28"/>
        </w:rPr>
        <w:t> </w:t>
      </w:r>
      <w:r>
        <w:rPr>
          <w:rFonts w:ascii="Gill Sans MT" w:hAnsi="Gill Sans MT"/>
          <w:w w:val="115"/>
          <w:sz w:val="28"/>
        </w:rPr>
        <w:t>dollar</w:t>
      </w:r>
      <w:r>
        <w:rPr>
          <w:rFonts w:ascii="Gill Sans MT" w:hAnsi="Gill Sans MT"/>
          <w:spacing w:val="-65"/>
          <w:w w:val="115"/>
          <w:sz w:val="28"/>
        </w:rPr>
        <w:t> </w:t>
      </w:r>
      <w:r>
        <w:rPr>
          <w:rFonts w:ascii="Gill Sans MT" w:hAnsi="Gill Sans MT"/>
          <w:w w:val="115"/>
          <w:sz w:val="28"/>
        </w:rPr>
        <w:t>declines, a</w:t>
      </w:r>
      <w:r>
        <w:rPr>
          <w:rFonts w:ascii="Gill Sans MT" w:hAnsi="Gill Sans MT"/>
          <w:spacing w:val="-54"/>
          <w:w w:val="115"/>
          <w:sz w:val="28"/>
        </w:rPr>
        <w:t> </w:t>
      </w:r>
      <w:r>
        <w:rPr>
          <w:rFonts w:ascii="Gill Sans MT" w:hAnsi="Gill Sans MT"/>
          <w:w w:val="115"/>
          <w:sz w:val="28"/>
        </w:rPr>
        <w:t>diversified</w:t>
      </w:r>
      <w:r>
        <w:rPr>
          <w:rFonts w:ascii="Gill Sans MT" w:hAnsi="Gill Sans MT"/>
          <w:spacing w:val="-57"/>
          <w:w w:val="115"/>
          <w:sz w:val="28"/>
        </w:rPr>
        <w:t> </w:t>
      </w:r>
      <w:r>
        <w:rPr>
          <w:rFonts w:ascii="Gill Sans MT" w:hAnsi="Gill Sans MT"/>
          <w:w w:val="115"/>
          <w:sz w:val="28"/>
        </w:rPr>
        <w:t>portfolio</w:t>
      </w:r>
      <w:r>
        <w:rPr>
          <w:rFonts w:ascii="Gill Sans MT" w:hAnsi="Gill Sans MT"/>
          <w:spacing w:val="-55"/>
          <w:w w:val="115"/>
          <w:sz w:val="28"/>
        </w:rPr>
        <w:t> </w:t>
      </w:r>
      <w:r>
        <w:rPr>
          <w:rFonts w:ascii="Gill Sans MT" w:hAnsi="Gill Sans MT"/>
          <w:w w:val="115"/>
          <w:sz w:val="28"/>
        </w:rPr>
        <w:t>with</w:t>
      </w:r>
      <w:r>
        <w:rPr>
          <w:rFonts w:ascii="Gill Sans MT" w:hAnsi="Gill Sans MT"/>
          <w:spacing w:val="-53"/>
          <w:w w:val="115"/>
          <w:sz w:val="28"/>
        </w:rPr>
        <w:t> </w:t>
      </w:r>
      <w:r>
        <w:rPr>
          <w:rFonts w:ascii="Gill Sans MT" w:hAnsi="Gill Sans MT"/>
          <w:w w:val="115"/>
          <w:sz w:val="28"/>
        </w:rPr>
        <w:t>foreign-denominated assets</w:t>
      </w:r>
      <w:r>
        <w:rPr>
          <w:rFonts w:ascii="Gill Sans MT" w:hAnsi="Gill Sans MT"/>
          <w:spacing w:val="-34"/>
          <w:w w:val="115"/>
          <w:sz w:val="28"/>
        </w:rPr>
        <w:t> </w:t>
      </w:r>
      <w:r>
        <w:rPr>
          <w:rFonts w:ascii="Gill Sans MT" w:hAnsi="Gill Sans MT"/>
          <w:w w:val="115"/>
          <w:sz w:val="28"/>
        </w:rPr>
        <w:t>is</w:t>
      </w:r>
      <w:r>
        <w:rPr>
          <w:rFonts w:ascii="Gill Sans MT" w:hAnsi="Gill Sans MT"/>
          <w:spacing w:val="-32"/>
          <w:w w:val="115"/>
          <w:sz w:val="28"/>
        </w:rPr>
        <w:t> </w:t>
      </w:r>
      <w:r>
        <w:rPr>
          <w:rFonts w:ascii="Gill Sans MT" w:hAnsi="Gill Sans MT"/>
          <w:w w:val="115"/>
          <w:sz w:val="28"/>
        </w:rPr>
        <w:t>an</w:t>
      </w:r>
      <w:r>
        <w:rPr>
          <w:rFonts w:ascii="Gill Sans MT" w:hAnsi="Gill Sans MT"/>
          <w:spacing w:val="-35"/>
          <w:w w:val="115"/>
          <w:sz w:val="28"/>
        </w:rPr>
        <w:t> </w:t>
      </w:r>
      <w:r>
        <w:rPr>
          <w:rFonts w:ascii="Gill Sans MT" w:hAnsi="Gill Sans MT"/>
          <w:w w:val="115"/>
          <w:sz w:val="28"/>
        </w:rPr>
        <w:t>effective</w:t>
      </w:r>
      <w:r>
        <w:rPr>
          <w:rFonts w:ascii="Gill Sans MT" w:hAnsi="Gill Sans MT"/>
          <w:spacing w:val="-37"/>
          <w:w w:val="115"/>
          <w:sz w:val="28"/>
        </w:rPr>
        <w:t> </w:t>
      </w:r>
      <w:r>
        <w:rPr>
          <w:rFonts w:ascii="Gill Sans MT" w:hAnsi="Gill Sans MT"/>
          <w:w w:val="115"/>
          <w:sz w:val="28"/>
        </w:rPr>
        <w:t>way</w:t>
      </w:r>
      <w:r>
        <w:rPr>
          <w:rFonts w:ascii="Gill Sans MT" w:hAnsi="Gill Sans MT"/>
          <w:spacing w:val="-35"/>
          <w:w w:val="115"/>
          <w:sz w:val="28"/>
        </w:rPr>
        <w:t> </w:t>
      </w:r>
      <w:r>
        <w:rPr>
          <w:rFonts w:ascii="Gill Sans MT" w:hAnsi="Gill Sans MT"/>
          <w:w w:val="115"/>
          <w:sz w:val="28"/>
        </w:rPr>
        <w:t>to</w:t>
      </w:r>
      <w:r>
        <w:rPr>
          <w:rFonts w:ascii="Gill Sans MT" w:hAnsi="Gill Sans MT"/>
          <w:spacing w:val="-34"/>
          <w:w w:val="115"/>
          <w:sz w:val="28"/>
        </w:rPr>
        <w:t> </w:t>
      </w:r>
      <w:r>
        <w:rPr>
          <w:rFonts w:ascii="Gill Sans MT" w:hAnsi="Gill Sans MT"/>
          <w:w w:val="115"/>
          <w:sz w:val="28"/>
        </w:rPr>
        <w:t>help</w:t>
      </w:r>
      <w:r>
        <w:rPr>
          <w:rFonts w:ascii="Gill Sans MT" w:hAnsi="Gill Sans MT"/>
          <w:spacing w:val="-33"/>
          <w:w w:val="115"/>
          <w:sz w:val="28"/>
        </w:rPr>
        <w:t> </w:t>
      </w:r>
      <w:r>
        <w:rPr>
          <w:rFonts w:ascii="Gill Sans MT" w:hAnsi="Gill Sans MT"/>
          <w:w w:val="115"/>
          <w:sz w:val="28"/>
        </w:rPr>
        <w:t>protect</w:t>
      </w:r>
      <w:r>
        <w:rPr>
          <w:rFonts w:ascii="Gill Sans MT" w:hAnsi="Gill Sans MT"/>
          <w:spacing w:val="-35"/>
          <w:w w:val="115"/>
          <w:sz w:val="28"/>
        </w:rPr>
        <w:t> </w:t>
      </w:r>
      <w:r>
        <w:rPr>
          <w:rFonts w:ascii="Gill Sans MT" w:hAnsi="Gill Sans MT"/>
          <w:w w:val="115"/>
          <w:sz w:val="28"/>
        </w:rPr>
        <w:t>relative</w:t>
      </w:r>
    </w:p>
    <w:p>
      <w:pPr>
        <w:pStyle w:val="BodyText"/>
        <w:rPr>
          <w:rFonts w:ascii="Gill Sans MT"/>
        </w:rPr>
      </w:pPr>
      <w:r>
        <w:rPr/>
        <w:br w:type="column"/>
      </w:r>
      <w:r>
        <w:rPr>
          <w:rFonts w:ascii="Gill Sans MT"/>
        </w:rPr>
      </w:r>
    </w:p>
    <w:p>
      <w:pPr>
        <w:pStyle w:val="BodyText"/>
        <w:rPr>
          <w:rFonts w:ascii="Gill Sans MT"/>
        </w:rPr>
      </w:pPr>
    </w:p>
    <w:p>
      <w:pPr>
        <w:spacing w:before="170"/>
        <w:ind w:left="379" w:right="0" w:firstLine="0"/>
        <w:jc w:val="left"/>
        <w:rPr>
          <w:rFonts w:ascii="Gill Sans MT"/>
          <w:sz w:val="21"/>
        </w:rPr>
      </w:pPr>
      <w:r>
        <w:rPr>
          <w:rFonts w:ascii="Gill Sans MT"/>
          <w:w w:val="115"/>
          <w:sz w:val="21"/>
        </w:rPr>
        <w:t>112</w:t>
      </w:r>
    </w:p>
    <w:p>
      <w:pPr>
        <w:pStyle w:val="BodyText"/>
        <w:rPr>
          <w:rFonts w:ascii="Gill Sans MT"/>
        </w:rPr>
      </w:pPr>
    </w:p>
    <w:p>
      <w:pPr>
        <w:pStyle w:val="BodyText"/>
        <w:spacing w:before="8"/>
        <w:rPr>
          <w:rFonts w:ascii="Gill Sans MT"/>
          <w:sz w:val="21"/>
        </w:rPr>
      </w:pPr>
    </w:p>
    <w:p>
      <w:pPr>
        <w:spacing w:before="1"/>
        <w:ind w:left="379" w:right="0" w:firstLine="0"/>
        <w:jc w:val="left"/>
        <w:rPr>
          <w:rFonts w:ascii="Gill Sans MT"/>
          <w:sz w:val="21"/>
        </w:rPr>
      </w:pPr>
      <w:r>
        <w:rPr>
          <w:rFonts w:ascii="Gill Sans MT"/>
          <w:w w:val="115"/>
          <w:sz w:val="21"/>
        </w:rPr>
        <w:t>106</w:t>
      </w:r>
    </w:p>
    <w:p>
      <w:pPr>
        <w:pStyle w:val="BodyText"/>
        <w:rPr>
          <w:rFonts w:ascii="Gill Sans MT"/>
        </w:rPr>
      </w:pPr>
    </w:p>
    <w:p>
      <w:pPr>
        <w:pStyle w:val="BodyText"/>
        <w:spacing w:before="8"/>
        <w:rPr>
          <w:rFonts w:ascii="Gill Sans MT"/>
          <w:sz w:val="21"/>
        </w:rPr>
      </w:pPr>
    </w:p>
    <w:p>
      <w:pPr>
        <w:spacing w:before="0"/>
        <w:ind w:left="379" w:right="0" w:firstLine="0"/>
        <w:jc w:val="left"/>
        <w:rPr>
          <w:rFonts w:ascii="Gill Sans MT"/>
          <w:sz w:val="21"/>
        </w:rPr>
      </w:pPr>
      <w:r>
        <w:rPr>
          <w:rFonts w:ascii="Gill Sans MT"/>
          <w:spacing w:val="-2"/>
          <w:w w:val="115"/>
          <w:sz w:val="21"/>
        </w:rPr>
        <w:t>100</w:t>
      </w:r>
    </w:p>
    <w:p>
      <w:pPr>
        <w:pStyle w:val="BodyText"/>
        <w:rPr>
          <w:rFonts w:ascii="Gill Sans MT"/>
        </w:rPr>
      </w:pPr>
    </w:p>
    <w:p>
      <w:pPr>
        <w:pStyle w:val="BodyText"/>
        <w:spacing w:before="8"/>
        <w:rPr>
          <w:rFonts w:ascii="Gill Sans MT"/>
          <w:sz w:val="21"/>
        </w:rPr>
      </w:pPr>
    </w:p>
    <w:p>
      <w:pPr>
        <w:spacing w:before="1"/>
        <w:ind w:left="496" w:right="0" w:firstLine="0"/>
        <w:jc w:val="left"/>
        <w:rPr>
          <w:rFonts w:ascii="Gill Sans MT"/>
          <w:sz w:val="21"/>
        </w:rPr>
      </w:pPr>
      <w:r>
        <w:rPr>
          <w:rFonts w:ascii="Gill Sans MT"/>
          <w:w w:val="115"/>
          <w:sz w:val="21"/>
        </w:rPr>
        <w:t>94</w:t>
      </w:r>
    </w:p>
    <w:p>
      <w:pPr>
        <w:pStyle w:val="BodyText"/>
        <w:rPr>
          <w:rFonts w:ascii="Gill Sans MT"/>
        </w:rPr>
      </w:pPr>
    </w:p>
    <w:p>
      <w:pPr>
        <w:pStyle w:val="BodyText"/>
        <w:rPr>
          <w:rFonts w:ascii="Gill Sans MT"/>
        </w:rPr>
      </w:pPr>
    </w:p>
    <w:p>
      <w:pPr>
        <w:pStyle w:val="BodyText"/>
        <w:rPr>
          <w:rFonts w:ascii="Gill Sans MT"/>
        </w:rPr>
      </w:pPr>
    </w:p>
    <w:p>
      <w:pPr>
        <w:pStyle w:val="BodyText"/>
        <w:spacing w:before="3"/>
        <w:rPr>
          <w:rFonts w:ascii="Gill Sans MT"/>
          <w:sz w:val="32"/>
        </w:rPr>
      </w:pPr>
    </w:p>
    <w:p>
      <w:pPr>
        <w:spacing w:before="0"/>
        <w:ind w:left="378" w:right="0" w:firstLine="0"/>
        <w:jc w:val="left"/>
        <w:rPr>
          <w:rFonts w:ascii="Gill Sans MT"/>
          <w:sz w:val="21"/>
        </w:rPr>
      </w:pPr>
      <w:r>
        <w:rPr>
          <w:rFonts w:ascii="Gill Sans MT"/>
          <w:spacing w:val="-1"/>
          <w:w w:val="110"/>
          <w:sz w:val="21"/>
        </w:rPr>
        <w:t>20%</w:t>
      </w:r>
    </w:p>
    <w:p>
      <w:pPr>
        <w:spacing w:before="204"/>
        <w:ind w:left="378" w:right="0" w:firstLine="0"/>
        <w:jc w:val="left"/>
        <w:rPr>
          <w:rFonts w:ascii="Gill Sans MT"/>
          <w:sz w:val="21"/>
        </w:rPr>
      </w:pPr>
      <w:r>
        <w:rPr>
          <w:rFonts w:ascii="Gill Sans MT"/>
          <w:spacing w:val="-1"/>
          <w:w w:val="110"/>
          <w:sz w:val="21"/>
        </w:rPr>
        <w:t>16%</w:t>
      </w:r>
    </w:p>
    <w:p>
      <w:pPr>
        <w:spacing w:before="203"/>
        <w:ind w:left="378" w:right="0" w:firstLine="0"/>
        <w:jc w:val="left"/>
        <w:rPr>
          <w:rFonts w:ascii="Gill Sans MT"/>
          <w:sz w:val="21"/>
        </w:rPr>
      </w:pPr>
      <w:r>
        <w:rPr>
          <w:rFonts w:ascii="Gill Sans MT"/>
          <w:spacing w:val="-2"/>
          <w:w w:val="110"/>
          <w:sz w:val="21"/>
        </w:rPr>
        <w:t>12%</w:t>
      </w:r>
    </w:p>
    <w:p>
      <w:pPr>
        <w:spacing w:before="204"/>
        <w:ind w:left="497" w:right="0" w:firstLine="0"/>
        <w:jc w:val="left"/>
        <w:rPr>
          <w:rFonts w:ascii="Gill Sans MT"/>
          <w:sz w:val="21"/>
        </w:rPr>
      </w:pPr>
      <w:r>
        <w:rPr>
          <w:rFonts w:ascii="Gill Sans MT"/>
          <w:spacing w:val="-1"/>
          <w:w w:val="110"/>
          <w:sz w:val="21"/>
        </w:rPr>
        <w:t>8%</w:t>
      </w:r>
    </w:p>
    <w:p>
      <w:pPr>
        <w:spacing w:before="204"/>
        <w:ind w:left="497" w:right="0" w:firstLine="0"/>
        <w:jc w:val="left"/>
        <w:rPr>
          <w:rFonts w:ascii="Gill Sans MT"/>
          <w:sz w:val="21"/>
        </w:rPr>
      </w:pPr>
      <w:r>
        <w:rPr>
          <w:rFonts w:ascii="Gill Sans MT"/>
          <w:spacing w:val="-1"/>
          <w:w w:val="110"/>
          <w:sz w:val="21"/>
        </w:rPr>
        <w:t>4%</w:t>
      </w:r>
    </w:p>
    <w:p>
      <w:pPr>
        <w:spacing w:line="225" w:lineRule="exact" w:before="203"/>
        <w:ind w:left="497" w:right="0" w:firstLine="0"/>
        <w:jc w:val="left"/>
        <w:rPr>
          <w:rFonts w:ascii="Gill Sans MT"/>
          <w:sz w:val="21"/>
        </w:rPr>
      </w:pPr>
      <w:r>
        <w:rPr>
          <w:rFonts w:ascii="Gill Sans MT"/>
          <w:spacing w:val="-2"/>
          <w:w w:val="110"/>
          <w:sz w:val="21"/>
        </w:rPr>
        <w:t>0%</w:t>
      </w:r>
    </w:p>
    <w:p>
      <w:pPr>
        <w:pStyle w:val="Heading3"/>
        <w:spacing w:before="108"/>
        <w:ind w:left="1301"/>
      </w:pPr>
      <w:r>
        <w:rPr/>
        <w:br w:type="column"/>
      </w:r>
      <w:r>
        <w:rPr>
          <w:w w:val="105"/>
        </w:rPr>
        <w:t>U.S. Dollar Index</w:t>
      </w:r>
    </w:p>
    <w:p>
      <w:pPr>
        <w:pStyle w:val="BodyText"/>
        <w:spacing w:before="2"/>
        <w:rPr>
          <w:rFonts w:ascii="Gill Sans MT"/>
          <w:sz w:val="26"/>
        </w:rPr>
      </w:pPr>
      <w:r>
        <w:rPr/>
        <w:pict>
          <v:group style="position:absolute;margin-left:414.92923pt;margin-top:17.168970pt;width:258.8pt;height:105.5pt;mso-position-horizontal-relative:page;mso-position-vertical-relative:paragraph;z-index:-251608064;mso-wrap-distance-left:0;mso-wrap-distance-right:0" coordorigin="8299,343" coordsize="5176,2110">
            <v:line style="position:absolute" from="8324,1927" to="13474,1927" stroked="true" strokeweight=".749953pt" strokecolor="#aeabab">
              <v:stroke dashstyle="solid"/>
            </v:line>
            <v:line style="position:absolute" from="8324,1154" to="13474,1154" stroked="true" strokeweight=".749953pt" strokecolor="#aeabab">
              <v:stroke dashstyle="solid"/>
            </v:line>
            <v:line style="position:absolute" from="8324,379" to="13474,379" stroked="true" strokeweight=".749953pt" strokecolor="#aeabab">
              <v:stroke dashstyle="solid"/>
            </v:line>
            <v:shape style="position:absolute;left:8321;top:365;width:5092;height:2065" coordorigin="8321,366" coordsize="5092,2065" path="m8321,2431l8385,2372,8507,2351,8629,2144,8752,1547,8874,1700,8997,1323,9121,1165,9244,805,9366,366,9489,440,9611,1160,9733,1472,9856,1657,9978,1299,10101,1604,10225,1712,10348,1369,10470,1551,10593,1688,10715,1460,10837,1131,10960,1069,11082,1477,11205,1755,11327,1506,11452,1391,11574,1347,11697,1124,11819,1326,11941,1170,12064,1398,12186,1707,12309,1827,12431,1415,12556,1187,12678,834,12801,848,12923,944,13045,1383,13168,1995,13290,2015,13413,2329e" filled="false" stroked="true" strokeweight="2.24988pt" strokecolor="#014612">
              <v:path arrowok="t"/>
              <v:stroke dashstyle="solid"/>
            </v:shape>
            <w10:wrap type="topAndBottom"/>
          </v:group>
        </w:pict>
      </w:r>
      <w:r>
        <w:rPr/>
        <w:pict>
          <v:shape style="position:absolute;margin-left:416.17514pt;margin-top:134.988602pt;width:257.55pt;height:.1pt;mso-position-horizontal-relative:page;mso-position-vertical-relative:paragraph;z-index:-251607040;mso-wrap-distance-left:0;mso-wrap-distance-right:0" coordorigin="8324,2700" coordsize="5151,0" path="m8324,2700l13474,2700e" filled="false" stroked="true" strokeweight=".749953pt" strokecolor="#aeabab">
            <v:path arrowok="t"/>
            <v:stroke dashstyle="solid"/>
            <w10:wrap type="topAndBottom"/>
          </v:shape>
        </w:pict>
      </w:r>
    </w:p>
    <w:p>
      <w:pPr>
        <w:pStyle w:val="BodyText"/>
        <w:spacing w:before="7"/>
        <w:rPr>
          <w:rFonts w:ascii="Gill Sans MT"/>
          <w:sz w:val="14"/>
        </w:rPr>
      </w:pPr>
    </w:p>
    <w:p>
      <w:pPr>
        <w:tabs>
          <w:tab w:pos="1514" w:val="left" w:leader="none"/>
          <w:tab w:pos="2986" w:val="left" w:leader="none"/>
          <w:tab w:pos="4459" w:val="left" w:leader="none"/>
        </w:tabs>
        <w:spacing w:before="102"/>
        <w:ind w:left="42" w:right="0" w:firstLine="0"/>
        <w:jc w:val="left"/>
        <w:rPr>
          <w:rFonts w:ascii="Gill Sans MT"/>
          <w:sz w:val="21"/>
        </w:rPr>
      </w:pPr>
      <w:r>
        <w:rPr>
          <w:rFonts w:ascii="Gill Sans MT"/>
          <w:w w:val="105"/>
          <w:sz w:val="21"/>
        </w:rPr>
        <w:t>'22</w:t>
        <w:tab/>
        <w:t>'23</w:t>
        <w:tab/>
        <w:t>'24</w:t>
        <w:tab/>
        <w:t>'25</w:t>
      </w:r>
    </w:p>
    <w:p>
      <w:pPr>
        <w:pStyle w:val="BodyText"/>
        <w:spacing w:before="5"/>
        <w:rPr>
          <w:rFonts w:ascii="Gill Sans MT"/>
          <w:sz w:val="33"/>
        </w:rPr>
      </w:pPr>
    </w:p>
    <w:p>
      <w:pPr>
        <w:pStyle w:val="Heading3"/>
        <w:ind w:left="152" w:right="1383"/>
        <w:jc w:val="center"/>
      </w:pPr>
      <w:r>
        <w:rPr>
          <w:w w:val="110"/>
        </w:rPr>
        <w:t>Equity Returns to U.S. Investors</w:t>
      </w:r>
    </w:p>
    <w:p>
      <w:pPr>
        <w:spacing w:before="10"/>
        <w:ind w:left="152" w:right="1372" w:firstLine="0"/>
        <w:jc w:val="center"/>
        <w:rPr>
          <w:rFonts w:ascii="Gill Sans MT"/>
          <w:sz w:val="21"/>
        </w:rPr>
      </w:pPr>
      <w:r>
        <w:rPr>
          <w:rFonts w:ascii="Gill Sans MT"/>
          <w:w w:val="110"/>
          <w:sz w:val="21"/>
        </w:rPr>
        <w:t>1/1/2025 - 6/30/2025</w:t>
      </w:r>
    </w:p>
    <w:p>
      <w:pPr>
        <w:pStyle w:val="BodyText"/>
        <w:spacing w:before="4"/>
        <w:rPr>
          <w:rFonts w:ascii="Gill Sans MT"/>
          <w:sz w:val="4"/>
        </w:rPr>
      </w:pPr>
    </w:p>
    <w:p>
      <w:pPr>
        <w:pStyle w:val="BodyText"/>
        <w:spacing w:line="20" w:lineRule="exact"/>
        <w:ind w:left="144"/>
        <w:rPr>
          <w:rFonts w:ascii="Gill Sans MT"/>
          <w:sz w:val="2"/>
        </w:rPr>
      </w:pPr>
      <w:r>
        <w:rPr>
          <w:rFonts w:ascii="Gill Sans MT"/>
          <w:sz w:val="2"/>
        </w:rPr>
        <w:pict>
          <v:group style="width:255.85pt;height:.75pt;mso-position-horizontal-relative:char;mso-position-vertical-relative:line" coordorigin="0,0" coordsize="5117,15">
            <v:line style="position:absolute" from="0,7" to="5117,7" stroked="true" strokeweight=".749953pt" strokecolor="#aeabab">
              <v:stroke dashstyle="solid"/>
            </v:line>
          </v:group>
        </w:pict>
      </w:r>
      <w:r>
        <w:rPr>
          <w:rFonts w:ascii="Gill Sans MT"/>
          <w:sz w:val="2"/>
        </w:rPr>
      </w:r>
    </w:p>
    <w:p>
      <w:pPr>
        <w:pStyle w:val="BodyText"/>
        <w:spacing w:before="10"/>
        <w:rPr>
          <w:rFonts w:ascii="Gill Sans MT"/>
          <w:sz w:val="8"/>
        </w:rPr>
      </w:pPr>
    </w:p>
    <w:tbl>
      <w:tblPr>
        <w:tblW w:w="0" w:type="auto"/>
        <w:jc w:val="left"/>
        <w:tblInd w:w="152" w:type="dxa"/>
        <w:tblBorders>
          <w:top w:val="single" w:sz="6" w:space="0" w:color="AEABAB"/>
          <w:left w:val="single" w:sz="6" w:space="0" w:color="AEABAB"/>
          <w:bottom w:val="single" w:sz="6" w:space="0" w:color="AEABAB"/>
          <w:right w:val="single" w:sz="6" w:space="0" w:color="AEABAB"/>
          <w:insideH w:val="single" w:sz="6" w:space="0" w:color="AEABAB"/>
          <w:insideV w:val="single" w:sz="6" w:space="0" w:color="AEABAB"/>
        </w:tblBorders>
        <w:tblLayout w:type="fixed"/>
        <w:tblCellMar>
          <w:top w:w="0" w:type="dxa"/>
          <w:left w:w="0" w:type="dxa"/>
          <w:bottom w:w="0" w:type="dxa"/>
          <w:right w:w="0" w:type="dxa"/>
        </w:tblCellMar>
        <w:tblLook w:val="01E0"/>
      </w:tblPr>
      <w:tblGrid>
        <w:gridCol w:w="1327"/>
        <w:gridCol w:w="757"/>
        <w:gridCol w:w="948"/>
        <w:gridCol w:w="758"/>
        <w:gridCol w:w="945"/>
        <w:gridCol w:w="380"/>
      </w:tblGrid>
      <w:tr>
        <w:trPr>
          <w:trHeight w:val="319" w:hRule="atLeast"/>
        </w:trPr>
        <w:tc>
          <w:tcPr>
            <w:tcW w:w="2084" w:type="dxa"/>
            <w:gridSpan w:val="2"/>
            <w:tcBorders>
              <w:top w:val="nil"/>
              <w:left w:val="nil"/>
              <w:right w:val="nil"/>
            </w:tcBorders>
          </w:tcPr>
          <w:p>
            <w:pPr>
              <w:pStyle w:val="TableParagraph"/>
              <w:rPr>
                <w:rFonts w:ascii="Times New Roman"/>
                <w:sz w:val="24"/>
              </w:rPr>
            </w:pPr>
          </w:p>
        </w:tc>
        <w:tc>
          <w:tcPr>
            <w:tcW w:w="948" w:type="dxa"/>
            <w:vMerge w:val="restart"/>
            <w:tcBorders>
              <w:top w:val="nil"/>
              <w:left w:val="nil"/>
              <w:bottom w:val="single" w:sz="12" w:space="0" w:color="3A9D97"/>
              <w:right w:val="nil"/>
            </w:tcBorders>
            <w:shd w:val="clear" w:color="auto" w:fill="6CB5B1"/>
          </w:tcPr>
          <w:p>
            <w:pPr>
              <w:pStyle w:val="TableParagraph"/>
              <w:rPr>
                <w:sz w:val="22"/>
              </w:rPr>
            </w:pPr>
          </w:p>
          <w:p>
            <w:pPr>
              <w:pStyle w:val="TableParagraph"/>
              <w:spacing w:line="249" w:lineRule="auto" w:before="167"/>
              <w:ind w:left="182" w:hanging="106"/>
              <w:rPr>
                <w:sz w:val="20"/>
              </w:rPr>
            </w:pPr>
            <w:r>
              <w:rPr>
                <w:color w:val="FFFFFF"/>
                <w:sz w:val="20"/>
              </w:rPr>
              <w:t>Currency Return</w:t>
            </w:r>
          </w:p>
        </w:tc>
        <w:tc>
          <w:tcPr>
            <w:tcW w:w="2083" w:type="dxa"/>
            <w:gridSpan w:val="3"/>
            <w:tcBorders>
              <w:top w:val="nil"/>
              <w:left w:val="nil"/>
              <w:right w:val="nil"/>
            </w:tcBorders>
          </w:tcPr>
          <w:p>
            <w:pPr>
              <w:pStyle w:val="TableParagraph"/>
              <w:rPr>
                <w:rFonts w:ascii="Times New Roman"/>
                <w:sz w:val="24"/>
              </w:rPr>
            </w:pPr>
          </w:p>
        </w:tc>
      </w:tr>
      <w:tr>
        <w:trPr>
          <w:trHeight w:val="416" w:hRule="atLeast"/>
        </w:trPr>
        <w:tc>
          <w:tcPr>
            <w:tcW w:w="2084" w:type="dxa"/>
            <w:gridSpan w:val="2"/>
            <w:tcBorders>
              <w:left w:val="nil"/>
              <w:right w:val="nil"/>
            </w:tcBorders>
          </w:tcPr>
          <w:p>
            <w:pPr>
              <w:pStyle w:val="TableParagraph"/>
              <w:rPr>
                <w:rFonts w:ascii="Times New Roman"/>
                <w:sz w:val="26"/>
              </w:rPr>
            </w:pPr>
          </w:p>
        </w:tc>
        <w:tc>
          <w:tcPr>
            <w:tcW w:w="948" w:type="dxa"/>
            <w:vMerge/>
            <w:tcBorders>
              <w:top w:val="nil"/>
              <w:left w:val="nil"/>
              <w:bottom w:val="single" w:sz="12" w:space="0" w:color="3A9D97"/>
              <w:right w:val="nil"/>
            </w:tcBorders>
            <w:shd w:val="clear" w:color="auto" w:fill="6CB5B1"/>
          </w:tcPr>
          <w:p>
            <w:pPr>
              <w:rPr>
                <w:sz w:val="2"/>
                <w:szCs w:val="2"/>
              </w:rPr>
            </w:pPr>
          </w:p>
        </w:tc>
        <w:tc>
          <w:tcPr>
            <w:tcW w:w="758" w:type="dxa"/>
            <w:tcBorders>
              <w:left w:val="nil"/>
              <w:right w:val="nil"/>
            </w:tcBorders>
          </w:tcPr>
          <w:p>
            <w:pPr>
              <w:pStyle w:val="TableParagraph"/>
              <w:rPr>
                <w:rFonts w:ascii="Times New Roman"/>
                <w:sz w:val="26"/>
              </w:rPr>
            </w:pPr>
          </w:p>
        </w:tc>
        <w:tc>
          <w:tcPr>
            <w:tcW w:w="945" w:type="dxa"/>
            <w:vMerge w:val="restart"/>
            <w:tcBorders>
              <w:left w:val="nil"/>
              <w:bottom w:val="single" w:sz="12" w:space="0" w:color="6954A3"/>
              <w:right w:val="nil"/>
            </w:tcBorders>
            <w:shd w:val="clear" w:color="auto" w:fill="8E7EBA"/>
          </w:tcPr>
          <w:p>
            <w:pPr>
              <w:pStyle w:val="TableParagraph"/>
              <w:spacing w:before="53"/>
              <w:ind w:left="76"/>
              <w:rPr>
                <w:sz w:val="20"/>
              </w:rPr>
            </w:pPr>
            <w:r>
              <w:rPr>
                <w:color w:val="FFFFFF"/>
                <w:sz w:val="20"/>
              </w:rPr>
              <w:t>Currency</w:t>
            </w:r>
          </w:p>
          <w:p>
            <w:pPr>
              <w:pStyle w:val="TableParagraph"/>
              <w:spacing w:line="219" w:lineRule="exact" w:before="9"/>
              <w:ind w:left="182"/>
              <w:rPr>
                <w:sz w:val="20"/>
              </w:rPr>
            </w:pPr>
            <w:r>
              <w:rPr>
                <w:color w:val="FFFFFF"/>
                <w:w w:val="105"/>
                <w:sz w:val="20"/>
              </w:rPr>
              <w:t>Return</w:t>
            </w:r>
          </w:p>
        </w:tc>
        <w:tc>
          <w:tcPr>
            <w:tcW w:w="380" w:type="dxa"/>
            <w:tcBorders>
              <w:left w:val="nil"/>
              <w:right w:val="nil"/>
            </w:tcBorders>
          </w:tcPr>
          <w:p>
            <w:pPr>
              <w:pStyle w:val="TableParagraph"/>
              <w:rPr>
                <w:rFonts w:ascii="Times New Roman"/>
                <w:sz w:val="26"/>
              </w:rPr>
            </w:pPr>
          </w:p>
        </w:tc>
      </w:tr>
      <w:tr>
        <w:trPr>
          <w:trHeight w:val="86" w:hRule="atLeast"/>
        </w:trPr>
        <w:tc>
          <w:tcPr>
            <w:tcW w:w="2084" w:type="dxa"/>
            <w:gridSpan w:val="2"/>
            <w:vMerge w:val="restart"/>
            <w:tcBorders>
              <w:left w:val="nil"/>
              <w:right w:val="nil"/>
            </w:tcBorders>
          </w:tcPr>
          <w:p>
            <w:pPr>
              <w:pStyle w:val="TableParagraph"/>
              <w:rPr>
                <w:rFonts w:ascii="Times New Roman"/>
                <w:sz w:val="26"/>
              </w:rPr>
            </w:pPr>
          </w:p>
        </w:tc>
        <w:tc>
          <w:tcPr>
            <w:tcW w:w="948" w:type="dxa"/>
            <w:vMerge/>
            <w:tcBorders>
              <w:top w:val="nil"/>
              <w:left w:val="nil"/>
              <w:bottom w:val="single" w:sz="12" w:space="0" w:color="3A9D97"/>
              <w:right w:val="nil"/>
            </w:tcBorders>
            <w:shd w:val="clear" w:color="auto" w:fill="6CB5B1"/>
          </w:tcPr>
          <w:p>
            <w:pPr>
              <w:rPr>
                <w:sz w:val="2"/>
                <w:szCs w:val="2"/>
              </w:rPr>
            </w:pPr>
          </w:p>
        </w:tc>
        <w:tc>
          <w:tcPr>
            <w:tcW w:w="758" w:type="dxa"/>
            <w:vMerge w:val="restart"/>
            <w:tcBorders>
              <w:left w:val="nil"/>
              <w:right w:val="single" w:sz="12" w:space="0" w:color="6954A3"/>
            </w:tcBorders>
          </w:tcPr>
          <w:p>
            <w:pPr>
              <w:pStyle w:val="TableParagraph"/>
              <w:rPr>
                <w:rFonts w:ascii="Times New Roman"/>
                <w:sz w:val="26"/>
              </w:rPr>
            </w:pPr>
          </w:p>
        </w:tc>
        <w:tc>
          <w:tcPr>
            <w:tcW w:w="945" w:type="dxa"/>
            <w:vMerge/>
            <w:tcBorders>
              <w:top w:val="nil"/>
              <w:left w:val="nil"/>
              <w:bottom w:val="single" w:sz="12" w:space="0" w:color="6954A3"/>
              <w:right w:val="nil"/>
            </w:tcBorders>
            <w:shd w:val="clear" w:color="auto" w:fill="8E7EBA"/>
          </w:tcPr>
          <w:p>
            <w:pPr>
              <w:rPr>
                <w:sz w:val="2"/>
                <w:szCs w:val="2"/>
              </w:rPr>
            </w:pPr>
          </w:p>
        </w:tc>
        <w:tc>
          <w:tcPr>
            <w:tcW w:w="380" w:type="dxa"/>
            <w:vMerge w:val="restart"/>
            <w:tcBorders>
              <w:left w:val="single" w:sz="12" w:space="0" w:color="6954A3"/>
              <w:right w:val="nil"/>
            </w:tcBorders>
          </w:tcPr>
          <w:p>
            <w:pPr>
              <w:pStyle w:val="TableParagraph"/>
              <w:rPr>
                <w:rFonts w:ascii="Times New Roman"/>
                <w:sz w:val="26"/>
              </w:rPr>
            </w:pPr>
          </w:p>
        </w:tc>
      </w:tr>
      <w:tr>
        <w:trPr>
          <w:trHeight w:val="299" w:hRule="atLeast"/>
        </w:trPr>
        <w:tc>
          <w:tcPr>
            <w:tcW w:w="2084" w:type="dxa"/>
            <w:gridSpan w:val="2"/>
            <w:vMerge/>
            <w:tcBorders>
              <w:top w:val="nil"/>
              <w:left w:val="nil"/>
              <w:right w:val="nil"/>
            </w:tcBorders>
          </w:tcPr>
          <w:p>
            <w:pPr>
              <w:rPr>
                <w:sz w:val="2"/>
                <w:szCs w:val="2"/>
              </w:rPr>
            </w:pPr>
          </w:p>
        </w:tc>
        <w:tc>
          <w:tcPr>
            <w:tcW w:w="948" w:type="dxa"/>
            <w:vMerge/>
            <w:tcBorders>
              <w:top w:val="nil"/>
              <w:left w:val="nil"/>
              <w:bottom w:val="single" w:sz="12" w:space="0" w:color="3A9D97"/>
              <w:right w:val="nil"/>
            </w:tcBorders>
            <w:shd w:val="clear" w:color="auto" w:fill="6CB5B1"/>
          </w:tcPr>
          <w:p>
            <w:pPr>
              <w:rPr>
                <w:sz w:val="2"/>
                <w:szCs w:val="2"/>
              </w:rPr>
            </w:pPr>
          </w:p>
        </w:tc>
        <w:tc>
          <w:tcPr>
            <w:tcW w:w="758" w:type="dxa"/>
            <w:vMerge/>
            <w:tcBorders>
              <w:top w:val="nil"/>
              <w:left w:val="nil"/>
              <w:right w:val="single" w:sz="12" w:space="0" w:color="6954A3"/>
            </w:tcBorders>
          </w:tcPr>
          <w:p>
            <w:pPr>
              <w:rPr>
                <w:sz w:val="2"/>
                <w:szCs w:val="2"/>
              </w:rPr>
            </w:pPr>
          </w:p>
        </w:tc>
        <w:tc>
          <w:tcPr>
            <w:tcW w:w="945" w:type="dxa"/>
            <w:vMerge w:val="restart"/>
            <w:tcBorders>
              <w:top w:val="single" w:sz="12" w:space="0" w:color="6954A3"/>
              <w:left w:val="single" w:sz="12" w:space="0" w:color="6954A3"/>
              <w:bottom w:val="single" w:sz="12" w:space="0" w:color="6954A3"/>
              <w:right w:val="single" w:sz="12" w:space="0" w:color="6954A3"/>
            </w:tcBorders>
            <w:shd w:val="clear" w:color="auto" w:fill="432A8D"/>
          </w:tcPr>
          <w:p>
            <w:pPr>
              <w:pStyle w:val="TableParagraph"/>
              <w:rPr>
                <w:sz w:val="20"/>
              </w:rPr>
            </w:pPr>
          </w:p>
          <w:p>
            <w:pPr>
              <w:pStyle w:val="TableParagraph"/>
              <w:spacing w:line="249" w:lineRule="auto"/>
              <w:ind w:left="167" w:right="137" w:firstLine="57"/>
              <w:rPr>
                <w:sz w:val="20"/>
              </w:rPr>
            </w:pPr>
            <w:r>
              <w:rPr>
                <w:color w:val="FFFFFF"/>
                <w:w w:val="110"/>
                <w:sz w:val="20"/>
              </w:rPr>
              <w:t>Local </w:t>
            </w:r>
            <w:r>
              <w:rPr>
                <w:color w:val="FFFFFF"/>
                <w:w w:val="105"/>
                <w:sz w:val="20"/>
              </w:rPr>
              <w:t>Return</w:t>
            </w:r>
          </w:p>
        </w:tc>
        <w:tc>
          <w:tcPr>
            <w:tcW w:w="380" w:type="dxa"/>
            <w:vMerge/>
            <w:tcBorders>
              <w:top w:val="nil"/>
              <w:left w:val="single" w:sz="12" w:space="0" w:color="6954A3"/>
              <w:right w:val="nil"/>
            </w:tcBorders>
          </w:tcPr>
          <w:p>
            <w:pPr>
              <w:rPr>
                <w:sz w:val="2"/>
                <w:szCs w:val="2"/>
              </w:rPr>
            </w:pPr>
          </w:p>
        </w:tc>
      </w:tr>
      <w:tr>
        <w:trPr>
          <w:trHeight w:val="416" w:hRule="atLeast"/>
        </w:trPr>
        <w:tc>
          <w:tcPr>
            <w:tcW w:w="1327" w:type="dxa"/>
            <w:vMerge w:val="restart"/>
            <w:tcBorders>
              <w:left w:val="nil"/>
              <w:right w:val="nil"/>
            </w:tcBorders>
          </w:tcPr>
          <w:p>
            <w:pPr>
              <w:pStyle w:val="TableParagraph"/>
              <w:spacing w:before="5"/>
              <w:rPr>
                <w:sz w:val="20"/>
              </w:rPr>
            </w:pPr>
          </w:p>
          <w:p>
            <w:pPr>
              <w:pStyle w:val="TableParagraph"/>
              <w:ind w:left="-1" w:right="-72"/>
              <w:rPr>
                <w:sz w:val="20"/>
              </w:rPr>
            </w:pPr>
            <w:r>
              <w:rPr>
                <w:sz w:val="20"/>
              </w:rPr>
              <w:pict>
                <v:group style="width:66.4pt;height:32.2pt;mso-position-horizontal-relative:char;mso-position-vertical-relative:line" coordorigin="0,0" coordsize="1328,644">
                  <v:line style="position:absolute" from="0,194" to="379,194" stroked="true" strokeweight=".749959pt" strokecolor="#aeabab">
                    <v:stroke dashstyle="solid"/>
                  </v:line>
                  <v:rect style="position:absolute;left:379;top:0;width:948;height:644" filled="true" fillcolor="#334d80" stroked="false">
                    <v:fill type="solid"/>
                  </v:rect>
                </v:group>
              </w:pict>
            </w:r>
            <w:r>
              <w:rPr>
                <w:sz w:val="20"/>
              </w:rPr>
            </w:r>
          </w:p>
        </w:tc>
        <w:tc>
          <w:tcPr>
            <w:tcW w:w="757" w:type="dxa"/>
            <w:tcBorders>
              <w:left w:val="nil"/>
              <w:right w:val="single" w:sz="12" w:space="0" w:color="3A9D97"/>
            </w:tcBorders>
          </w:tcPr>
          <w:p>
            <w:pPr>
              <w:pStyle w:val="TableParagraph"/>
              <w:rPr>
                <w:rFonts w:ascii="Times New Roman"/>
                <w:sz w:val="26"/>
              </w:rPr>
            </w:pPr>
          </w:p>
        </w:tc>
        <w:tc>
          <w:tcPr>
            <w:tcW w:w="948" w:type="dxa"/>
            <w:vMerge w:val="restart"/>
            <w:tcBorders>
              <w:top w:val="single" w:sz="12" w:space="0" w:color="3A9D97"/>
              <w:left w:val="single" w:sz="12" w:space="0" w:color="3A9D97"/>
              <w:bottom w:val="single" w:sz="12" w:space="0" w:color="3A9D97"/>
              <w:right w:val="single" w:sz="12" w:space="0" w:color="3A9D97"/>
            </w:tcBorders>
            <w:shd w:val="clear" w:color="auto" w:fill="09847D"/>
          </w:tcPr>
          <w:p>
            <w:pPr>
              <w:pStyle w:val="TableParagraph"/>
              <w:spacing w:line="247" w:lineRule="auto" w:before="196"/>
              <w:ind w:left="167" w:right="140" w:firstLine="57"/>
              <w:rPr>
                <w:sz w:val="20"/>
              </w:rPr>
            </w:pPr>
            <w:r>
              <w:rPr>
                <w:color w:val="FFFFFF"/>
                <w:w w:val="110"/>
                <w:sz w:val="20"/>
              </w:rPr>
              <w:t>Local </w:t>
            </w:r>
            <w:r>
              <w:rPr>
                <w:color w:val="FFFFFF"/>
                <w:w w:val="105"/>
                <w:sz w:val="20"/>
              </w:rPr>
              <w:t>Return</w:t>
            </w:r>
          </w:p>
        </w:tc>
        <w:tc>
          <w:tcPr>
            <w:tcW w:w="758" w:type="dxa"/>
            <w:tcBorders>
              <w:left w:val="single" w:sz="12" w:space="0" w:color="3A9D97"/>
              <w:right w:val="single" w:sz="12" w:space="0" w:color="6954A3"/>
            </w:tcBorders>
          </w:tcPr>
          <w:p>
            <w:pPr>
              <w:pStyle w:val="TableParagraph"/>
              <w:rPr>
                <w:rFonts w:ascii="Times New Roman"/>
                <w:sz w:val="26"/>
              </w:rPr>
            </w:pPr>
          </w:p>
        </w:tc>
        <w:tc>
          <w:tcPr>
            <w:tcW w:w="945" w:type="dxa"/>
            <w:vMerge/>
            <w:tcBorders>
              <w:top w:val="nil"/>
              <w:left w:val="single" w:sz="12" w:space="0" w:color="6954A3"/>
              <w:bottom w:val="single" w:sz="12" w:space="0" w:color="6954A3"/>
              <w:right w:val="single" w:sz="12" w:space="0" w:color="6954A3"/>
            </w:tcBorders>
            <w:shd w:val="clear" w:color="auto" w:fill="432A8D"/>
          </w:tcPr>
          <w:p>
            <w:pPr>
              <w:rPr>
                <w:sz w:val="2"/>
                <w:szCs w:val="2"/>
              </w:rPr>
            </w:pPr>
          </w:p>
        </w:tc>
        <w:tc>
          <w:tcPr>
            <w:tcW w:w="380" w:type="dxa"/>
            <w:tcBorders>
              <w:left w:val="single" w:sz="12" w:space="0" w:color="6954A3"/>
              <w:right w:val="nil"/>
            </w:tcBorders>
          </w:tcPr>
          <w:p>
            <w:pPr>
              <w:pStyle w:val="TableParagraph"/>
              <w:rPr>
                <w:rFonts w:ascii="Times New Roman"/>
                <w:sz w:val="26"/>
              </w:rPr>
            </w:pPr>
          </w:p>
        </w:tc>
      </w:tr>
      <w:tr>
        <w:trPr>
          <w:trHeight w:val="418" w:hRule="atLeast"/>
        </w:trPr>
        <w:tc>
          <w:tcPr>
            <w:tcW w:w="1327" w:type="dxa"/>
            <w:vMerge/>
            <w:tcBorders>
              <w:top w:val="nil"/>
              <w:left w:val="nil"/>
              <w:right w:val="nil"/>
            </w:tcBorders>
          </w:tcPr>
          <w:p>
            <w:pPr>
              <w:rPr>
                <w:sz w:val="2"/>
                <w:szCs w:val="2"/>
              </w:rPr>
            </w:pPr>
          </w:p>
        </w:tc>
        <w:tc>
          <w:tcPr>
            <w:tcW w:w="757" w:type="dxa"/>
            <w:tcBorders>
              <w:left w:val="nil"/>
              <w:right w:val="single" w:sz="12" w:space="0" w:color="3A9D97"/>
            </w:tcBorders>
          </w:tcPr>
          <w:p>
            <w:pPr>
              <w:pStyle w:val="TableParagraph"/>
              <w:rPr>
                <w:rFonts w:ascii="Times New Roman"/>
                <w:sz w:val="26"/>
              </w:rPr>
            </w:pPr>
          </w:p>
        </w:tc>
        <w:tc>
          <w:tcPr>
            <w:tcW w:w="948" w:type="dxa"/>
            <w:vMerge/>
            <w:tcBorders>
              <w:top w:val="nil"/>
              <w:left w:val="single" w:sz="12" w:space="0" w:color="3A9D97"/>
              <w:bottom w:val="single" w:sz="12" w:space="0" w:color="3A9D97"/>
              <w:right w:val="single" w:sz="12" w:space="0" w:color="3A9D97"/>
            </w:tcBorders>
            <w:shd w:val="clear" w:color="auto" w:fill="09847D"/>
          </w:tcPr>
          <w:p>
            <w:pPr>
              <w:rPr>
                <w:sz w:val="2"/>
                <w:szCs w:val="2"/>
              </w:rPr>
            </w:pPr>
          </w:p>
        </w:tc>
        <w:tc>
          <w:tcPr>
            <w:tcW w:w="758" w:type="dxa"/>
            <w:tcBorders>
              <w:left w:val="single" w:sz="12" w:space="0" w:color="3A9D97"/>
              <w:right w:val="single" w:sz="12" w:space="0" w:color="6954A3"/>
            </w:tcBorders>
          </w:tcPr>
          <w:p>
            <w:pPr>
              <w:pStyle w:val="TableParagraph"/>
              <w:rPr>
                <w:rFonts w:ascii="Times New Roman"/>
                <w:sz w:val="26"/>
              </w:rPr>
            </w:pPr>
          </w:p>
        </w:tc>
        <w:tc>
          <w:tcPr>
            <w:tcW w:w="945" w:type="dxa"/>
            <w:vMerge/>
            <w:tcBorders>
              <w:top w:val="nil"/>
              <w:left w:val="single" w:sz="12" w:space="0" w:color="6954A3"/>
              <w:bottom w:val="single" w:sz="12" w:space="0" w:color="6954A3"/>
              <w:right w:val="single" w:sz="12" w:space="0" w:color="6954A3"/>
            </w:tcBorders>
            <w:shd w:val="clear" w:color="auto" w:fill="432A8D"/>
          </w:tcPr>
          <w:p>
            <w:pPr>
              <w:rPr>
                <w:sz w:val="2"/>
                <w:szCs w:val="2"/>
              </w:rPr>
            </w:pPr>
          </w:p>
        </w:tc>
        <w:tc>
          <w:tcPr>
            <w:tcW w:w="380" w:type="dxa"/>
            <w:tcBorders>
              <w:left w:val="single" w:sz="12" w:space="0" w:color="6954A3"/>
              <w:right w:val="nil"/>
            </w:tcBorders>
          </w:tcPr>
          <w:p>
            <w:pPr>
              <w:pStyle w:val="TableParagraph"/>
              <w:rPr>
                <w:rFonts w:ascii="Times New Roman"/>
                <w:sz w:val="26"/>
              </w:rPr>
            </w:pPr>
          </w:p>
        </w:tc>
      </w:tr>
    </w:tbl>
    <w:p>
      <w:pPr>
        <w:spacing w:after="0"/>
        <w:rPr>
          <w:rFonts w:ascii="Times New Roman"/>
          <w:sz w:val="26"/>
        </w:rPr>
        <w:sectPr>
          <w:type w:val="continuous"/>
          <w:pgSz w:w="14400" w:h="10800" w:orient="landscape"/>
          <w:pgMar w:top="180" w:bottom="280" w:left="20" w:right="40"/>
          <w:cols w:num="3" w:equalWidth="0">
            <w:col w:w="7338" w:space="40"/>
            <w:col w:w="769" w:space="39"/>
            <w:col w:w="6154"/>
          </w:cols>
        </w:sectPr>
      </w:pPr>
    </w:p>
    <w:p>
      <w:pPr>
        <w:pStyle w:val="Heading5"/>
        <w:spacing w:line="309" w:lineRule="exact"/>
        <w:ind w:firstLine="0"/>
      </w:pPr>
      <w:r>
        <w:rPr>
          <w:w w:val="110"/>
        </w:rPr>
        <w:t>wealth</w:t>
      </w:r>
    </w:p>
    <w:p>
      <w:pPr>
        <w:tabs>
          <w:tab w:pos="2474" w:val="left" w:leader="none"/>
        </w:tabs>
        <w:spacing w:before="28"/>
        <w:ind w:left="1101" w:right="0" w:firstLine="0"/>
        <w:jc w:val="left"/>
        <w:rPr>
          <w:rFonts w:ascii="Gill Sans MT"/>
          <w:sz w:val="21"/>
        </w:rPr>
      </w:pPr>
      <w:r>
        <w:rPr/>
        <w:br w:type="column"/>
      </w:r>
      <w:r>
        <w:rPr>
          <w:rFonts w:ascii="Gill Sans MT"/>
          <w:w w:val="110"/>
          <w:sz w:val="21"/>
        </w:rPr>
        <w:t>U.S</w:t>
        <w:tab/>
        <w:t>Developed</w:t>
      </w:r>
    </w:p>
    <w:p>
      <w:pPr>
        <w:spacing w:before="9"/>
        <w:ind w:left="2377" w:right="0" w:firstLine="0"/>
        <w:jc w:val="left"/>
        <w:rPr>
          <w:rFonts w:ascii="Gill Sans MT"/>
          <w:sz w:val="21"/>
        </w:rPr>
      </w:pPr>
      <w:r>
        <w:rPr>
          <w:rFonts w:ascii="Gill Sans MT"/>
          <w:w w:val="105"/>
          <w:sz w:val="21"/>
        </w:rPr>
        <w:t>International</w:t>
      </w:r>
    </w:p>
    <w:p>
      <w:pPr>
        <w:spacing w:before="28"/>
        <w:ind w:left="628" w:right="0" w:firstLine="0"/>
        <w:jc w:val="left"/>
        <w:rPr>
          <w:rFonts w:ascii="Gill Sans MT"/>
          <w:sz w:val="21"/>
        </w:rPr>
      </w:pPr>
      <w:r>
        <w:rPr/>
        <w:br w:type="column"/>
      </w:r>
      <w:r>
        <w:rPr>
          <w:rFonts w:ascii="Gill Sans MT"/>
          <w:w w:val="115"/>
          <w:sz w:val="21"/>
        </w:rPr>
        <w:t>Emerging</w:t>
      </w:r>
    </w:p>
    <w:p>
      <w:pPr>
        <w:spacing w:before="9"/>
        <w:ind w:left="691" w:right="0" w:firstLine="0"/>
        <w:jc w:val="left"/>
        <w:rPr>
          <w:rFonts w:ascii="Gill Sans MT"/>
          <w:sz w:val="21"/>
        </w:rPr>
      </w:pPr>
      <w:r>
        <w:rPr>
          <w:rFonts w:ascii="Gill Sans MT"/>
          <w:w w:val="110"/>
          <w:sz w:val="21"/>
        </w:rPr>
        <w:t>Markets</w:t>
      </w:r>
    </w:p>
    <w:p>
      <w:pPr>
        <w:spacing w:after="0"/>
        <w:jc w:val="left"/>
        <w:rPr>
          <w:rFonts w:ascii="Gill Sans MT"/>
          <w:sz w:val="21"/>
        </w:rPr>
        <w:sectPr>
          <w:type w:val="continuous"/>
          <w:pgSz w:w="14400" w:h="10800" w:orient="landscape"/>
          <w:pgMar w:top="180" w:bottom="280" w:left="20" w:right="40"/>
          <w:cols w:num="3" w:equalWidth="0">
            <w:col w:w="1968" w:space="5964"/>
            <w:col w:w="3559" w:space="40"/>
            <w:col w:w="2809"/>
          </w:cols>
        </w:sectPr>
      </w:pPr>
    </w:p>
    <w:p>
      <w:pPr>
        <w:pStyle w:val="BodyText"/>
        <w:rPr>
          <w:rFonts w:ascii="Gill Sans MT"/>
          <w:sz w:val="17"/>
        </w:rPr>
      </w:pPr>
    </w:p>
    <w:p>
      <w:pPr>
        <w:spacing w:before="0"/>
        <w:ind w:left="7769" w:right="0" w:firstLine="0"/>
        <w:jc w:val="left"/>
        <w:rPr>
          <w:rFonts w:ascii="Gill Sans MT"/>
          <w:sz w:val="14"/>
        </w:rPr>
      </w:pPr>
      <w:r>
        <w:rPr>
          <w:rFonts w:ascii="Gill Sans MT"/>
          <w:w w:val="105"/>
          <w:sz w:val="14"/>
        </w:rPr>
        <w:t>Source: Bloomberg, U.S. Dollar Index. Russell 3000, MSCI World-ex USA, MSCI Emerging Markets.</w:t>
      </w:r>
    </w:p>
    <w:p>
      <w:pPr>
        <w:spacing w:after="0"/>
        <w:jc w:val="left"/>
        <w:rPr>
          <w:rFonts w:ascii="Gill Sans MT"/>
          <w:sz w:val="14"/>
        </w:rPr>
        <w:sectPr>
          <w:type w:val="continuous"/>
          <w:pgSz w:w="14400" w:h="10800" w:orient="landscape"/>
          <w:pgMar w:top="180" w:bottom="280" w:left="20" w:right="40"/>
        </w:sectPr>
      </w:pPr>
    </w:p>
    <w:p>
      <w:pPr>
        <w:pStyle w:val="Heading5"/>
        <w:numPr>
          <w:ilvl w:val="1"/>
          <w:numId w:val="5"/>
        </w:numPr>
        <w:tabs>
          <w:tab w:pos="1116" w:val="left" w:leader="none"/>
        </w:tabs>
        <w:spacing w:line="223" w:lineRule="auto" w:before="137" w:after="0"/>
        <w:ind w:left="1115" w:right="928" w:hanging="272"/>
        <w:jc w:val="left"/>
      </w:pPr>
      <w:bookmarkStart w:name="Slide 30: U.S. Economic Growth" w:id="37"/>
      <w:bookmarkEnd w:id="37"/>
      <w:r>
        <w:rPr/>
      </w:r>
      <w:bookmarkStart w:name="Slide 30: U.S. Economic Growth" w:id="38"/>
      <w:bookmarkEnd w:id="38"/>
      <w:r>
        <w:rPr>
          <w:w w:val="110"/>
        </w:rPr>
        <w:t>Real</w:t>
      </w:r>
      <w:r>
        <w:rPr>
          <w:spacing w:val="-26"/>
          <w:w w:val="110"/>
        </w:rPr>
        <w:t> </w:t>
      </w:r>
      <w:r>
        <w:rPr>
          <w:w w:val="110"/>
        </w:rPr>
        <w:t>GDP</w:t>
      </w:r>
      <w:r>
        <w:rPr>
          <w:spacing w:val="-27"/>
          <w:w w:val="110"/>
        </w:rPr>
        <w:t> </w:t>
      </w:r>
      <w:r>
        <w:rPr>
          <w:w w:val="110"/>
        </w:rPr>
        <w:t>growth</w:t>
      </w:r>
      <w:r>
        <w:rPr>
          <w:spacing w:val="-24"/>
          <w:w w:val="110"/>
        </w:rPr>
        <w:t> </w:t>
      </w:r>
      <w:r>
        <w:rPr>
          <w:w w:val="110"/>
        </w:rPr>
        <w:t>turned</w:t>
      </w:r>
      <w:r>
        <w:rPr>
          <w:spacing w:val="-26"/>
          <w:w w:val="110"/>
        </w:rPr>
        <w:t> </w:t>
      </w:r>
      <w:r>
        <w:rPr>
          <w:w w:val="110"/>
        </w:rPr>
        <w:t>negative</w:t>
      </w:r>
      <w:r>
        <w:rPr>
          <w:spacing w:val="-29"/>
          <w:w w:val="110"/>
        </w:rPr>
        <w:t> </w:t>
      </w:r>
      <w:r>
        <w:rPr>
          <w:w w:val="110"/>
        </w:rPr>
        <w:t>in</w:t>
      </w:r>
      <w:r>
        <w:rPr>
          <w:spacing w:val="-23"/>
          <w:w w:val="110"/>
        </w:rPr>
        <w:t> </w:t>
      </w:r>
      <w:r>
        <w:rPr>
          <w:w w:val="110"/>
        </w:rPr>
        <w:t>Q1</w:t>
      </w:r>
      <w:r>
        <w:rPr>
          <w:spacing w:val="-23"/>
          <w:w w:val="110"/>
        </w:rPr>
        <w:t> </w:t>
      </w:r>
      <w:r>
        <w:rPr>
          <w:w w:val="110"/>
        </w:rPr>
        <w:t>2025,</w:t>
      </w:r>
      <w:r>
        <w:rPr>
          <w:spacing w:val="-24"/>
          <w:w w:val="110"/>
        </w:rPr>
        <w:t> </w:t>
      </w:r>
      <w:r>
        <w:rPr>
          <w:w w:val="110"/>
        </w:rPr>
        <w:t>with</w:t>
      </w:r>
      <w:r>
        <w:rPr>
          <w:spacing w:val="-22"/>
          <w:w w:val="110"/>
        </w:rPr>
        <w:t> </w:t>
      </w:r>
      <w:r>
        <w:rPr>
          <w:w w:val="110"/>
        </w:rPr>
        <w:t>notable</w:t>
      </w:r>
      <w:r>
        <w:rPr>
          <w:spacing w:val="-26"/>
          <w:w w:val="110"/>
        </w:rPr>
        <w:t> </w:t>
      </w:r>
      <w:r>
        <w:rPr>
          <w:w w:val="110"/>
        </w:rPr>
        <w:t>shifts:</w:t>
      </w:r>
      <w:r>
        <w:rPr>
          <w:spacing w:val="-20"/>
          <w:w w:val="110"/>
        </w:rPr>
        <w:t> </w:t>
      </w:r>
      <w:r>
        <w:rPr>
          <w:w w:val="110"/>
        </w:rPr>
        <w:t>(1)</w:t>
      </w:r>
      <w:r>
        <w:rPr>
          <w:spacing w:val="-24"/>
          <w:w w:val="110"/>
        </w:rPr>
        <w:t> </w:t>
      </w:r>
      <w:r>
        <w:rPr>
          <w:w w:val="110"/>
        </w:rPr>
        <w:t>a</w:t>
      </w:r>
      <w:r>
        <w:rPr>
          <w:spacing w:val="-25"/>
          <w:w w:val="110"/>
        </w:rPr>
        <w:t> </w:t>
      </w:r>
      <w:r>
        <w:rPr>
          <w:w w:val="110"/>
        </w:rPr>
        <w:t>run-up</w:t>
      </w:r>
      <w:r>
        <w:rPr>
          <w:spacing w:val="-26"/>
          <w:w w:val="110"/>
        </w:rPr>
        <w:t> </w:t>
      </w:r>
      <w:r>
        <w:rPr>
          <w:w w:val="110"/>
        </w:rPr>
        <w:t>in</w:t>
      </w:r>
      <w:r>
        <w:rPr>
          <w:spacing w:val="-22"/>
          <w:w w:val="110"/>
        </w:rPr>
        <w:t> </w:t>
      </w:r>
      <w:r>
        <w:rPr>
          <w:w w:val="110"/>
        </w:rPr>
        <w:t>imports</w:t>
      </w:r>
      <w:r>
        <w:rPr>
          <w:spacing w:val="-26"/>
          <w:w w:val="110"/>
        </w:rPr>
        <w:t> </w:t>
      </w:r>
      <w:r>
        <w:rPr>
          <w:w w:val="110"/>
        </w:rPr>
        <w:t>led</w:t>
      </w:r>
      <w:r>
        <w:rPr>
          <w:spacing w:val="-26"/>
          <w:w w:val="110"/>
        </w:rPr>
        <w:t> </w:t>
      </w:r>
      <w:r>
        <w:rPr>
          <w:w w:val="110"/>
        </w:rPr>
        <w:t>to</w:t>
      </w:r>
      <w:r>
        <w:rPr>
          <w:spacing w:val="-20"/>
          <w:w w:val="110"/>
        </w:rPr>
        <w:t> </w:t>
      </w:r>
      <w:r>
        <w:rPr>
          <w:w w:val="110"/>
        </w:rPr>
        <w:t>large negative net exports, and (2) a build-up of inventories contributed to large positive investment; these</w:t>
      </w:r>
      <w:r>
        <w:rPr>
          <w:spacing w:val="-9"/>
          <w:w w:val="110"/>
        </w:rPr>
        <w:t> </w:t>
      </w:r>
      <w:r>
        <w:rPr>
          <w:w w:val="110"/>
        </w:rPr>
        <w:t>two</w:t>
      </w:r>
      <w:r>
        <w:rPr>
          <w:spacing w:val="-11"/>
          <w:w w:val="110"/>
        </w:rPr>
        <w:t> </w:t>
      </w:r>
      <w:r>
        <w:rPr>
          <w:w w:val="110"/>
        </w:rPr>
        <w:t>swings</w:t>
      </w:r>
      <w:r>
        <w:rPr>
          <w:spacing w:val="-10"/>
          <w:w w:val="110"/>
        </w:rPr>
        <w:t> </w:t>
      </w:r>
      <w:r>
        <w:rPr>
          <w:w w:val="110"/>
        </w:rPr>
        <w:t>can</w:t>
      </w:r>
      <w:r>
        <w:rPr>
          <w:spacing w:val="-10"/>
          <w:w w:val="110"/>
        </w:rPr>
        <w:t> </w:t>
      </w:r>
      <w:r>
        <w:rPr>
          <w:w w:val="110"/>
        </w:rPr>
        <w:t>be</w:t>
      </w:r>
      <w:r>
        <w:rPr>
          <w:spacing w:val="-11"/>
          <w:w w:val="110"/>
        </w:rPr>
        <w:t> </w:t>
      </w:r>
      <w:r>
        <w:rPr>
          <w:w w:val="110"/>
        </w:rPr>
        <w:t>attributed</w:t>
      </w:r>
      <w:r>
        <w:rPr>
          <w:spacing w:val="-9"/>
          <w:w w:val="110"/>
        </w:rPr>
        <w:t> </w:t>
      </w:r>
      <w:r>
        <w:rPr>
          <w:w w:val="110"/>
        </w:rPr>
        <w:t>to</w:t>
      </w:r>
      <w:r>
        <w:rPr>
          <w:spacing w:val="-11"/>
          <w:w w:val="110"/>
        </w:rPr>
        <w:t> </w:t>
      </w:r>
      <w:r>
        <w:rPr>
          <w:w w:val="110"/>
        </w:rPr>
        <w:t>firms</w:t>
      </w:r>
      <w:r>
        <w:rPr>
          <w:spacing w:val="-13"/>
          <w:w w:val="110"/>
        </w:rPr>
        <w:t> </w:t>
      </w:r>
      <w:r>
        <w:rPr>
          <w:w w:val="110"/>
        </w:rPr>
        <w:t>shifting</w:t>
      </w:r>
      <w:r>
        <w:rPr>
          <w:spacing w:val="-8"/>
          <w:w w:val="110"/>
        </w:rPr>
        <w:t> </w:t>
      </w:r>
      <w:r>
        <w:rPr>
          <w:w w:val="110"/>
        </w:rPr>
        <w:t>behavior</w:t>
      </w:r>
      <w:r>
        <w:rPr>
          <w:spacing w:val="-13"/>
          <w:w w:val="110"/>
        </w:rPr>
        <w:t> </w:t>
      </w:r>
      <w:r>
        <w:rPr>
          <w:w w:val="110"/>
        </w:rPr>
        <w:t>in</w:t>
      </w:r>
      <w:r>
        <w:rPr>
          <w:spacing w:val="-9"/>
          <w:w w:val="110"/>
        </w:rPr>
        <w:t> </w:t>
      </w:r>
      <w:r>
        <w:rPr>
          <w:w w:val="110"/>
        </w:rPr>
        <w:t>anticipation</w:t>
      </w:r>
      <w:r>
        <w:rPr>
          <w:spacing w:val="-12"/>
          <w:w w:val="110"/>
        </w:rPr>
        <w:t> </w:t>
      </w:r>
      <w:r>
        <w:rPr>
          <w:w w:val="110"/>
        </w:rPr>
        <w:t>of</w:t>
      </w:r>
      <w:r>
        <w:rPr>
          <w:spacing w:val="-8"/>
          <w:w w:val="110"/>
        </w:rPr>
        <w:t> </w:t>
      </w:r>
      <w:r>
        <w:rPr>
          <w:w w:val="110"/>
        </w:rPr>
        <w:t>higher</w:t>
      </w:r>
      <w:r>
        <w:rPr>
          <w:spacing w:val="-9"/>
          <w:w w:val="110"/>
        </w:rPr>
        <w:t> </w:t>
      </w:r>
      <w:r>
        <w:rPr>
          <w:w w:val="110"/>
        </w:rPr>
        <w:t>tariffs</w:t>
      </w:r>
    </w:p>
    <w:p>
      <w:pPr>
        <w:pStyle w:val="ListParagraph"/>
        <w:numPr>
          <w:ilvl w:val="1"/>
          <w:numId w:val="5"/>
        </w:numPr>
        <w:tabs>
          <w:tab w:pos="1116" w:val="left" w:leader="none"/>
        </w:tabs>
        <w:spacing w:line="223" w:lineRule="auto" w:before="159" w:after="0"/>
        <w:ind w:left="1115" w:right="1337" w:hanging="272"/>
        <w:jc w:val="left"/>
        <w:rPr>
          <w:rFonts w:ascii="Gill Sans MT" w:hAnsi="Gill Sans MT"/>
          <w:sz w:val="28"/>
        </w:rPr>
      </w:pPr>
      <w:r>
        <w:rPr>
          <w:rFonts w:ascii="Gill Sans MT" w:hAnsi="Gill Sans MT"/>
          <w:w w:val="110"/>
          <w:sz w:val="28"/>
        </w:rPr>
        <w:t>Consumer spending, which constitutes over 68% of economic activity in the U.S., remained a positive</w:t>
      </w:r>
      <w:r>
        <w:rPr>
          <w:rFonts w:ascii="Gill Sans MT" w:hAnsi="Gill Sans MT"/>
          <w:spacing w:val="-20"/>
          <w:w w:val="110"/>
          <w:sz w:val="28"/>
        </w:rPr>
        <w:t> </w:t>
      </w:r>
      <w:r>
        <w:rPr>
          <w:rFonts w:ascii="Gill Sans MT" w:hAnsi="Gill Sans MT"/>
          <w:w w:val="110"/>
          <w:sz w:val="28"/>
        </w:rPr>
        <w:t>contributor</w:t>
      </w:r>
      <w:r>
        <w:rPr>
          <w:rFonts w:ascii="Gill Sans MT" w:hAnsi="Gill Sans MT"/>
          <w:spacing w:val="-16"/>
          <w:w w:val="110"/>
          <w:sz w:val="28"/>
        </w:rPr>
        <w:t> </w:t>
      </w:r>
      <w:r>
        <w:rPr>
          <w:rFonts w:ascii="Gill Sans MT" w:hAnsi="Gill Sans MT"/>
          <w:w w:val="110"/>
          <w:sz w:val="28"/>
        </w:rPr>
        <w:t>to</w:t>
      </w:r>
      <w:r>
        <w:rPr>
          <w:rFonts w:ascii="Gill Sans MT" w:hAnsi="Gill Sans MT"/>
          <w:spacing w:val="-17"/>
          <w:w w:val="110"/>
          <w:sz w:val="28"/>
        </w:rPr>
        <w:t> </w:t>
      </w:r>
      <w:r>
        <w:rPr>
          <w:rFonts w:ascii="Gill Sans MT" w:hAnsi="Gill Sans MT"/>
          <w:w w:val="110"/>
          <w:sz w:val="28"/>
        </w:rPr>
        <w:t>economic</w:t>
      </w:r>
      <w:r>
        <w:rPr>
          <w:rFonts w:ascii="Gill Sans MT" w:hAnsi="Gill Sans MT"/>
          <w:spacing w:val="-20"/>
          <w:w w:val="110"/>
          <w:sz w:val="28"/>
        </w:rPr>
        <w:t> </w:t>
      </w:r>
      <w:r>
        <w:rPr>
          <w:rFonts w:ascii="Gill Sans MT" w:hAnsi="Gill Sans MT"/>
          <w:w w:val="110"/>
          <w:sz w:val="28"/>
        </w:rPr>
        <w:t>growth</w:t>
      </w:r>
      <w:r>
        <w:rPr>
          <w:rFonts w:ascii="Gill Sans MT" w:hAnsi="Gill Sans MT"/>
          <w:spacing w:val="-22"/>
          <w:w w:val="110"/>
          <w:sz w:val="28"/>
        </w:rPr>
        <w:t> </w:t>
      </w:r>
      <w:r>
        <w:rPr>
          <w:rFonts w:ascii="Gill Sans MT" w:hAnsi="Gill Sans MT"/>
          <w:w w:val="110"/>
          <w:sz w:val="28"/>
        </w:rPr>
        <w:t>in</w:t>
      </w:r>
      <w:r>
        <w:rPr>
          <w:rFonts w:ascii="Gill Sans MT" w:hAnsi="Gill Sans MT"/>
          <w:spacing w:val="-16"/>
          <w:w w:val="110"/>
          <w:sz w:val="28"/>
        </w:rPr>
        <w:t> </w:t>
      </w:r>
      <w:r>
        <w:rPr>
          <w:rFonts w:ascii="Gill Sans MT" w:hAnsi="Gill Sans MT"/>
          <w:w w:val="110"/>
          <w:sz w:val="28"/>
        </w:rPr>
        <w:t>Q1</w:t>
      </w:r>
      <w:r>
        <w:rPr>
          <w:rFonts w:ascii="Gill Sans MT" w:hAnsi="Gill Sans MT"/>
          <w:spacing w:val="-17"/>
          <w:w w:val="110"/>
          <w:sz w:val="28"/>
        </w:rPr>
        <w:t> </w:t>
      </w:r>
      <w:r>
        <w:rPr>
          <w:rFonts w:ascii="Gill Sans MT" w:hAnsi="Gill Sans MT"/>
          <w:w w:val="110"/>
          <w:sz w:val="28"/>
        </w:rPr>
        <w:t>2025;</w:t>
      </w:r>
      <w:r>
        <w:rPr>
          <w:rFonts w:ascii="Gill Sans MT" w:hAnsi="Gill Sans MT"/>
          <w:spacing w:val="-18"/>
          <w:w w:val="110"/>
          <w:sz w:val="28"/>
        </w:rPr>
        <w:t> </w:t>
      </w:r>
      <w:r>
        <w:rPr>
          <w:rFonts w:ascii="Gill Sans MT" w:hAnsi="Gill Sans MT"/>
          <w:w w:val="110"/>
          <w:sz w:val="28"/>
        </w:rPr>
        <w:t>government</w:t>
      </w:r>
      <w:r>
        <w:rPr>
          <w:rFonts w:ascii="Gill Sans MT" w:hAnsi="Gill Sans MT"/>
          <w:spacing w:val="-23"/>
          <w:w w:val="110"/>
          <w:sz w:val="28"/>
        </w:rPr>
        <w:t> </w:t>
      </w:r>
      <w:r>
        <w:rPr>
          <w:rFonts w:ascii="Gill Sans MT" w:hAnsi="Gill Sans MT"/>
          <w:w w:val="110"/>
          <w:sz w:val="28"/>
        </w:rPr>
        <w:t>spending</w:t>
      </w:r>
      <w:r>
        <w:rPr>
          <w:rFonts w:ascii="Gill Sans MT" w:hAnsi="Gill Sans MT"/>
          <w:spacing w:val="-21"/>
          <w:w w:val="110"/>
          <w:sz w:val="28"/>
        </w:rPr>
        <w:t> </w:t>
      </w:r>
      <w:r>
        <w:rPr>
          <w:rFonts w:ascii="Gill Sans MT" w:hAnsi="Gill Sans MT"/>
          <w:w w:val="110"/>
          <w:sz w:val="28"/>
        </w:rPr>
        <w:t>was</w:t>
      </w:r>
      <w:r>
        <w:rPr>
          <w:rFonts w:ascii="Gill Sans MT" w:hAnsi="Gill Sans MT"/>
          <w:spacing w:val="-18"/>
          <w:w w:val="110"/>
          <w:sz w:val="28"/>
        </w:rPr>
        <w:t> </w:t>
      </w:r>
      <w:r>
        <w:rPr>
          <w:rFonts w:ascii="Gill Sans MT" w:hAnsi="Gill Sans MT"/>
          <w:w w:val="110"/>
          <w:sz w:val="28"/>
        </w:rPr>
        <w:t>slightly</w:t>
      </w:r>
      <w:r>
        <w:rPr>
          <w:rFonts w:ascii="Gill Sans MT" w:hAnsi="Gill Sans MT"/>
          <w:spacing w:val="-13"/>
          <w:w w:val="110"/>
          <w:sz w:val="28"/>
        </w:rPr>
        <w:t> </w:t>
      </w:r>
      <w:r>
        <w:rPr>
          <w:rFonts w:ascii="Gill Sans MT" w:hAnsi="Gill Sans MT"/>
          <w:w w:val="110"/>
          <w:sz w:val="28"/>
        </w:rPr>
        <w:t>negative</w:t>
      </w:r>
    </w:p>
    <w:p>
      <w:pPr>
        <w:pStyle w:val="BodyText"/>
        <w:rPr>
          <w:rFonts w:ascii="Gill Sans MT"/>
          <w:sz w:val="32"/>
        </w:rPr>
      </w:pPr>
    </w:p>
    <w:p>
      <w:pPr>
        <w:spacing w:before="1"/>
        <w:ind w:left="569" w:right="1422" w:firstLine="0"/>
        <w:jc w:val="center"/>
        <w:rPr>
          <w:rFonts w:ascii="Gill Sans MT"/>
          <w:sz w:val="32"/>
        </w:rPr>
      </w:pPr>
      <w:r>
        <w:rPr>
          <w:rFonts w:ascii="Gill Sans MT"/>
          <w:w w:val="105"/>
          <w:sz w:val="32"/>
        </w:rPr>
        <w:t>Real GDP by Component</w:t>
      </w:r>
    </w:p>
    <w:p>
      <w:pPr>
        <w:spacing w:before="9"/>
        <w:ind w:left="566" w:right="1422" w:firstLine="0"/>
        <w:jc w:val="center"/>
        <w:rPr>
          <w:rFonts w:ascii="Gill Sans MT"/>
          <w:sz w:val="21"/>
        </w:rPr>
      </w:pPr>
      <w:r>
        <w:rPr/>
        <w:pict>
          <v:group style="position:absolute;margin-left:160.779999pt;margin-top:21.581606pt;width:414pt;height:188.85pt;mso-position-horizontal-relative:page;mso-position-vertical-relative:paragraph;z-index:-266985472" coordorigin="3216,432" coordsize="8280,3777">
            <v:shape style="position:absolute;left:3215;top:1181;width:8272;height:2976" coordorigin="3216,1182" coordsize="8272,2976" path="m3216,4158l11488,4158m3216,3786l11488,3786m3216,3414l11488,3414m3216,3042l11488,3042m3216,2670l11488,2670m3216,2298l11488,2298m3874,1926l5040,1926m3216,1926l3386,1926m3874,1554l5868,1554m3216,1554l3386,1554m3874,1182l11488,1182m3216,1182l3386,1182e" filled="false" stroked="true" strokeweight=".75pt" strokecolor="#d1d1d1">
              <v:path arrowok="t"/>
              <v:stroke dashstyle="solid"/>
            </v:shape>
            <v:shape style="position:absolute;left:3386;top:1083;width:1313;height:1215" coordorigin="3386,1084" coordsize="1313,1215" path="m3874,1084l3386,1084,3386,2298,3874,2298,3874,1084m4699,2058l4212,2058,4212,2298,4699,2298,4699,2058e" filled="true" fillcolor="#014612" stroked="false">
              <v:path arrowok="t"/>
              <v:fill type="solid"/>
            </v:shape>
            <v:line style="position:absolute" from="5527,1926" to="5868,1926" stroked="true" strokeweight=".75pt" strokecolor="#d1d1d1">
              <v:stroke dashstyle="solid"/>
            </v:line>
            <v:rect style="position:absolute;left:5040;top:1659;width:488;height:639" filled="true" fillcolor="#014612" stroked="false">
              <v:fill type="solid"/>
            </v:rect>
            <v:shape style="position:absolute;left:6355;top:1553;width:1995;height:372" coordorigin="6355,1554" coordsize="1995,372" path="m6355,1926l6694,1926m6355,1554l8350,1554e" filled="false" stroked="true" strokeweight=".75pt" strokecolor="#d1d1d1">
              <v:path arrowok="t"/>
              <v:stroke dashstyle="solid"/>
            </v:shape>
            <v:rect style="position:absolute;left:5868;top:1431;width:488;height:867" filled="true" fillcolor="#014612" stroked="false">
              <v:fill type="solid"/>
            </v:rect>
            <v:line style="position:absolute" from="7181,1926" to="7522,1926" stroked="true" strokeweight=".75pt" strokecolor="#d1d1d1">
              <v:stroke dashstyle="solid"/>
            </v:line>
            <v:rect style="position:absolute;left:6693;top:1815;width:488;height:483" filled="true" fillcolor="#014612" stroked="false">
              <v:fill type="solid"/>
            </v:rect>
            <v:line style="position:absolute" from="8009,1926" to="8350,1926" stroked="true" strokeweight=".75pt" strokecolor="#d1d1d1">
              <v:stroke dashstyle="solid"/>
            </v:line>
            <v:rect style="position:absolute;left:7521;top:1592;width:488;height:706" filled="true" fillcolor="#014612" stroked="false">
              <v:fill type="solid"/>
            </v:rect>
            <v:shape style="position:absolute;left:8836;top:1553;width:339;height:372" coordorigin="8837,1554" coordsize="339,372" path="m8837,1926l9175,1926m8837,1554l9175,1554e" filled="false" stroked="true" strokeweight=".75pt" strokecolor="#d1d1d1">
              <v:path arrowok="t"/>
              <v:stroke dashstyle="solid"/>
            </v:shape>
            <v:rect style="position:absolute;left:8349;top:1376;width:488;height:922" filled="true" fillcolor="#014612" stroked="false">
              <v:fill type="solid"/>
            </v:rect>
            <v:shape style="position:absolute;left:9662;top:1553;width:1826;height:372" coordorigin="9662,1554" coordsize="1826,372" path="m9662,1926l11488,1926m9662,1554l11488,1554e" filled="false" stroked="true" strokeweight=".75pt" strokecolor="#d1d1d1">
              <v:path arrowok="t"/>
              <v:stroke dashstyle="solid"/>
            </v:shape>
            <v:shape style="position:absolute;left:9175;top:1294;width:1316;height:1004" coordorigin="9175,1295" coordsize="1316,1004" path="m9662,1295l9175,1295,9175,2298,9662,2298,9662,1295m10490,2000l10003,2000,10003,2298,10490,2298,10490,2000e" filled="true" fillcolor="#014612" stroked="false">
              <v:path arrowok="t"/>
              <v:fill type="solid"/>
            </v:shape>
            <v:shape style="position:absolute;left:3386;top:1083;width:7104;height:1215" coordorigin="3386,1084" coordsize="7104,1215" path="m3386,1084l3874,1084,3874,2298,3386,2298,3386,1084xm4212,2058l4699,2058,4699,2298,4212,2298,4212,2058xm5040,1660l5527,1660,5527,2298,5040,2298,5040,1660xm5868,1432l6355,1432,6355,2298,5868,2298,5868,1432xm6694,1816l7181,1816,7181,2298,6694,2298,6694,1816xm7522,1592l8009,1592,8009,2298,7522,2298,7522,1592xm8350,1376l8837,1376,8837,2298,8350,2298,8350,1376xm9175,1295l9662,1295,9662,2298,9175,2298,9175,1295xm10003,2000l10490,2000,10490,2298,10003,2298,10003,2000xe" filled="false" stroked="true" strokeweight=".75pt" strokecolor="#014612">
              <v:path arrowok="t"/>
              <v:stroke dashstyle="solid"/>
            </v:shape>
            <v:shape style="position:absolute;left:3386;top:2297;width:488;height:608" type="#_x0000_t75" stroked="false">
              <v:imagedata r:id="rId78" o:title=""/>
            </v:shape>
            <v:shape style="position:absolute;left:4212;top:1527;width:488;height:531" type="#_x0000_t75" stroked="false">
              <v:imagedata r:id="rId79" o:title=""/>
            </v:shape>
            <v:shape style="position:absolute;left:5040;top:989;width:488;height:670" type="#_x0000_t75" stroked="false">
              <v:imagedata r:id="rId80" o:title=""/>
            </v:shape>
            <v:shape style="position:absolute;left:5868;top:1371;width:488;height:60" type="#_x0000_t75" stroked="false">
              <v:imagedata r:id="rId81" o:title=""/>
            </v:shape>
            <v:shape style="position:absolute;left:6693;top:1577;width:488;height:238" type="#_x0000_t75" stroked="false">
              <v:imagedata r:id="rId82" o:title=""/>
            </v:shape>
            <v:shape style="position:absolute;left:7521;top:1045;width:488;height:548" type="#_x0000_t75" stroked="false">
              <v:imagedata r:id="rId83" o:title=""/>
            </v:shape>
            <v:shape style="position:absolute;left:8349;top:1316;width:488;height:60" type="#_x0000_t75" stroked="false">
              <v:imagedata r:id="rId84" o:title=""/>
            </v:shape>
            <v:shape style="position:absolute;left:9175;top:2297;width:488;height:384" type="#_x0000_t75" stroked="false">
              <v:imagedata r:id="rId85" o:title=""/>
            </v:shape>
            <v:line style="position:absolute" from="3216,810" to="11488,810" stroked="true" strokeweight=".75pt" strokecolor="#d1d1d1">
              <v:stroke dashstyle="solid"/>
            </v:line>
            <v:shape style="position:absolute;left:10003;top:521;width:488;height:1479" type="#_x0000_t75" stroked="false">
              <v:imagedata r:id="rId86" o:title=""/>
            </v:shape>
            <v:shape style="position:absolute;left:3386;top:989;width:6276;height:1916" coordorigin="3386,990" coordsize="6276,1916" path="m3386,2905l3874,2905,3874,2298,3386,2298,3386,2905xm4212,1528l4699,1528,4699,2058,4212,2058,4212,1528xm5040,990l5527,990,5527,1660,5040,1660,5040,990xm5868,1372l6355,1372,6355,1432,5868,1432,5868,1372xm6694,1578l7181,1578,7181,1816,6694,1816,6694,1578xm7522,1045l8009,1045,8009,1592,7522,1592,7522,1045xm8350,1316l8837,1316,8837,1376,8350,1376,8350,1316xm9175,2682l9662,2682,9662,2298,9175,2298,9175,2682xe" filled="false" stroked="true" strokeweight=".75pt" strokecolor="#8e7eba">
              <v:path arrowok="t"/>
              <v:stroke dashstyle="solid"/>
            </v:shape>
            <v:line style="position:absolute" from="3216,439" to="11488,439" stroked="true" strokeweight=".75pt" strokecolor="#d1d1d1">
              <v:stroke dashstyle="solid"/>
            </v:line>
            <v:rect style="position:absolute;left:10003;top:521;width:488;height:1479" filled="false" stroked="true" strokeweight=".75pt" strokecolor="#8e7eba">
              <v:stroke dashstyle="solid"/>
            </v:rect>
            <v:shape style="position:absolute;left:3386;top:769;width:488;height:315" type="#_x0000_t75" stroked="false">
              <v:imagedata r:id="rId87" o:title=""/>
            </v:shape>
            <v:shape style="position:absolute;left:4212;top:1349;width:488;height:178" type="#_x0000_t75" stroked="false">
              <v:imagedata r:id="rId88" o:title=""/>
            </v:shape>
            <v:shape style="position:absolute;left:5040;top:639;width:488;height:351" type="#_x0000_t75" stroked="false">
              <v:imagedata r:id="rId89" o:title=""/>
            </v:shape>
            <v:shape style="position:absolute;left:5868;top:1145;width:488;height:226" type="#_x0000_t75" stroked="false">
              <v:imagedata r:id="rId90" o:title=""/>
            </v:shape>
            <v:shape style="position:absolute;left:6693;top:1465;width:488;height:113" type="#_x0000_t75" stroked="false">
              <v:imagedata r:id="rId91" o:title=""/>
            </v:shape>
            <v:shape style="position:absolute;left:7521;top:850;width:488;height:195" type="#_x0000_t75" stroked="false">
              <v:imagedata r:id="rId92" o:title=""/>
            </v:shape>
            <v:shape style="position:absolute;left:8349;top:997;width:488;height:320" type="#_x0000_t75" stroked="false">
              <v:imagedata r:id="rId93" o:title=""/>
            </v:shape>
            <v:shape style="position:absolute;left:9175;top:1100;width:488;height:195" type="#_x0000_t75" stroked="false">
              <v:imagedata r:id="rId94" o:title=""/>
            </v:shape>
            <v:shape style="position:absolute;left:10003;top:2297;width:488;height:46" type="#_x0000_t75" stroked="false">
              <v:imagedata r:id="rId95" o:title=""/>
            </v:shape>
            <v:shape style="position:absolute;left:3386;top:639;width:7104;height:1704" coordorigin="3386,640" coordsize="7104,1704" path="m3386,769l3874,769,3874,1084,3386,1084,3386,769xm4212,1350l4699,1350,4699,1528,4212,1528,4212,1350xm5040,640l5527,640,5527,990,5040,990,5040,640xm5868,1146l6355,1146,6355,1372,5868,1372,5868,1146xm6694,1465l7181,1465,7181,1578,6694,1578,6694,1465xm7522,851l8009,851,8009,1045,7522,1045,7522,851xm8350,997l8837,997,8837,1316,8350,1316,8350,997xm9175,1100l9662,1100,9662,1295,9175,1295,9175,1100xm10003,2344l10490,2344,10490,2298,10003,2298,10003,2344xe" filled="false" stroked="true" strokeweight=".75pt" strokecolor="#9aa6be">
              <v:path arrowok="t"/>
              <v:stroke dashstyle="solid"/>
            </v:shape>
            <v:shape style="position:absolute;left:3386;top:646;width:488;height:123" type="#_x0000_t75" stroked="false">
              <v:imagedata r:id="rId96" o:title=""/>
            </v:shape>
            <v:shape style="position:absolute;left:4212;top:2297;width:488;height:41" type="#_x0000_t75" stroked="false">
              <v:imagedata r:id="rId97" o:title=""/>
            </v:shape>
            <v:shape style="position:absolute;left:5040;top:2297;width:488;height:39" type="#_x0000_t75" stroked="false">
              <v:imagedata r:id="rId98" o:title=""/>
            </v:shape>
            <v:shape style="position:absolute;left:6693;top:2297;width:488;height:228" type="#_x0000_t75" stroked="false">
              <v:imagedata r:id="rId99" o:title=""/>
            </v:shape>
            <v:shape style="position:absolute;left:5868;top:1112;width:488;height:34" type="#_x0000_t75" stroked="false">
              <v:imagedata r:id="rId100" o:title=""/>
            </v:shape>
            <v:shape style="position:absolute;left:7521;top:2297;width:488;height:336" type="#_x0000_t75" stroked="false">
              <v:imagedata r:id="rId101" o:title=""/>
            </v:shape>
            <v:shape style="position:absolute;left:8349;top:2297;width:488;height:161" type="#_x0000_t75" stroked="false">
              <v:imagedata r:id="rId102" o:title=""/>
            </v:shape>
            <v:shape style="position:absolute;left:9175;top:1004;width:488;height:96" type="#_x0000_t75" stroked="false">
              <v:imagedata r:id="rId103" o:title=""/>
            </v:shape>
            <v:shape style="position:absolute;left:10003;top:2343;width:488;height:1822" type="#_x0000_t75" stroked="false">
              <v:imagedata r:id="rId104" o:title=""/>
            </v:shape>
            <v:shape style="position:absolute;left:3386;top:646;width:2141;height:1692" coordorigin="3386,647" coordsize="2141,1692" path="m3386,647l3874,647,3874,769,3386,769,3386,647xm4212,2339l4699,2339,4699,2298,4212,2298,4212,2339xm5040,2336l5527,2336,5527,2298,5040,2298,5040,2336xe" filled="false" stroked="true" strokeweight=".75pt" strokecolor="#6cb5b1">
              <v:path arrowok="t"/>
              <v:stroke dashstyle="solid"/>
            </v:shape>
            <v:rect style="position:absolute;left:5860;top:1104;width:503;height:49" filled="true" fillcolor="#6cb5b1" stroked="false">
              <v:fill type="solid"/>
            </v:rect>
            <v:shape style="position:absolute;left:6693;top:1004;width:3797;height:3161" coordorigin="6694,1004" coordsize="3797,3161" path="m6694,2526l7181,2526,7181,2298,6694,2298,6694,2526xm7522,2634l8009,2634,8009,2298,7522,2298,7522,2634xm8350,2459l8837,2459,8837,2298,8350,2298,8350,2459xm9175,1004l9662,1004,9662,1100,9175,1100,9175,1004xm10003,4165l10490,4165,10490,2344,10003,2344,10003,4165xe" filled="false" stroked="true" strokeweight=".75pt" strokecolor="#6cb5b1">
              <v:path arrowok="t"/>
              <v:stroke dashstyle="solid"/>
            </v:shape>
            <v:shape style="position:absolute;left:3215;top:4157;width:8272;height:50" coordorigin="3216,4158" coordsize="8272,50" path="m3216,4158l11488,4158m3629,4158l3629,4208m4457,4158l4457,4208m5282,4158l5282,4208m6110,4158l6110,4208m6938,4158l6938,4208m7764,4158l7764,4208m8592,4158l8592,4208m9420,4158l9420,4208m10246,4158l10246,4208m11074,4158l11074,4208m11488,4158l11488,4208e" filled="false" stroked="true" strokeweight=".75pt" strokecolor="#d1d1d1">
              <v:path arrowok="t"/>
              <v:stroke dashstyle="solid"/>
            </v:shape>
            <v:shape style="position:absolute;left:3629;top:662;width:6618;height:1711" coordorigin="3629,662" coordsize="6618,1711" path="m3629,1256l4457,1405,5282,662,6110,1108,6938,1703,7764,1182,8592,1146,9420,1405,10247,2373e" filled="false" stroked="true" strokeweight="1.25pt" strokecolor="#000000">
              <v:path arrowok="t"/>
              <v:stroke dashstyle="solid"/>
            </v:shape>
            <v:shape style="position:absolute;left:3539;top:1166;width:179;height:179" type="#_x0000_t75" stroked="false">
              <v:imagedata r:id="rId105" o:title=""/>
            </v:shape>
            <v:shape style="position:absolute;left:4367;top:1315;width:179;height:179" type="#_x0000_t75" stroked="false">
              <v:imagedata r:id="rId105" o:title=""/>
            </v:shape>
            <v:shape style="position:absolute;left:5193;top:571;width:179;height:179" type="#_x0000_t75" stroked="false">
              <v:imagedata r:id="rId106" o:title=""/>
            </v:shape>
            <v:shape style="position:absolute;left:6021;top:1018;width:179;height:179" type="#_x0000_t75" stroked="false">
              <v:imagedata r:id="rId105" o:title=""/>
            </v:shape>
            <v:shape style="position:absolute;left:6849;top:1613;width:179;height:179" type="#_x0000_t75" stroked="false">
              <v:imagedata r:id="rId106" o:title=""/>
            </v:shape>
            <v:shape style="position:absolute;left:7675;top:1092;width:179;height:179" type="#_x0000_t75" stroked="false">
              <v:imagedata r:id="rId105" o:title=""/>
            </v:shape>
            <v:shape style="position:absolute;left:8503;top:1056;width:179;height:179" type="#_x0000_t75" stroked="false">
              <v:imagedata r:id="rId105" o:title=""/>
            </v:shape>
            <v:shape style="position:absolute;left:9331;top:1315;width:179;height:179" type="#_x0000_t75" stroked="false">
              <v:imagedata r:id="rId105" o:title=""/>
            </v:shape>
            <v:shape style="position:absolute;left:10156;top:2282;width:179;height:179" type="#_x0000_t75" stroked="false">
              <v:imagedata r:id="rId105" o:title=""/>
            </v:shape>
            <v:line style="position:absolute" from="10247,2373" to="11074,1518" stroked="true" strokeweight="2.25pt" strokecolor="#bebebe">
              <v:stroke dashstyle="dot"/>
            </v:line>
            <v:shape style="position:absolute;left:10984;top:1428;width:179;height:179" type="#_x0000_t75" stroked="false">
              <v:imagedata r:id="rId107" o:title=""/>
            </v:shape>
            <v:shape style="position:absolute;left:10156;top:2283;width:179;height:179" type="#_x0000_t75" stroked="false">
              <v:imagedata r:id="rId105" o:title=""/>
            </v:shape>
            <v:shape style="position:absolute;left:9600;top:3541;width:360;height:120" type="#_x0000_t75" stroked="false">
              <v:imagedata r:id="rId108" o:title=""/>
            </v:shape>
            <v:shape style="position:absolute;left:10560;top:590;width:360;height:120" type="#_x0000_t75" stroked="false">
              <v:imagedata r:id="rId109" o:title=""/>
            </v:shape>
            <w10:wrap type="none"/>
          </v:group>
        </w:pict>
      </w:r>
      <w:r>
        <w:rPr>
          <w:rFonts w:ascii="Gill Sans MT"/>
          <w:w w:val="115"/>
          <w:sz w:val="21"/>
        </w:rPr>
        <w:t>percent change, seasonally adjusted annual rates</w:t>
      </w:r>
    </w:p>
    <w:p>
      <w:pPr>
        <w:spacing w:after="0"/>
        <w:jc w:val="center"/>
        <w:rPr>
          <w:rFonts w:ascii="Gill Sans MT"/>
          <w:sz w:val="21"/>
        </w:rPr>
        <w:sectPr>
          <w:headerReference w:type="default" r:id="rId76"/>
          <w:footerReference w:type="default" r:id="rId77"/>
          <w:pgSz w:w="14400" w:h="10800" w:orient="landscape"/>
          <w:pgMar w:header="639" w:footer="592" w:top="1480" w:bottom="780" w:left="20" w:right="40"/>
          <w:pgNumType w:start="30"/>
        </w:sectPr>
      </w:pPr>
    </w:p>
    <w:p>
      <w:pPr>
        <w:spacing w:before="55"/>
        <w:ind w:left="0" w:right="38" w:firstLine="0"/>
        <w:jc w:val="right"/>
        <w:rPr>
          <w:rFonts w:ascii="Gill Sans MT"/>
          <w:sz w:val="21"/>
        </w:rPr>
      </w:pPr>
      <w:r>
        <w:rPr>
          <w:rFonts w:ascii="Gill Sans MT"/>
          <w:spacing w:val="-1"/>
          <w:w w:val="110"/>
          <w:sz w:val="21"/>
        </w:rPr>
        <w:t>5%</w:t>
      </w:r>
    </w:p>
    <w:p>
      <w:pPr>
        <w:spacing w:before="129"/>
        <w:ind w:left="0" w:right="38" w:firstLine="0"/>
        <w:jc w:val="right"/>
        <w:rPr>
          <w:rFonts w:ascii="Gill Sans MT"/>
          <w:sz w:val="21"/>
        </w:rPr>
      </w:pPr>
      <w:r>
        <w:rPr>
          <w:rFonts w:ascii="Gill Sans MT"/>
          <w:spacing w:val="-1"/>
          <w:w w:val="110"/>
          <w:sz w:val="21"/>
        </w:rPr>
        <w:t>4%</w:t>
      </w:r>
    </w:p>
    <w:p>
      <w:pPr>
        <w:spacing w:before="128"/>
        <w:ind w:left="0" w:right="38" w:firstLine="0"/>
        <w:jc w:val="right"/>
        <w:rPr>
          <w:rFonts w:ascii="Gill Sans MT"/>
          <w:sz w:val="21"/>
        </w:rPr>
      </w:pPr>
      <w:r>
        <w:rPr>
          <w:rFonts w:ascii="Gill Sans MT"/>
          <w:spacing w:val="-1"/>
          <w:w w:val="110"/>
          <w:sz w:val="21"/>
        </w:rPr>
        <w:t>3%</w:t>
      </w:r>
    </w:p>
    <w:p>
      <w:pPr>
        <w:spacing w:before="129"/>
        <w:ind w:left="0" w:right="38" w:firstLine="0"/>
        <w:jc w:val="right"/>
        <w:rPr>
          <w:rFonts w:ascii="Gill Sans MT"/>
          <w:sz w:val="21"/>
        </w:rPr>
      </w:pPr>
      <w:r>
        <w:rPr>
          <w:rFonts w:ascii="Gill Sans MT"/>
          <w:spacing w:val="-1"/>
          <w:w w:val="110"/>
          <w:sz w:val="21"/>
        </w:rPr>
        <w:t>2%</w:t>
      </w:r>
    </w:p>
    <w:p>
      <w:pPr>
        <w:spacing w:before="128"/>
        <w:ind w:left="0" w:right="38" w:firstLine="0"/>
        <w:jc w:val="right"/>
        <w:rPr>
          <w:rFonts w:ascii="Gill Sans MT"/>
          <w:sz w:val="21"/>
        </w:rPr>
      </w:pPr>
      <w:r>
        <w:rPr>
          <w:rFonts w:ascii="Gill Sans MT"/>
          <w:spacing w:val="-2"/>
          <w:w w:val="110"/>
          <w:sz w:val="21"/>
        </w:rPr>
        <w:t>1%</w:t>
      </w:r>
    </w:p>
    <w:p>
      <w:pPr>
        <w:spacing w:before="128"/>
        <w:ind w:left="0" w:right="38" w:firstLine="0"/>
        <w:jc w:val="right"/>
        <w:rPr>
          <w:rFonts w:ascii="Gill Sans MT"/>
          <w:sz w:val="21"/>
        </w:rPr>
      </w:pPr>
      <w:r>
        <w:rPr>
          <w:rFonts w:ascii="Gill Sans MT"/>
          <w:spacing w:val="-1"/>
          <w:w w:val="110"/>
          <w:sz w:val="21"/>
        </w:rPr>
        <w:t>0%</w:t>
      </w:r>
    </w:p>
    <w:p>
      <w:pPr>
        <w:spacing w:before="129"/>
        <w:ind w:left="0" w:right="38" w:firstLine="0"/>
        <w:jc w:val="right"/>
        <w:rPr>
          <w:rFonts w:ascii="Gill Sans MT"/>
          <w:sz w:val="21"/>
        </w:rPr>
      </w:pPr>
      <w:r>
        <w:rPr>
          <w:rFonts w:ascii="Gill Sans MT"/>
          <w:sz w:val="21"/>
        </w:rPr>
        <w:t>-1%</w:t>
      </w:r>
    </w:p>
    <w:p>
      <w:pPr>
        <w:spacing w:before="128"/>
        <w:ind w:left="0" w:right="38" w:firstLine="0"/>
        <w:jc w:val="right"/>
        <w:rPr>
          <w:rFonts w:ascii="Gill Sans MT"/>
          <w:sz w:val="21"/>
        </w:rPr>
      </w:pPr>
      <w:r>
        <w:rPr>
          <w:rFonts w:ascii="Gill Sans MT"/>
          <w:sz w:val="21"/>
        </w:rPr>
        <w:t>-2%</w:t>
      </w:r>
    </w:p>
    <w:p>
      <w:pPr>
        <w:spacing w:before="129"/>
        <w:ind w:left="0" w:right="38" w:firstLine="0"/>
        <w:jc w:val="right"/>
        <w:rPr>
          <w:rFonts w:ascii="Gill Sans MT"/>
          <w:sz w:val="21"/>
        </w:rPr>
      </w:pPr>
      <w:r>
        <w:rPr>
          <w:rFonts w:ascii="Gill Sans MT"/>
          <w:sz w:val="21"/>
        </w:rPr>
        <w:t>-3%</w:t>
      </w:r>
    </w:p>
    <w:p>
      <w:pPr>
        <w:spacing w:before="128"/>
        <w:ind w:left="0" w:right="38" w:firstLine="0"/>
        <w:jc w:val="right"/>
        <w:rPr>
          <w:rFonts w:ascii="Gill Sans MT"/>
          <w:sz w:val="21"/>
        </w:rPr>
      </w:pPr>
      <w:r>
        <w:rPr>
          <w:rFonts w:ascii="Gill Sans MT"/>
          <w:sz w:val="21"/>
        </w:rPr>
        <w:t>-4%</w:t>
      </w:r>
    </w:p>
    <w:p>
      <w:pPr>
        <w:spacing w:before="128"/>
        <w:ind w:left="0" w:right="38" w:firstLine="0"/>
        <w:jc w:val="right"/>
        <w:rPr>
          <w:rFonts w:ascii="Gill Sans MT"/>
          <w:sz w:val="21"/>
        </w:rPr>
      </w:pPr>
      <w:r>
        <w:rPr>
          <w:rFonts w:ascii="Gill Sans MT"/>
          <w:sz w:val="21"/>
        </w:rPr>
        <w:t>-5%</w:t>
      </w:r>
    </w:p>
    <w:p>
      <w:pPr>
        <w:pStyle w:val="BodyText"/>
        <w:rPr>
          <w:rFonts w:ascii="Gill Sans MT"/>
        </w:rPr>
      </w:pPr>
      <w:r>
        <w:rPr/>
        <w:br w:type="column"/>
      </w:r>
      <w:r>
        <w:rPr>
          <w:rFonts w:ascii="Gill Sans MT"/>
        </w:rPr>
      </w: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spacing w:before="165"/>
        <w:ind w:left="2673" w:right="0" w:firstLine="0"/>
        <w:jc w:val="left"/>
        <w:rPr>
          <w:rFonts w:ascii="Gill Sans MT"/>
          <w:sz w:val="21"/>
        </w:rPr>
      </w:pPr>
      <w:r>
        <w:rPr>
          <w:rFonts w:ascii="Gill Sans MT"/>
          <w:color w:val="3A9D97"/>
          <w:w w:val="115"/>
          <w:sz w:val="21"/>
        </w:rPr>
        <w:t>includes</w:t>
      </w:r>
      <w:r>
        <w:rPr>
          <w:rFonts w:ascii="Gill Sans MT"/>
          <w:color w:val="3A9D97"/>
          <w:spacing w:val="-53"/>
          <w:w w:val="115"/>
          <w:sz w:val="21"/>
        </w:rPr>
        <w:t> </w:t>
      </w:r>
      <w:r>
        <w:rPr>
          <w:rFonts w:ascii="Gill Sans MT"/>
          <w:color w:val="3A9D97"/>
          <w:w w:val="115"/>
          <w:sz w:val="21"/>
        </w:rPr>
        <w:t>accelerated</w:t>
      </w:r>
      <w:r>
        <w:rPr>
          <w:rFonts w:ascii="Gill Sans MT"/>
          <w:color w:val="3A9D97"/>
          <w:spacing w:val="-52"/>
          <w:w w:val="115"/>
          <w:sz w:val="21"/>
        </w:rPr>
        <w:t> </w:t>
      </w:r>
      <w:r>
        <w:rPr>
          <w:rFonts w:ascii="Gill Sans MT"/>
          <w:color w:val="3A9D97"/>
          <w:w w:val="115"/>
          <w:sz w:val="21"/>
        </w:rPr>
        <w:t>imports</w:t>
      </w:r>
    </w:p>
    <w:p>
      <w:pPr>
        <w:pStyle w:val="BodyText"/>
        <w:spacing w:before="10"/>
        <w:rPr>
          <w:rFonts w:ascii="Gill Sans MT"/>
          <w:sz w:val="22"/>
        </w:rPr>
      </w:pPr>
      <w:r>
        <w:rPr/>
        <w:br w:type="column"/>
      </w:r>
      <w:r>
        <w:rPr>
          <w:rFonts w:ascii="Gill Sans MT"/>
          <w:sz w:val="22"/>
        </w:rPr>
      </w:r>
    </w:p>
    <w:p>
      <w:pPr>
        <w:spacing w:before="0"/>
        <w:ind w:left="1343" w:right="0" w:firstLine="0"/>
        <w:jc w:val="left"/>
        <w:rPr>
          <w:rFonts w:ascii="Gill Sans MT"/>
          <w:sz w:val="21"/>
        </w:rPr>
      </w:pPr>
      <w:r>
        <w:rPr>
          <w:rFonts w:ascii="Gill Sans MT"/>
          <w:color w:val="6954A3"/>
          <w:w w:val="110"/>
          <w:sz w:val="21"/>
        </w:rPr>
        <w:t>includes inventory build-up</w:t>
      </w:r>
    </w:p>
    <w:p>
      <w:pPr>
        <w:spacing w:after="0"/>
        <w:jc w:val="left"/>
        <w:rPr>
          <w:rFonts w:ascii="Gill Sans MT"/>
          <w:sz w:val="21"/>
        </w:rPr>
        <w:sectPr>
          <w:type w:val="continuous"/>
          <w:pgSz w:w="14400" w:h="10800" w:orient="landscape"/>
          <w:pgMar w:top="180" w:bottom="280" w:left="20" w:right="40"/>
          <w:cols w:num="3" w:equalWidth="0">
            <w:col w:w="3044" w:space="1127"/>
            <w:col w:w="5371" w:space="40"/>
            <w:col w:w="4758"/>
          </w:cols>
        </w:sectPr>
      </w:pPr>
    </w:p>
    <w:p>
      <w:pPr>
        <w:tabs>
          <w:tab w:pos="4143" w:val="left" w:leader="none"/>
          <w:tab w:pos="4970" w:val="left" w:leader="none"/>
          <w:tab w:pos="5797" w:val="left" w:leader="none"/>
          <w:tab w:pos="6625" w:val="left" w:leader="none"/>
          <w:tab w:pos="7453" w:val="left" w:leader="none"/>
          <w:tab w:pos="8280" w:val="left" w:leader="none"/>
          <w:tab w:pos="9107" w:val="left" w:leader="none"/>
          <w:tab w:pos="9934" w:val="left" w:leader="none"/>
          <w:tab w:pos="10762" w:val="left" w:leader="none"/>
        </w:tabs>
        <w:spacing w:before="26"/>
        <w:ind w:left="3316" w:right="0" w:firstLine="0"/>
        <w:jc w:val="left"/>
        <w:rPr>
          <w:rFonts w:ascii="Gill Sans MT"/>
          <w:sz w:val="21"/>
        </w:rPr>
      </w:pPr>
      <w:r>
        <w:rPr/>
        <w:pict>
          <v:group style="position:absolute;margin-left:25.074356pt;margin-top:462.579987pt;width:164.25pt;height:56.4pt;mso-position-horizontal-relative:page;mso-position-vertical-relative:page;z-index:251712512" coordorigin="501,9252" coordsize="3285,1128">
            <v:shape style="position:absolute;left:501;top:9341;width:2863;height:1039" type="#_x0000_t75" stroked="false">
              <v:imagedata r:id="rId110" o:title=""/>
            </v:shape>
            <v:shape style="position:absolute;left:3274;top:9259;width:504;height:114" type="#_x0000_t75" stroked="false">
              <v:imagedata r:id="rId111" o:title=""/>
            </v:shape>
            <v:rect style="position:absolute;left:3274;top:9259;width:504;height:114" filled="false" stroked="true" strokeweight=".75pt" strokecolor="#6cb5b1">
              <v:stroke dashstyle="solid"/>
            </v:rect>
            <w10:wrap type="none"/>
          </v:group>
        </w:pict>
      </w:r>
      <w:r>
        <w:rPr>
          <w:rFonts w:ascii="Gill Sans MT"/>
          <w:w w:val="105"/>
          <w:sz w:val="21"/>
        </w:rPr>
        <w:t>Q1</w:t>
      </w:r>
      <w:r>
        <w:rPr>
          <w:rFonts w:ascii="Gill Sans MT"/>
          <w:spacing w:val="-17"/>
          <w:w w:val="105"/>
          <w:sz w:val="21"/>
        </w:rPr>
        <w:t> </w:t>
      </w:r>
      <w:r>
        <w:rPr>
          <w:rFonts w:ascii="Gill Sans MT"/>
          <w:w w:val="105"/>
          <w:sz w:val="21"/>
        </w:rPr>
        <w:t>'23</w:t>
        <w:tab/>
        <w:t>Q2</w:t>
      </w:r>
      <w:r>
        <w:rPr>
          <w:rFonts w:ascii="Gill Sans MT"/>
          <w:spacing w:val="-16"/>
          <w:w w:val="105"/>
          <w:sz w:val="21"/>
        </w:rPr>
        <w:t> </w:t>
      </w:r>
      <w:r>
        <w:rPr>
          <w:rFonts w:ascii="Gill Sans MT"/>
          <w:w w:val="105"/>
          <w:sz w:val="21"/>
        </w:rPr>
        <w:t>'23</w:t>
        <w:tab/>
        <w:t>Q3</w:t>
      </w:r>
      <w:r>
        <w:rPr>
          <w:rFonts w:ascii="Gill Sans MT"/>
          <w:spacing w:val="-16"/>
          <w:w w:val="105"/>
          <w:sz w:val="21"/>
        </w:rPr>
        <w:t> </w:t>
      </w:r>
      <w:r>
        <w:rPr>
          <w:rFonts w:ascii="Gill Sans MT"/>
          <w:w w:val="105"/>
          <w:sz w:val="21"/>
        </w:rPr>
        <w:t>'23</w:t>
        <w:tab/>
        <w:t>Q4</w:t>
      </w:r>
      <w:r>
        <w:rPr>
          <w:rFonts w:ascii="Gill Sans MT"/>
          <w:spacing w:val="-14"/>
          <w:w w:val="105"/>
          <w:sz w:val="21"/>
        </w:rPr>
        <w:t> </w:t>
      </w:r>
      <w:r>
        <w:rPr>
          <w:rFonts w:ascii="Gill Sans MT"/>
          <w:w w:val="105"/>
          <w:sz w:val="21"/>
        </w:rPr>
        <w:t>'23</w:t>
        <w:tab/>
        <w:t>Q1</w:t>
      </w:r>
      <w:r>
        <w:rPr>
          <w:rFonts w:ascii="Gill Sans MT"/>
          <w:spacing w:val="-16"/>
          <w:w w:val="105"/>
          <w:sz w:val="21"/>
        </w:rPr>
        <w:t> </w:t>
      </w:r>
      <w:r>
        <w:rPr>
          <w:rFonts w:ascii="Gill Sans MT"/>
          <w:w w:val="105"/>
          <w:sz w:val="21"/>
        </w:rPr>
        <w:t>'24</w:t>
        <w:tab/>
        <w:t>Q2</w:t>
      </w:r>
      <w:r>
        <w:rPr>
          <w:rFonts w:ascii="Gill Sans MT"/>
          <w:spacing w:val="-16"/>
          <w:w w:val="105"/>
          <w:sz w:val="21"/>
        </w:rPr>
        <w:t> </w:t>
      </w:r>
      <w:r>
        <w:rPr>
          <w:rFonts w:ascii="Gill Sans MT"/>
          <w:w w:val="105"/>
          <w:sz w:val="21"/>
        </w:rPr>
        <w:t>'24</w:t>
        <w:tab/>
        <w:t>Q3</w:t>
      </w:r>
      <w:r>
        <w:rPr>
          <w:rFonts w:ascii="Gill Sans MT"/>
          <w:spacing w:val="-17"/>
          <w:w w:val="105"/>
          <w:sz w:val="21"/>
        </w:rPr>
        <w:t> </w:t>
      </w:r>
      <w:r>
        <w:rPr>
          <w:rFonts w:ascii="Gill Sans MT"/>
          <w:w w:val="105"/>
          <w:sz w:val="21"/>
        </w:rPr>
        <w:t>'24</w:t>
        <w:tab/>
        <w:t>Q4</w:t>
      </w:r>
      <w:r>
        <w:rPr>
          <w:rFonts w:ascii="Gill Sans MT"/>
          <w:spacing w:val="-16"/>
          <w:w w:val="105"/>
          <w:sz w:val="21"/>
        </w:rPr>
        <w:t> </w:t>
      </w:r>
      <w:r>
        <w:rPr>
          <w:rFonts w:ascii="Gill Sans MT"/>
          <w:w w:val="105"/>
          <w:sz w:val="21"/>
        </w:rPr>
        <w:t>'24</w:t>
        <w:tab/>
        <w:t>Q1</w:t>
      </w:r>
      <w:r>
        <w:rPr>
          <w:rFonts w:ascii="Gill Sans MT"/>
          <w:spacing w:val="-16"/>
          <w:w w:val="105"/>
          <w:sz w:val="21"/>
        </w:rPr>
        <w:t> </w:t>
      </w:r>
      <w:r>
        <w:rPr>
          <w:rFonts w:ascii="Gill Sans MT"/>
          <w:w w:val="105"/>
          <w:sz w:val="21"/>
        </w:rPr>
        <w:t>'25</w:t>
        <w:tab/>
        <w:t>Q2</w:t>
      </w:r>
      <w:r>
        <w:rPr>
          <w:rFonts w:ascii="Gill Sans MT"/>
          <w:spacing w:val="-22"/>
          <w:w w:val="105"/>
          <w:sz w:val="21"/>
        </w:rPr>
        <w:t> </w:t>
      </w:r>
      <w:r>
        <w:rPr>
          <w:rFonts w:ascii="Gill Sans MT"/>
          <w:spacing w:val="-7"/>
          <w:w w:val="105"/>
          <w:sz w:val="21"/>
        </w:rPr>
        <w:t>'25</w:t>
      </w:r>
    </w:p>
    <w:p>
      <w:pPr>
        <w:pStyle w:val="BodyText"/>
        <w:spacing w:before="8"/>
        <w:rPr>
          <w:rFonts w:ascii="Gill Sans MT"/>
          <w:sz w:val="21"/>
        </w:rPr>
      </w:pPr>
    </w:p>
    <w:p>
      <w:pPr>
        <w:tabs>
          <w:tab w:pos="6747" w:val="left" w:leader="none"/>
          <w:tab w:pos="9681" w:val="left" w:leader="none"/>
        </w:tabs>
        <w:spacing w:before="0"/>
        <w:ind w:left="3814" w:right="0" w:firstLine="0"/>
        <w:jc w:val="left"/>
        <w:rPr>
          <w:rFonts w:ascii="Gill Sans MT"/>
          <w:sz w:val="21"/>
        </w:rPr>
      </w:pPr>
      <w:r>
        <w:rPr/>
        <w:pict>
          <v:group style="position:absolute;margin-left:163.324997pt;margin-top:3.333591pt;width:25.95pt;height:6.45pt;mso-position-horizontal-relative:page;mso-position-vertical-relative:paragraph;z-index:251714560" coordorigin="3266,67" coordsize="519,129">
            <v:line style="position:absolute" from="3274,131" to="3778,131" stroked="true" strokeweight="5.67pt" strokecolor="#014612">
              <v:stroke dashstyle="solid"/>
            </v:line>
            <v:rect style="position:absolute;left:3274;top:74;width:504;height:114" filled="false" stroked="true" strokeweight=".75pt" strokecolor="#014612">
              <v:stroke dashstyle="solid"/>
            </v:rect>
            <w10:wrap type="none"/>
          </v:group>
        </w:pict>
      </w:r>
      <w:r>
        <w:rPr/>
        <w:pict>
          <v:group style="position:absolute;margin-left:309.994995pt;margin-top:3.333591pt;width:25.95pt;height:6.45pt;mso-position-horizontal-relative:page;mso-position-vertical-relative:paragraph;z-index:-266983424" coordorigin="6200,67" coordsize="519,129">
            <v:shape style="position:absolute;left:6207;top:74;width:504;height:114" type="#_x0000_t75" stroked="false">
              <v:imagedata r:id="rId112" o:title=""/>
            </v:shape>
            <v:rect style="position:absolute;left:6207;top:74;width:504;height:114" filled="false" stroked="true" strokeweight=".75pt" strokecolor="#8e7eba">
              <v:stroke dashstyle="solid"/>
            </v:rect>
            <w10:wrap type="none"/>
          </v:group>
        </w:pict>
      </w:r>
      <w:r>
        <w:rPr/>
        <w:pict>
          <v:group style="position:absolute;margin-left:456.665009pt;margin-top:3.333591pt;width:25.95pt;height:6.45pt;mso-position-horizontal-relative:page;mso-position-vertical-relative:paragraph;z-index:-266982400" coordorigin="9133,67" coordsize="519,129">
            <v:shape style="position:absolute;left:9140;top:74;width:504;height:114" type="#_x0000_t75" stroked="false">
              <v:imagedata r:id="rId113" o:title=""/>
            </v:shape>
            <v:rect style="position:absolute;left:9140;top:74;width:504;height:114" filled="false" stroked="true" strokeweight=".75pt" strokecolor="#9aa6be">
              <v:stroke dashstyle="solid"/>
            </v:rect>
            <w10:wrap type="none"/>
          </v:group>
        </w:pict>
      </w:r>
      <w:r>
        <w:rPr>
          <w:rFonts w:ascii="Gill Sans MT"/>
          <w:w w:val="110"/>
          <w:sz w:val="21"/>
        </w:rPr>
        <w:t>Consumption</w:t>
        <w:tab/>
        <w:t>Investment</w:t>
        <w:tab/>
        <w:t>Government</w:t>
      </w:r>
    </w:p>
    <w:p>
      <w:pPr>
        <w:tabs>
          <w:tab w:pos="6747" w:val="left" w:leader="none"/>
          <w:tab w:pos="9681" w:val="left" w:leader="none"/>
        </w:tabs>
        <w:spacing w:before="112"/>
        <w:ind w:left="3814" w:right="0" w:firstLine="0"/>
        <w:jc w:val="left"/>
        <w:rPr>
          <w:rFonts w:ascii="Gill Sans MT"/>
          <w:sz w:val="21"/>
        </w:rPr>
      </w:pPr>
      <w:r>
        <w:rPr/>
        <w:pict>
          <v:group style="position:absolute;margin-left:310.369995pt;margin-top:8.568588pt;width:25.2pt;height:7pt;mso-position-horizontal-relative:page;mso-position-vertical-relative:paragraph;z-index:-266981376" coordorigin="6207,171" coordsize="504,140">
            <v:line style="position:absolute" from="6207,243" to="6711,243" stroked="true" strokeweight="1.25pt" strokecolor="#000000">
              <v:stroke dashstyle="solid"/>
            </v:line>
            <v:shape style="position:absolute;left:6388;top:171;width:140;height:140" type="#_x0000_t75" stroked="false">
              <v:imagedata r:id="rId114" o:title=""/>
            </v:shape>
            <w10:wrap type="none"/>
          </v:group>
        </w:pict>
      </w:r>
      <w:r>
        <w:rPr/>
        <w:pict>
          <v:group style="position:absolute;margin-left:457.040009pt;margin-top:8.568588pt;width:25.2pt;height:7pt;mso-position-horizontal-relative:page;mso-position-vertical-relative:paragraph;z-index:-266980352" coordorigin="9141,171" coordsize="504,140">
            <v:line style="position:absolute" from="9141,243" to="9645,243" stroked="true" strokeweight="2.25pt" strokecolor="#bebebe">
              <v:stroke dashstyle="dot"/>
            </v:line>
            <v:shape style="position:absolute;left:9321;top:171;width:140;height:140" type="#_x0000_t75" stroked="false">
              <v:imagedata r:id="rId115" o:title=""/>
            </v:shape>
            <w10:wrap type="none"/>
          </v:group>
        </w:pict>
      </w:r>
      <w:r>
        <w:rPr>
          <w:rFonts w:ascii="Gill Sans MT"/>
          <w:w w:val="110"/>
          <w:sz w:val="21"/>
        </w:rPr>
        <w:t>Net</w:t>
      </w:r>
      <w:r>
        <w:rPr>
          <w:rFonts w:ascii="Gill Sans MT"/>
          <w:spacing w:val="-33"/>
          <w:w w:val="110"/>
          <w:sz w:val="21"/>
        </w:rPr>
        <w:t> </w:t>
      </w:r>
      <w:r>
        <w:rPr>
          <w:rFonts w:ascii="Gill Sans MT"/>
          <w:w w:val="110"/>
          <w:sz w:val="21"/>
        </w:rPr>
        <w:t>Exports</w:t>
        <w:tab/>
        <w:t>Total</w:t>
      </w:r>
      <w:r>
        <w:rPr>
          <w:rFonts w:ascii="Gill Sans MT"/>
          <w:spacing w:val="-27"/>
          <w:w w:val="110"/>
          <w:sz w:val="21"/>
        </w:rPr>
        <w:t> </w:t>
      </w:r>
      <w:r>
        <w:rPr>
          <w:rFonts w:ascii="Gill Sans MT"/>
          <w:w w:val="110"/>
          <w:sz w:val="21"/>
        </w:rPr>
        <w:t>Real</w:t>
      </w:r>
      <w:r>
        <w:rPr>
          <w:rFonts w:ascii="Gill Sans MT"/>
          <w:spacing w:val="-26"/>
          <w:w w:val="110"/>
          <w:sz w:val="21"/>
        </w:rPr>
        <w:t> </w:t>
      </w:r>
      <w:r>
        <w:rPr>
          <w:rFonts w:ascii="Gill Sans MT"/>
          <w:w w:val="110"/>
          <w:sz w:val="21"/>
        </w:rPr>
        <w:t>GDP</w:t>
        <w:tab/>
        <w:t>Forecast</w:t>
      </w:r>
    </w:p>
    <w:p>
      <w:pPr>
        <w:spacing w:before="168"/>
        <w:ind w:left="3777" w:right="0" w:firstLine="0"/>
        <w:jc w:val="left"/>
        <w:rPr>
          <w:rFonts w:ascii="Gill Sans MT"/>
          <w:sz w:val="14"/>
        </w:rPr>
      </w:pPr>
      <w:r>
        <w:rPr>
          <w:rFonts w:ascii="Gill Sans MT"/>
          <w:w w:val="110"/>
          <w:sz w:val="14"/>
        </w:rPr>
        <w:t>Source: U.S. Bureau of Economic Analysis, Bloomberg. Component data are weighted contributions to overall Real GDP</w:t>
      </w:r>
    </w:p>
    <w:p>
      <w:pPr>
        <w:spacing w:before="5"/>
        <w:ind w:left="3777" w:right="0" w:firstLine="0"/>
        <w:jc w:val="left"/>
        <w:rPr>
          <w:rFonts w:ascii="Gill Sans MT" w:hAnsi="Gill Sans MT"/>
          <w:sz w:val="14"/>
        </w:rPr>
      </w:pPr>
      <w:r>
        <w:rPr>
          <w:rFonts w:ascii="Gill Sans MT" w:hAnsi="Gill Sans MT"/>
          <w:w w:val="110"/>
          <w:sz w:val="14"/>
        </w:rPr>
        <w:t>growth. “Forecast” is professional economists’ Q2 ‘25 expectations from Bloomberg as of 6/30/2025.</w:t>
      </w:r>
    </w:p>
    <w:p>
      <w:pPr>
        <w:pStyle w:val="BodyText"/>
        <w:rPr>
          <w:rFonts w:ascii="Gill Sans MT"/>
          <w:sz w:val="34"/>
        </w:rPr>
      </w:pPr>
      <w:r>
        <w:rPr/>
        <w:br w:type="column"/>
      </w:r>
      <w:r>
        <w:rPr>
          <w:rFonts w:ascii="Gill Sans MT"/>
          <w:sz w:val="34"/>
        </w:rPr>
      </w:r>
    </w:p>
    <w:p>
      <w:pPr>
        <w:pStyle w:val="BodyText"/>
        <w:rPr>
          <w:rFonts w:ascii="Gill Sans MT"/>
          <w:sz w:val="34"/>
        </w:rPr>
      </w:pPr>
    </w:p>
    <w:p>
      <w:pPr>
        <w:pStyle w:val="BodyText"/>
        <w:spacing w:before="5"/>
        <w:rPr>
          <w:rFonts w:ascii="Gill Sans MT"/>
          <w:sz w:val="42"/>
        </w:rPr>
      </w:pPr>
    </w:p>
    <w:p>
      <w:pPr>
        <w:spacing w:before="1"/>
        <w:ind w:left="1332" w:right="0" w:firstLine="0"/>
        <w:jc w:val="left"/>
        <w:rPr>
          <w:rFonts w:ascii="Gill Sans MT"/>
          <w:sz w:val="30"/>
        </w:rPr>
      </w:pPr>
      <w:r>
        <w:rPr>
          <w:rFonts w:ascii="Gill Sans MT"/>
          <w:color w:val="014612"/>
          <w:w w:val="110"/>
          <w:sz w:val="30"/>
        </w:rPr>
        <w:t>SERVICE</w:t>
      </w:r>
    </w:p>
    <w:p>
      <w:pPr>
        <w:spacing w:after="0"/>
        <w:jc w:val="left"/>
        <w:rPr>
          <w:rFonts w:ascii="Gill Sans MT"/>
          <w:sz w:val="30"/>
        </w:rPr>
        <w:sectPr>
          <w:type w:val="continuous"/>
          <w:pgSz w:w="14400" w:h="10800" w:orient="landscape"/>
          <w:pgMar w:top="180" w:bottom="280" w:left="20" w:right="40"/>
          <w:cols w:num="2" w:equalWidth="0">
            <w:col w:w="11349" w:space="40"/>
            <w:col w:w="2951"/>
          </w:cols>
        </w:sectPr>
      </w:pPr>
    </w:p>
    <w:p>
      <w:pPr>
        <w:spacing w:before="137"/>
        <w:ind w:left="844" w:right="0" w:firstLine="0"/>
        <w:jc w:val="left"/>
        <w:rPr>
          <w:rFonts w:ascii="Georgia"/>
          <w:sz w:val="66"/>
        </w:rPr>
      </w:pPr>
      <w:bookmarkStart w:name="Slide 31: Soft Data vs. Hard Data" w:id="39"/>
      <w:bookmarkEnd w:id="39"/>
      <w:r>
        <w:rPr/>
      </w:r>
      <w:r>
        <w:rPr>
          <w:rFonts w:ascii="Georgia"/>
          <w:spacing w:val="-3"/>
          <w:w w:val="105"/>
          <w:sz w:val="66"/>
        </w:rPr>
        <w:t>Soft Data vs. </w:t>
      </w:r>
      <w:r>
        <w:rPr>
          <w:rFonts w:ascii="Georgia"/>
          <w:spacing w:val="-4"/>
          <w:w w:val="105"/>
          <w:sz w:val="66"/>
        </w:rPr>
        <w:t>Hard</w:t>
      </w:r>
      <w:r>
        <w:rPr>
          <w:rFonts w:ascii="Georgia"/>
          <w:spacing w:val="-81"/>
          <w:w w:val="105"/>
          <w:sz w:val="66"/>
        </w:rPr>
        <w:t> </w:t>
      </w:r>
      <w:r>
        <w:rPr>
          <w:rFonts w:ascii="Georgia"/>
          <w:spacing w:val="-3"/>
          <w:w w:val="105"/>
          <w:sz w:val="66"/>
        </w:rPr>
        <w:t>Data</w:t>
      </w:r>
    </w:p>
    <w:p>
      <w:pPr>
        <w:spacing w:before="194"/>
        <w:ind w:left="830" w:right="0" w:firstLine="0"/>
        <w:jc w:val="left"/>
        <w:rPr>
          <w:rFonts w:ascii="Gill Sans MT"/>
          <w:sz w:val="32"/>
        </w:rPr>
      </w:pPr>
      <w:r>
        <w:rPr>
          <w:rFonts w:ascii="Gill Sans MT"/>
          <w:w w:val="110"/>
          <w:sz w:val="32"/>
        </w:rPr>
        <w:t>Consumer sentiment was weak in Q2 2025</w:t>
      </w:r>
    </w:p>
    <w:p>
      <w:pPr>
        <w:pStyle w:val="Heading5"/>
        <w:numPr>
          <w:ilvl w:val="1"/>
          <w:numId w:val="5"/>
        </w:numPr>
        <w:tabs>
          <w:tab w:pos="1102" w:val="left" w:leader="none"/>
        </w:tabs>
        <w:spacing w:line="239" w:lineRule="exact" w:before="137" w:after="0"/>
        <w:ind w:left="1101" w:right="0" w:hanging="272"/>
        <w:jc w:val="left"/>
      </w:pPr>
      <w:r>
        <w:rPr>
          <w:w w:val="110"/>
        </w:rPr>
        <w:t>In</w:t>
      </w:r>
      <w:r>
        <w:rPr>
          <w:spacing w:val="-15"/>
          <w:w w:val="110"/>
        </w:rPr>
        <w:t> </w:t>
      </w:r>
      <w:r>
        <w:rPr>
          <w:w w:val="110"/>
        </w:rPr>
        <w:t>May</w:t>
      </w:r>
      <w:r>
        <w:rPr>
          <w:spacing w:val="-13"/>
          <w:w w:val="110"/>
        </w:rPr>
        <w:t> </w:t>
      </w:r>
      <w:r>
        <w:rPr>
          <w:w w:val="110"/>
        </w:rPr>
        <w:t>2025,</w:t>
      </w:r>
      <w:r>
        <w:rPr>
          <w:spacing w:val="-14"/>
          <w:w w:val="110"/>
        </w:rPr>
        <w:t> </w:t>
      </w:r>
      <w:r>
        <w:rPr>
          <w:w w:val="110"/>
        </w:rPr>
        <w:t>surveys</w:t>
      </w:r>
      <w:r>
        <w:rPr>
          <w:spacing w:val="-18"/>
          <w:w w:val="110"/>
        </w:rPr>
        <w:t> </w:t>
      </w:r>
      <w:r>
        <w:rPr>
          <w:w w:val="110"/>
        </w:rPr>
        <w:t>of</w:t>
      </w:r>
      <w:r>
        <w:rPr>
          <w:spacing w:val="-14"/>
          <w:w w:val="110"/>
        </w:rPr>
        <w:t> </w:t>
      </w:r>
      <w:r>
        <w:rPr>
          <w:w w:val="110"/>
        </w:rPr>
        <w:t>consumer</w:t>
      </w:r>
      <w:r>
        <w:rPr>
          <w:spacing w:val="-17"/>
          <w:w w:val="110"/>
        </w:rPr>
        <w:t> </w:t>
      </w:r>
      <w:r>
        <w:rPr>
          <w:w w:val="110"/>
        </w:rPr>
        <w:t>sentiment</w:t>
      </w:r>
    </w:p>
    <w:p>
      <w:pPr>
        <w:pStyle w:val="BodyText"/>
        <w:rPr>
          <w:rFonts w:ascii="Gill Sans MT"/>
          <w:sz w:val="36"/>
        </w:rPr>
      </w:pPr>
      <w:r>
        <w:rPr/>
        <w:br w:type="column"/>
      </w:r>
      <w:r>
        <w:rPr>
          <w:rFonts w:ascii="Gill Sans MT"/>
          <w:sz w:val="36"/>
        </w:rPr>
      </w:r>
    </w:p>
    <w:p>
      <w:pPr>
        <w:pStyle w:val="BodyText"/>
        <w:rPr>
          <w:rFonts w:ascii="Gill Sans MT"/>
          <w:sz w:val="36"/>
        </w:rPr>
      </w:pPr>
    </w:p>
    <w:p>
      <w:pPr>
        <w:pStyle w:val="BodyText"/>
        <w:rPr>
          <w:rFonts w:ascii="Gill Sans MT"/>
          <w:sz w:val="29"/>
        </w:rPr>
      </w:pPr>
    </w:p>
    <w:p>
      <w:pPr>
        <w:spacing w:before="0"/>
        <w:ind w:left="782" w:right="2266" w:firstLine="0"/>
        <w:jc w:val="center"/>
        <w:rPr>
          <w:rFonts w:ascii="Gill Sans MT"/>
          <w:sz w:val="32"/>
        </w:rPr>
      </w:pPr>
      <w:r>
        <w:rPr>
          <w:rFonts w:ascii="Gill Sans MT"/>
          <w:w w:val="110"/>
          <w:sz w:val="32"/>
        </w:rPr>
        <w:t>Consumer Sentiment</w:t>
      </w:r>
    </w:p>
    <w:p>
      <w:pPr>
        <w:spacing w:before="10"/>
        <w:ind w:left="781" w:right="2266" w:firstLine="0"/>
        <w:jc w:val="center"/>
        <w:rPr>
          <w:rFonts w:ascii="Gill Sans MT"/>
          <w:sz w:val="21"/>
        </w:rPr>
      </w:pPr>
      <w:r>
        <w:rPr>
          <w:rFonts w:ascii="Gill Sans MT"/>
          <w:w w:val="105"/>
          <w:sz w:val="21"/>
        </w:rPr>
        <w:t>index, 1966:Q1=100</w:t>
      </w:r>
    </w:p>
    <w:p>
      <w:pPr>
        <w:spacing w:after="0"/>
        <w:jc w:val="center"/>
        <w:rPr>
          <w:rFonts w:ascii="Gill Sans MT"/>
          <w:sz w:val="21"/>
        </w:rPr>
        <w:sectPr>
          <w:headerReference w:type="default" r:id="rId116"/>
          <w:footerReference w:type="default" r:id="rId117"/>
          <w:pgSz w:w="14400" w:h="10800" w:orient="landscape"/>
          <w:pgMar w:header="0" w:footer="1225" w:top="560" w:bottom="1420" w:left="20" w:right="40"/>
          <w:pgNumType w:start="31"/>
          <w:cols w:num="2" w:equalWidth="0">
            <w:col w:w="7972" w:space="237"/>
            <w:col w:w="6131"/>
          </w:cols>
        </w:sectPr>
      </w:pPr>
    </w:p>
    <w:p>
      <w:pPr>
        <w:pStyle w:val="Heading5"/>
        <w:spacing w:line="314" w:lineRule="exact" w:before="66"/>
        <w:ind w:firstLine="0"/>
      </w:pPr>
      <w:r>
        <w:rPr>
          <w:w w:val="110"/>
        </w:rPr>
        <w:t>rebounded</w:t>
      </w:r>
      <w:r>
        <w:rPr>
          <w:spacing w:val="-38"/>
          <w:w w:val="110"/>
        </w:rPr>
        <w:t> </w:t>
      </w:r>
      <w:r>
        <w:rPr>
          <w:w w:val="110"/>
        </w:rPr>
        <w:t>from</w:t>
      </w:r>
      <w:r>
        <w:rPr>
          <w:spacing w:val="-34"/>
          <w:w w:val="110"/>
        </w:rPr>
        <w:t> </w:t>
      </w:r>
      <w:r>
        <w:rPr>
          <w:w w:val="110"/>
        </w:rPr>
        <w:t>April</w:t>
      </w:r>
      <w:r>
        <w:rPr>
          <w:spacing w:val="-32"/>
          <w:w w:val="110"/>
        </w:rPr>
        <w:t> </w:t>
      </w:r>
      <w:r>
        <w:rPr>
          <w:w w:val="110"/>
        </w:rPr>
        <w:t>lows</w:t>
      </w:r>
      <w:r>
        <w:rPr>
          <w:spacing w:val="-32"/>
          <w:w w:val="110"/>
        </w:rPr>
        <w:t> </w:t>
      </w:r>
      <w:r>
        <w:rPr>
          <w:w w:val="110"/>
        </w:rPr>
        <w:t>but</w:t>
      </w:r>
      <w:r>
        <w:rPr>
          <w:spacing w:val="-30"/>
          <w:w w:val="110"/>
        </w:rPr>
        <w:t> </w:t>
      </w:r>
      <w:r>
        <w:rPr>
          <w:w w:val="110"/>
        </w:rPr>
        <w:t>remained</w:t>
      </w:r>
      <w:r>
        <w:rPr>
          <w:spacing w:val="-33"/>
          <w:w w:val="110"/>
        </w:rPr>
        <w:t> </w:t>
      </w:r>
      <w:r>
        <w:rPr>
          <w:w w:val="110"/>
        </w:rPr>
        <w:t>relatively</w:t>
      </w:r>
    </w:p>
    <w:p>
      <w:pPr>
        <w:spacing w:line="314" w:lineRule="exact" w:before="0"/>
        <w:ind w:left="1101" w:right="0" w:firstLine="0"/>
        <w:jc w:val="left"/>
        <w:rPr>
          <w:rFonts w:ascii="Gill Sans MT"/>
          <w:sz w:val="28"/>
        </w:rPr>
      </w:pPr>
      <w:r>
        <w:rPr>
          <w:rFonts w:ascii="Gill Sans MT"/>
          <w:w w:val="110"/>
          <w:sz w:val="28"/>
        </w:rPr>
        <w:t>weak by historic standards</w:t>
      </w:r>
    </w:p>
    <w:p>
      <w:pPr>
        <w:pStyle w:val="ListParagraph"/>
        <w:numPr>
          <w:ilvl w:val="1"/>
          <w:numId w:val="5"/>
        </w:numPr>
        <w:tabs>
          <w:tab w:pos="1102" w:val="left" w:leader="none"/>
        </w:tabs>
        <w:spacing w:line="316" w:lineRule="exact" w:before="133" w:after="0"/>
        <w:ind w:left="1101" w:right="0" w:hanging="272"/>
        <w:jc w:val="left"/>
        <w:rPr>
          <w:rFonts w:ascii="Gill Sans MT" w:hAnsi="Gill Sans MT"/>
          <w:sz w:val="28"/>
        </w:rPr>
      </w:pPr>
      <w:r>
        <w:rPr>
          <w:rFonts w:ascii="Gill Sans MT" w:hAnsi="Gill Sans MT"/>
          <w:w w:val="115"/>
          <w:sz w:val="28"/>
        </w:rPr>
        <w:t>Consumers’</w:t>
      </w:r>
      <w:r>
        <w:rPr>
          <w:rFonts w:ascii="Gill Sans MT" w:hAnsi="Gill Sans MT"/>
          <w:spacing w:val="-58"/>
          <w:w w:val="115"/>
          <w:sz w:val="28"/>
        </w:rPr>
        <w:t> </w:t>
      </w:r>
      <w:r>
        <w:rPr>
          <w:rFonts w:ascii="Gill Sans MT" w:hAnsi="Gill Sans MT"/>
          <w:w w:val="115"/>
          <w:sz w:val="28"/>
        </w:rPr>
        <w:t>responses</w:t>
      </w:r>
      <w:r>
        <w:rPr>
          <w:rFonts w:ascii="Gill Sans MT" w:hAnsi="Gill Sans MT"/>
          <w:spacing w:val="-57"/>
          <w:w w:val="115"/>
          <w:sz w:val="28"/>
        </w:rPr>
        <w:t> </w:t>
      </w:r>
      <w:r>
        <w:rPr>
          <w:rFonts w:ascii="Gill Sans MT" w:hAnsi="Gill Sans MT"/>
          <w:w w:val="115"/>
          <w:sz w:val="28"/>
        </w:rPr>
        <w:t>focused</w:t>
      </w:r>
      <w:r>
        <w:rPr>
          <w:rFonts w:ascii="Gill Sans MT" w:hAnsi="Gill Sans MT"/>
          <w:spacing w:val="-56"/>
          <w:w w:val="115"/>
          <w:sz w:val="28"/>
        </w:rPr>
        <w:t> </w:t>
      </w:r>
      <w:r>
        <w:rPr>
          <w:rFonts w:ascii="Gill Sans MT" w:hAnsi="Gill Sans MT"/>
          <w:w w:val="115"/>
          <w:sz w:val="28"/>
        </w:rPr>
        <w:t>on</w:t>
      </w:r>
      <w:r>
        <w:rPr>
          <w:rFonts w:ascii="Gill Sans MT" w:hAnsi="Gill Sans MT"/>
          <w:spacing w:val="-55"/>
          <w:w w:val="115"/>
          <w:sz w:val="28"/>
        </w:rPr>
        <w:t> </w:t>
      </w:r>
      <w:r>
        <w:rPr>
          <w:rFonts w:ascii="Gill Sans MT" w:hAnsi="Gill Sans MT"/>
          <w:w w:val="115"/>
          <w:sz w:val="28"/>
        </w:rPr>
        <w:t>concerns</w:t>
      </w:r>
      <w:r>
        <w:rPr>
          <w:rFonts w:ascii="Gill Sans MT" w:hAnsi="Gill Sans MT"/>
          <w:spacing w:val="-55"/>
          <w:w w:val="115"/>
          <w:sz w:val="28"/>
        </w:rPr>
        <w:t> </w:t>
      </w:r>
      <w:r>
        <w:rPr>
          <w:rFonts w:ascii="Gill Sans MT" w:hAnsi="Gill Sans MT"/>
          <w:w w:val="115"/>
          <w:sz w:val="28"/>
        </w:rPr>
        <w:t>over</w:t>
      </w:r>
    </w:p>
    <w:p>
      <w:pPr>
        <w:spacing w:line="314" w:lineRule="exact" w:before="0"/>
        <w:ind w:left="1101" w:right="0" w:firstLine="0"/>
        <w:jc w:val="left"/>
        <w:rPr>
          <w:rFonts w:ascii="Gill Sans MT"/>
          <w:sz w:val="28"/>
        </w:rPr>
      </w:pPr>
      <w:r>
        <w:rPr>
          <w:rFonts w:ascii="Gill Sans MT"/>
          <w:w w:val="110"/>
          <w:sz w:val="28"/>
        </w:rPr>
        <w:t>the effects of tariffs on the economy</w:t>
      </w:r>
    </w:p>
    <w:p>
      <w:pPr>
        <w:pStyle w:val="ListParagraph"/>
        <w:numPr>
          <w:ilvl w:val="1"/>
          <w:numId w:val="5"/>
        </w:numPr>
        <w:tabs>
          <w:tab w:pos="1102" w:val="left" w:leader="none"/>
        </w:tabs>
        <w:spacing w:line="223" w:lineRule="auto" w:before="154" w:after="0"/>
        <w:ind w:left="1101" w:right="314" w:hanging="272"/>
        <w:jc w:val="left"/>
        <w:rPr>
          <w:rFonts w:ascii="Gill Sans MT" w:hAnsi="Gill Sans MT"/>
          <w:sz w:val="28"/>
        </w:rPr>
      </w:pPr>
      <w:r>
        <w:rPr>
          <w:rFonts w:ascii="Gill Sans MT" w:hAnsi="Gill Sans MT"/>
          <w:w w:val="110"/>
          <w:sz w:val="28"/>
        </w:rPr>
        <w:t>Surveys of business CEOs reflected similar concerns,</w:t>
      </w:r>
      <w:r>
        <w:rPr>
          <w:rFonts w:ascii="Gill Sans MT" w:hAnsi="Gill Sans MT"/>
          <w:spacing w:val="-16"/>
          <w:w w:val="110"/>
          <w:sz w:val="28"/>
        </w:rPr>
        <w:t> </w:t>
      </w:r>
      <w:r>
        <w:rPr>
          <w:rFonts w:ascii="Gill Sans MT" w:hAnsi="Gill Sans MT"/>
          <w:w w:val="110"/>
          <w:sz w:val="28"/>
        </w:rPr>
        <w:t>as</w:t>
      </w:r>
      <w:r>
        <w:rPr>
          <w:rFonts w:ascii="Gill Sans MT" w:hAnsi="Gill Sans MT"/>
          <w:spacing w:val="-14"/>
          <w:w w:val="110"/>
          <w:sz w:val="28"/>
        </w:rPr>
        <w:t> </w:t>
      </w:r>
      <w:r>
        <w:rPr>
          <w:rFonts w:ascii="Gill Sans MT" w:hAnsi="Gill Sans MT"/>
          <w:w w:val="110"/>
          <w:sz w:val="28"/>
        </w:rPr>
        <w:t>well</w:t>
      </w:r>
      <w:r>
        <w:rPr>
          <w:rFonts w:ascii="Gill Sans MT" w:hAnsi="Gill Sans MT"/>
          <w:spacing w:val="-14"/>
          <w:w w:val="110"/>
          <w:sz w:val="28"/>
        </w:rPr>
        <w:t> </w:t>
      </w:r>
      <w:r>
        <w:rPr>
          <w:rFonts w:ascii="Gill Sans MT" w:hAnsi="Gill Sans MT"/>
          <w:w w:val="110"/>
          <w:sz w:val="28"/>
        </w:rPr>
        <w:t>as</w:t>
      </w:r>
      <w:r>
        <w:rPr>
          <w:rFonts w:ascii="Gill Sans MT" w:hAnsi="Gill Sans MT"/>
          <w:spacing w:val="-14"/>
          <w:w w:val="110"/>
          <w:sz w:val="28"/>
        </w:rPr>
        <w:t> </w:t>
      </w:r>
      <w:r>
        <w:rPr>
          <w:rFonts w:ascii="Gill Sans MT" w:hAnsi="Gill Sans MT"/>
          <w:w w:val="110"/>
          <w:sz w:val="28"/>
        </w:rPr>
        <w:t>worries</w:t>
      </w:r>
      <w:r>
        <w:rPr>
          <w:rFonts w:ascii="Gill Sans MT" w:hAnsi="Gill Sans MT"/>
          <w:spacing w:val="-19"/>
          <w:w w:val="110"/>
          <w:sz w:val="28"/>
        </w:rPr>
        <w:t> </w:t>
      </w:r>
      <w:r>
        <w:rPr>
          <w:rFonts w:ascii="Gill Sans MT" w:hAnsi="Gill Sans MT"/>
          <w:w w:val="110"/>
          <w:sz w:val="28"/>
        </w:rPr>
        <w:t>about</w:t>
      </w:r>
      <w:r>
        <w:rPr>
          <w:rFonts w:ascii="Gill Sans MT" w:hAnsi="Gill Sans MT"/>
          <w:spacing w:val="-12"/>
          <w:w w:val="110"/>
          <w:sz w:val="28"/>
        </w:rPr>
        <w:t> </w:t>
      </w:r>
      <w:r>
        <w:rPr>
          <w:rFonts w:ascii="Gill Sans MT" w:hAnsi="Gill Sans MT"/>
          <w:w w:val="110"/>
          <w:sz w:val="28"/>
        </w:rPr>
        <w:t>the</w:t>
      </w:r>
      <w:r>
        <w:rPr>
          <w:rFonts w:ascii="Gill Sans MT" w:hAnsi="Gill Sans MT"/>
          <w:spacing w:val="-14"/>
          <w:w w:val="110"/>
          <w:sz w:val="28"/>
        </w:rPr>
        <w:t> </w:t>
      </w:r>
      <w:r>
        <w:rPr>
          <w:rFonts w:ascii="Gill Sans MT" w:hAnsi="Gill Sans MT"/>
          <w:w w:val="110"/>
          <w:sz w:val="28"/>
        </w:rPr>
        <w:t>potential economic effects of geopolitical</w:t>
      </w:r>
      <w:r>
        <w:rPr>
          <w:rFonts w:ascii="Gill Sans MT" w:hAnsi="Gill Sans MT"/>
          <w:spacing w:val="-43"/>
          <w:w w:val="110"/>
          <w:sz w:val="28"/>
        </w:rPr>
        <w:t> </w:t>
      </w:r>
      <w:r>
        <w:rPr>
          <w:rFonts w:ascii="Gill Sans MT" w:hAnsi="Gill Sans MT"/>
          <w:w w:val="110"/>
          <w:sz w:val="28"/>
        </w:rPr>
        <w:t>conflict</w:t>
      </w:r>
    </w:p>
    <w:p>
      <w:pPr>
        <w:pStyle w:val="BodyText"/>
        <w:spacing w:before="4"/>
        <w:rPr>
          <w:rFonts w:ascii="Gill Sans MT"/>
          <w:sz w:val="31"/>
        </w:rPr>
      </w:pPr>
    </w:p>
    <w:p>
      <w:pPr>
        <w:spacing w:line="223" w:lineRule="auto" w:before="0"/>
        <w:ind w:left="830" w:right="-2" w:firstLine="0"/>
        <w:jc w:val="left"/>
        <w:rPr>
          <w:rFonts w:ascii="Gill Sans MT"/>
          <w:sz w:val="32"/>
        </w:rPr>
      </w:pPr>
      <w:r>
        <w:rPr>
          <w:rFonts w:ascii="Gill Sans MT"/>
          <w:w w:val="110"/>
          <w:sz w:val="32"/>
        </w:rPr>
        <w:t>Broad</w:t>
      </w:r>
      <w:r>
        <w:rPr>
          <w:rFonts w:ascii="Gill Sans MT"/>
          <w:spacing w:val="-37"/>
          <w:w w:val="110"/>
          <w:sz w:val="32"/>
        </w:rPr>
        <w:t> </w:t>
      </w:r>
      <w:r>
        <w:rPr>
          <w:rFonts w:ascii="Gill Sans MT"/>
          <w:spacing w:val="-3"/>
          <w:w w:val="110"/>
          <w:sz w:val="32"/>
        </w:rPr>
        <w:t>macroeconomic</w:t>
      </w:r>
      <w:r>
        <w:rPr>
          <w:rFonts w:ascii="Gill Sans MT"/>
          <w:spacing w:val="-37"/>
          <w:w w:val="110"/>
          <w:sz w:val="32"/>
        </w:rPr>
        <w:t> </w:t>
      </w:r>
      <w:r>
        <w:rPr>
          <w:rFonts w:ascii="Gill Sans MT"/>
          <w:w w:val="110"/>
          <w:sz w:val="32"/>
        </w:rPr>
        <w:t>indicators</w:t>
      </w:r>
      <w:r>
        <w:rPr>
          <w:rFonts w:ascii="Gill Sans MT"/>
          <w:spacing w:val="-36"/>
          <w:w w:val="110"/>
          <w:sz w:val="32"/>
        </w:rPr>
        <w:t> </w:t>
      </w:r>
      <w:r>
        <w:rPr>
          <w:rFonts w:ascii="Gill Sans MT"/>
          <w:w w:val="110"/>
          <w:sz w:val="32"/>
        </w:rPr>
        <w:t>were</w:t>
      </w:r>
      <w:r>
        <w:rPr>
          <w:rFonts w:ascii="Gill Sans MT"/>
          <w:spacing w:val="-31"/>
          <w:w w:val="110"/>
          <w:sz w:val="32"/>
        </w:rPr>
        <w:t> </w:t>
      </w:r>
      <w:r>
        <w:rPr>
          <w:rFonts w:ascii="Gill Sans MT"/>
          <w:w w:val="110"/>
          <w:sz w:val="32"/>
        </w:rPr>
        <w:t>solid</w:t>
      </w:r>
      <w:r>
        <w:rPr>
          <w:rFonts w:ascii="Gill Sans MT"/>
          <w:spacing w:val="-38"/>
          <w:w w:val="110"/>
          <w:sz w:val="32"/>
        </w:rPr>
        <w:t> </w:t>
      </w:r>
      <w:r>
        <w:rPr>
          <w:rFonts w:ascii="Gill Sans MT"/>
          <w:w w:val="110"/>
          <w:sz w:val="32"/>
        </w:rPr>
        <w:t>in Q2</w:t>
      </w:r>
      <w:r>
        <w:rPr>
          <w:rFonts w:ascii="Gill Sans MT"/>
          <w:spacing w:val="-27"/>
          <w:w w:val="110"/>
          <w:sz w:val="32"/>
        </w:rPr>
        <w:t> </w:t>
      </w:r>
      <w:r>
        <w:rPr>
          <w:rFonts w:ascii="Gill Sans MT"/>
          <w:w w:val="110"/>
          <w:sz w:val="32"/>
        </w:rPr>
        <w:t>2025</w:t>
      </w:r>
    </w:p>
    <w:p>
      <w:pPr>
        <w:pStyle w:val="ListParagraph"/>
        <w:numPr>
          <w:ilvl w:val="1"/>
          <w:numId w:val="5"/>
        </w:numPr>
        <w:tabs>
          <w:tab w:pos="1102" w:val="left" w:leader="none"/>
        </w:tabs>
        <w:spacing w:line="223" w:lineRule="auto" w:before="160" w:after="0"/>
        <w:ind w:left="1101" w:right="284" w:hanging="272"/>
        <w:jc w:val="left"/>
        <w:rPr>
          <w:rFonts w:ascii="Gill Sans MT" w:hAnsi="Gill Sans MT"/>
          <w:sz w:val="28"/>
        </w:rPr>
      </w:pPr>
      <w:r>
        <w:rPr>
          <w:rFonts w:ascii="Gill Sans MT" w:hAnsi="Gill Sans MT"/>
          <w:w w:val="110"/>
          <w:sz w:val="28"/>
        </w:rPr>
        <w:t>The Misery Index, a sum of unemployment and inflation</w:t>
      </w:r>
      <w:r>
        <w:rPr>
          <w:rFonts w:ascii="Gill Sans MT" w:hAnsi="Gill Sans MT"/>
          <w:spacing w:val="-12"/>
          <w:w w:val="110"/>
          <w:sz w:val="28"/>
        </w:rPr>
        <w:t> </w:t>
      </w:r>
      <w:r>
        <w:rPr>
          <w:rFonts w:ascii="Gill Sans MT" w:hAnsi="Gill Sans MT"/>
          <w:w w:val="110"/>
          <w:sz w:val="28"/>
        </w:rPr>
        <w:t>rates,</w:t>
      </w:r>
      <w:r>
        <w:rPr>
          <w:rFonts w:ascii="Gill Sans MT" w:hAnsi="Gill Sans MT"/>
          <w:spacing w:val="-10"/>
          <w:w w:val="110"/>
          <w:sz w:val="28"/>
        </w:rPr>
        <w:t> </w:t>
      </w:r>
      <w:r>
        <w:rPr>
          <w:rFonts w:ascii="Gill Sans MT" w:hAnsi="Gill Sans MT"/>
          <w:w w:val="110"/>
          <w:sz w:val="28"/>
        </w:rPr>
        <w:t>remained</w:t>
      </w:r>
      <w:r>
        <w:rPr>
          <w:rFonts w:ascii="Gill Sans MT" w:hAnsi="Gill Sans MT"/>
          <w:spacing w:val="-20"/>
          <w:w w:val="110"/>
          <w:sz w:val="28"/>
        </w:rPr>
        <w:t> </w:t>
      </w:r>
      <w:r>
        <w:rPr>
          <w:rFonts w:ascii="Gill Sans MT" w:hAnsi="Gill Sans MT"/>
          <w:w w:val="110"/>
          <w:sz w:val="28"/>
        </w:rPr>
        <w:t>relatively</w:t>
      </w:r>
      <w:r>
        <w:rPr>
          <w:rFonts w:ascii="Gill Sans MT" w:hAnsi="Gill Sans MT"/>
          <w:spacing w:val="-13"/>
          <w:w w:val="110"/>
          <w:sz w:val="28"/>
        </w:rPr>
        <w:t> </w:t>
      </w:r>
      <w:r>
        <w:rPr>
          <w:rFonts w:ascii="Gill Sans MT" w:hAnsi="Gill Sans MT"/>
          <w:w w:val="110"/>
          <w:sz w:val="28"/>
        </w:rPr>
        <w:t>low</w:t>
      </w:r>
      <w:r>
        <w:rPr>
          <w:rFonts w:ascii="Gill Sans MT" w:hAnsi="Gill Sans MT"/>
          <w:spacing w:val="-12"/>
          <w:w w:val="110"/>
          <w:sz w:val="28"/>
        </w:rPr>
        <w:t> </w:t>
      </w:r>
      <w:r>
        <w:rPr>
          <w:rFonts w:ascii="Gill Sans MT" w:hAnsi="Gill Sans MT"/>
          <w:w w:val="110"/>
          <w:sz w:val="28"/>
        </w:rPr>
        <w:t>(meaning “less miserable”) by historic</w:t>
      </w:r>
      <w:r>
        <w:rPr>
          <w:rFonts w:ascii="Gill Sans MT" w:hAnsi="Gill Sans MT"/>
          <w:spacing w:val="-57"/>
          <w:w w:val="110"/>
          <w:sz w:val="28"/>
        </w:rPr>
        <w:t> </w:t>
      </w:r>
      <w:r>
        <w:rPr>
          <w:rFonts w:ascii="Gill Sans MT" w:hAnsi="Gill Sans MT"/>
          <w:w w:val="110"/>
          <w:sz w:val="28"/>
        </w:rPr>
        <w:t>standards</w:t>
      </w:r>
    </w:p>
    <w:p>
      <w:pPr>
        <w:pStyle w:val="ListParagraph"/>
        <w:numPr>
          <w:ilvl w:val="1"/>
          <w:numId w:val="5"/>
        </w:numPr>
        <w:tabs>
          <w:tab w:pos="1102" w:val="left" w:leader="none"/>
        </w:tabs>
        <w:spacing w:line="223" w:lineRule="auto" w:before="158" w:after="0"/>
        <w:ind w:left="1101" w:right="61" w:hanging="272"/>
        <w:jc w:val="left"/>
        <w:rPr>
          <w:rFonts w:ascii="Gill Sans MT" w:hAnsi="Gill Sans MT"/>
          <w:sz w:val="28"/>
        </w:rPr>
      </w:pPr>
      <w:r>
        <w:rPr>
          <w:rFonts w:ascii="Gill Sans MT" w:hAnsi="Gill Sans MT"/>
          <w:w w:val="110"/>
          <w:sz w:val="28"/>
        </w:rPr>
        <w:t>Inflation</w:t>
      </w:r>
      <w:r>
        <w:rPr>
          <w:rFonts w:ascii="Gill Sans MT" w:hAnsi="Gill Sans MT"/>
          <w:spacing w:val="-14"/>
          <w:w w:val="110"/>
          <w:sz w:val="28"/>
        </w:rPr>
        <w:t> </w:t>
      </w:r>
      <w:r>
        <w:rPr>
          <w:rFonts w:ascii="Gill Sans MT" w:hAnsi="Gill Sans MT"/>
          <w:w w:val="110"/>
          <w:sz w:val="28"/>
        </w:rPr>
        <w:t>has</w:t>
      </w:r>
      <w:r>
        <w:rPr>
          <w:rFonts w:ascii="Gill Sans MT" w:hAnsi="Gill Sans MT"/>
          <w:spacing w:val="-8"/>
          <w:w w:val="110"/>
          <w:sz w:val="28"/>
        </w:rPr>
        <w:t> </w:t>
      </w:r>
      <w:r>
        <w:rPr>
          <w:rFonts w:ascii="Gill Sans MT" w:hAnsi="Gill Sans MT"/>
          <w:w w:val="110"/>
          <w:sz w:val="28"/>
        </w:rPr>
        <w:t>fallen</w:t>
      </w:r>
      <w:r>
        <w:rPr>
          <w:rFonts w:ascii="Gill Sans MT" w:hAnsi="Gill Sans MT"/>
          <w:spacing w:val="-13"/>
          <w:w w:val="110"/>
          <w:sz w:val="28"/>
        </w:rPr>
        <w:t> </w:t>
      </w:r>
      <w:r>
        <w:rPr>
          <w:rFonts w:ascii="Gill Sans MT" w:hAnsi="Gill Sans MT"/>
          <w:w w:val="110"/>
          <w:sz w:val="28"/>
        </w:rPr>
        <w:t>to</w:t>
      </w:r>
      <w:r>
        <w:rPr>
          <w:rFonts w:ascii="Gill Sans MT" w:hAnsi="Gill Sans MT"/>
          <w:spacing w:val="-9"/>
          <w:w w:val="110"/>
          <w:sz w:val="28"/>
        </w:rPr>
        <w:t> </w:t>
      </w:r>
      <w:r>
        <w:rPr>
          <w:rFonts w:ascii="Gill Sans MT" w:hAnsi="Gill Sans MT"/>
          <w:w w:val="110"/>
          <w:sz w:val="28"/>
        </w:rPr>
        <w:t>more</w:t>
      </w:r>
      <w:r>
        <w:rPr>
          <w:rFonts w:ascii="Gill Sans MT" w:hAnsi="Gill Sans MT"/>
          <w:spacing w:val="-15"/>
          <w:w w:val="110"/>
          <w:sz w:val="28"/>
        </w:rPr>
        <w:t> </w:t>
      </w:r>
      <w:r>
        <w:rPr>
          <w:rFonts w:ascii="Gill Sans MT" w:hAnsi="Gill Sans MT"/>
          <w:w w:val="110"/>
          <w:sz w:val="28"/>
        </w:rPr>
        <w:t>typical</w:t>
      </w:r>
      <w:r>
        <w:rPr>
          <w:rFonts w:ascii="Gill Sans MT" w:hAnsi="Gill Sans MT"/>
          <w:spacing w:val="-8"/>
          <w:w w:val="110"/>
          <w:sz w:val="28"/>
        </w:rPr>
        <w:t> </w:t>
      </w:r>
      <w:r>
        <w:rPr>
          <w:rFonts w:ascii="Gill Sans MT" w:hAnsi="Gill Sans MT"/>
          <w:w w:val="110"/>
          <w:sz w:val="28"/>
        </w:rPr>
        <w:t>levels,</w:t>
      </w:r>
      <w:r>
        <w:rPr>
          <w:rFonts w:ascii="Gill Sans MT" w:hAnsi="Gill Sans MT"/>
          <w:spacing w:val="-12"/>
          <w:w w:val="110"/>
          <w:sz w:val="28"/>
        </w:rPr>
        <w:t> </w:t>
      </w:r>
      <w:r>
        <w:rPr>
          <w:rFonts w:ascii="Gill Sans MT" w:hAnsi="Gill Sans MT"/>
          <w:w w:val="110"/>
          <w:sz w:val="28"/>
        </w:rPr>
        <w:t>with</w:t>
      </w:r>
      <w:r>
        <w:rPr>
          <w:rFonts w:ascii="Gill Sans MT" w:hAnsi="Gill Sans MT"/>
          <w:spacing w:val="-9"/>
          <w:w w:val="110"/>
          <w:sz w:val="28"/>
        </w:rPr>
        <w:t> </w:t>
      </w:r>
      <w:r>
        <w:rPr>
          <w:rFonts w:ascii="Gill Sans MT" w:hAnsi="Gill Sans MT"/>
          <w:w w:val="110"/>
          <w:sz w:val="28"/>
        </w:rPr>
        <w:t>CPI at</w:t>
      </w:r>
      <w:r>
        <w:rPr>
          <w:rFonts w:ascii="Gill Sans MT" w:hAnsi="Gill Sans MT"/>
          <w:spacing w:val="-17"/>
          <w:w w:val="110"/>
          <w:sz w:val="28"/>
        </w:rPr>
        <w:t> </w:t>
      </w:r>
      <w:r>
        <w:rPr>
          <w:rFonts w:ascii="Gill Sans MT" w:hAnsi="Gill Sans MT"/>
          <w:w w:val="110"/>
          <w:sz w:val="28"/>
        </w:rPr>
        <w:t>2.4%;</w:t>
      </w:r>
      <w:r>
        <w:rPr>
          <w:rFonts w:ascii="Gill Sans MT" w:hAnsi="Gill Sans MT"/>
          <w:spacing w:val="-21"/>
          <w:w w:val="110"/>
          <w:sz w:val="28"/>
        </w:rPr>
        <w:t> </w:t>
      </w:r>
      <w:r>
        <w:rPr>
          <w:rFonts w:ascii="Gill Sans MT" w:hAnsi="Gill Sans MT"/>
          <w:w w:val="110"/>
          <w:sz w:val="28"/>
        </w:rPr>
        <w:t>the</w:t>
      </w:r>
      <w:r>
        <w:rPr>
          <w:rFonts w:ascii="Gill Sans MT" w:hAnsi="Gill Sans MT"/>
          <w:spacing w:val="-16"/>
          <w:w w:val="110"/>
          <w:sz w:val="28"/>
        </w:rPr>
        <w:t> </w:t>
      </w:r>
      <w:r>
        <w:rPr>
          <w:rFonts w:ascii="Gill Sans MT" w:hAnsi="Gill Sans MT"/>
          <w:w w:val="110"/>
          <w:sz w:val="28"/>
        </w:rPr>
        <w:t>labor</w:t>
      </w:r>
      <w:r>
        <w:rPr>
          <w:rFonts w:ascii="Gill Sans MT" w:hAnsi="Gill Sans MT"/>
          <w:spacing w:val="-18"/>
          <w:w w:val="110"/>
          <w:sz w:val="28"/>
        </w:rPr>
        <w:t> </w:t>
      </w:r>
      <w:r>
        <w:rPr>
          <w:rFonts w:ascii="Gill Sans MT" w:hAnsi="Gill Sans MT"/>
          <w:w w:val="110"/>
          <w:sz w:val="28"/>
        </w:rPr>
        <w:t>market</w:t>
      </w:r>
      <w:r>
        <w:rPr>
          <w:rFonts w:ascii="Gill Sans MT" w:hAnsi="Gill Sans MT"/>
          <w:spacing w:val="-21"/>
          <w:w w:val="110"/>
          <w:sz w:val="28"/>
        </w:rPr>
        <w:t> </w:t>
      </w:r>
      <w:r>
        <w:rPr>
          <w:rFonts w:ascii="Gill Sans MT" w:hAnsi="Gill Sans MT"/>
          <w:w w:val="110"/>
          <w:sz w:val="28"/>
        </w:rPr>
        <w:t>has</w:t>
      </w:r>
      <w:r>
        <w:rPr>
          <w:rFonts w:ascii="Gill Sans MT" w:hAnsi="Gill Sans MT"/>
          <w:spacing w:val="-18"/>
          <w:w w:val="110"/>
          <w:sz w:val="28"/>
        </w:rPr>
        <w:t> </w:t>
      </w:r>
      <w:r>
        <w:rPr>
          <w:rFonts w:ascii="Gill Sans MT" w:hAnsi="Gill Sans MT"/>
          <w:w w:val="110"/>
          <w:sz w:val="28"/>
        </w:rPr>
        <w:t>been</w:t>
      </w:r>
      <w:r>
        <w:rPr>
          <w:rFonts w:ascii="Gill Sans MT" w:hAnsi="Gill Sans MT"/>
          <w:spacing w:val="-18"/>
          <w:w w:val="110"/>
          <w:sz w:val="28"/>
        </w:rPr>
        <w:t> </w:t>
      </w:r>
      <w:r>
        <w:rPr>
          <w:rFonts w:ascii="Gill Sans MT" w:hAnsi="Gill Sans MT"/>
          <w:w w:val="110"/>
          <w:sz w:val="28"/>
        </w:rPr>
        <w:t>solid,</w:t>
      </w:r>
      <w:r>
        <w:rPr>
          <w:rFonts w:ascii="Gill Sans MT" w:hAnsi="Gill Sans MT"/>
          <w:spacing w:val="-18"/>
          <w:w w:val="110"/>
          <w:sz w:val="28"/>
        </w:rPr>
        <w:t> </w:t>
      </w:r>
      <w:r>
        <w:rPr>
          <w:rFonts w:ascii="Gill Sans MT" w:hAnsi="Gill Sans MT"/>
          <w:w w:val="110"/>
          <w:sz w:val="28"/>
        </w:rPr>
        <w:t>with</w:t>
      </w:r>
      <w:r>
        <w:rPr>
          <w:rFonts w:ascii="Gill Sans MT" w:hAnsi="Gill Sans MT"/>
          <w:spacing w:val="-18"/>
          <w:w w:val="110"/>
          <w:sz w:val="28"/>
        </w:rPr>
        <w:t> </w:t>
      </w:r>
      <w:r>
        <w:rPr>
          <w:rFonts w:ascii="Gill Sans MT" w:hAnsi="Gill Sans MT"/>
          <w:w w:val="110"/>
          <w:sz w:val="28"/>
        </w:rPr>
        <w:t>the unemployment rate at 4.1% and new jobs being added at a healthy</w:t>
      </w:r>
      <w:r>
        <w:rPr>
          <w:rFonts w:ascii="Gill Sans MT" w:hAnsi="Gill Sans MT"/>
          <w:spacing w:val="-62"/>
          <w:w w:val="110"/>
          <w:sz w:val="28"/>
        </w:rPr>
        <w:t> </w:t>
      </w:r>
      <w:r>
        <w:rPr>
          <w:rFonts w:ascii="Gill Sans MT" w:hAnsi="Gill Sans MT"/>
          <w:w w:val="110"/>
          <w:sz w:val="28"/>
        </w:rPr>
        <w:t>pace</w:t>
      </w:r>
    </w:p>
    <w:p>
      <w:pPr>
        <w:pStyle w:val="ListParagraph"/>
        <w:numPr>
          <w:ilvl w:val="1"/>
          <w:numId w:val="5"/>
        </w:numPr>
        <w:tabs>
          <w:tab w:pos="1102" w:val="left" w:leader="none"/>
        </w:tabs>
        <w:spacing w:line="305" w:lineRule="exact" w:before="141" w:after="0"/>
        <w:ind w:left="1101" w:right="0" w:hanging="272"/>
        <w:jc w:val="left"/>
        <w:rPr>
          <w:rFonts w:ascii="Gill Sans MT" w:hAnsi="Gill Sans MT"/>
          <w:sz w:val="28"/>
        </w:rPr>
      </w:pPr>
      <w:r>
        <w:rPr>
          <w:rFonts w:ascii="Gill Sans MT" w:hAnsi="Gill Sans MT"/>
          <w:w w:val="110"/>
          <w:sz w:val="28"/>
        </w:rPr>
        <w:t>Data</w:t>
      </w:r>
      <w:r>
        <w:rPr>
          <w:rFonts w:ascii="Gill Sans MT" w:hAnsi="Gill Sans MT"/>
          <w:spacing w:val="-20"/>
          <w:w w:val="110"/>
          <w:sz w:val="28"/>
        </w:rPr>
        <w:t> </w:t>
      </w:r>
      <w:r>
        <w:rPr>
          <w:rFonts w:ascii="Gill Sans MT" w:hAnsi="Gill Sans MT"/>
          <w:w w:val="110"/>
          <w:sz w:val="28"/>
        </w:rPr>
        <w:t>indicate</w:t>
      </w:r>
      <w:r>
        <w:rPr>
          <w:rFonts w:ascii="Gill Sans MT" w:hAnsi="Gill Sans MT"/>
          <w:spacing w:val="-21"/>
          <w:w w:val="110"/>
          <w:sz w:val="28"/>
        </w:rPr>
        <w:t> </w:t>
      </w:r>
      <w:r>
        <w:rPr>
          <w:rFonts w:ascii="Gill Sans MT" w:hAnsi="Gill Sans MT"/>
          <w:w w:val="110"/>
          <w:sz w:val="28"/>
        </w:rPr>
        <w:t>the</w:t>
      </w:r>
      <w:r>
        <w:rPr>
          <w:rFonts w:ascii="Gill Sans MT" w:hAnsi="Gill Sans MT"/>
          <w:spacing w:val="-16"/>
          <w:w w:val="110"/>
          <w:sz w:val="28"/>
        </w:rPr>
        <w:t> </w:t>
      </w:r>
      <w:r>
        <w:rPr>
          <w:rFonts w:ascii="Gill Sans MT" w:hAnsi="Gill Sans MT"/>
          <w:w w:val="110"/>
          <w:sz w:val="28"/>
        </w:rPr>
        <w:t>U.S.</w:t>
      </w:r>
      <w:r>
        <w:rPr>
          <w:rFonts w:ascii="Gill Sans MT" w:hAnsi="Gill Sans MT"/>
          <w:spacing w:val="-20"/>
          <w:w w:val="110"/>
          <w:sz w:val="28"/>
        </w:rPr>
        <w:t> </w:t>
      </w:r>
      <w:r>
        <w:rPr>
          <w:rFonts w:ascii="Gill Sans MT" w:hAnsi="Gill Sans MT"/>
          <w:w w:val="110"/>
          <w:sz w:val="28"/>
        </w:rPr>
        <w:t>economy</w:t>
      </w:r>
      <w:r>
        <w:rPr>
          <w:rFonts w:ascii="Gill Sans MT" w:hAnsi="Gill Sans MT"/>
          <w:spacing w:val="-23"/>
          <w:w w:val="110"/>
          <w:sz w:val="28"/>
        </w:rPr>
        <w:t> </w:t>
      </w:r>
      <w:r>
        <w:rPr>
          <w:rFonts w:ascii="Gill Sans MT" w:hAnsi="Gill Sans MT"/>
          <w:w w:val="110"/>
          <w:sz w:val="28"/>
        </w:rPr>
        <w:t>exhibited</w:t>
      </w:r>
    </w:p>
    <w:p>
      <w:pPr>
        <w:spacing w:before="0"/>
        <w:ind w:left="0" w:right="1" w:firstLine="0"/>
        <w:jc w:val="right"/>
        <w:rPr>
          <w:rFonts w:ascii="Gill Sans MT"/>
          <w:sz w:val="21"/>
        </w:rPr>
      </w:pPr>
      <w:r>
        <w:rPr/>
        <w:br w:type="column"/>
      </w:r>
      <w:r>
        <w:rPr>
          <w:rFonts w:ascii="Gill Sans MT"/>
          <w:spacing w:val="-2"/>
          <w:w w:val="110"/>
          <w:sz w:val="21"/>
        </w:rPr>
        <w:t>105</w:t>
      </w:r>
    </w:p>
    <w:p>
      <w:pPr>
        <w:pStyle w:val="BodyText"/>
        <w:spacing w:before="11"/>
        <w:rPr>
          <w:rFonts w:ascii="Gill Sans MT"/>
          <w:sz w:val="26"/>
        </w:rPr>
      </w:pPr>
    </w:p>
    <w:p>
      <w:pPr>
        <w:spacing w:before="0"/>
        <w:ind w:left="0" w:right="1" w:firstLine="0"/>
        <w:jc w:val="right"/>
        <w:rPr>
          <w:rFonts w:ascii="Gill Sans MT"/>
          <w:sz w:val="21"/>
        </w:rPr>
      </w:pPr>
      <w:r>
        <w:rPr>
          <w:rFonts w:ascii="Gill Sans MT"/>
          <w:spacing w:val="-2"/>
          <w:w w:val="110"/>
          <w:sz w:val="21"/>
        </w:rPr>
        <w:t>90</w:t>
      </w:r>
    </w:p>
    <w:p>
      <w:pPr>
        <w:pStyle w:val="BodyText"/>
        <w:spacing w:before="10"/>
        <w:rPr>
          <w:rFonts w:ascii="Gill Sans MT"/>
          <w:sz w:val="26"/>
        </w:rPr>
      </w:pPr>
    </w:p>
    <w:p>
      <w:pPr>
        <w:spacing w:before="1"/>
        <w:ind w:left="0" w:right="1" w:firstLine="0"/>
        <w:jc w:val="right"/>
        <w:rPr>
          <w:rFonts w:ascii="Gill Sans MT"/>
          <w:sz w:val="21"/>
        </w:rPr>
      </w:pPr>
      <w:r>
        <w:rPr>
          <w:rFonts w:ascii="Gill Sans MT"/>
          <w:spacing w:val="-1"/>
          <w:w w:val="110"/>
          <w:sz w:val="21"/>
        </w:rPr>
        <w:t>75</w:t>
      </w:r>
    </w:p>
    <w:p>
      <w:pPr>
        <w:pStyle w:val="BodyText"/>
        <w:spacing w:before="10"/>
        <w:rPr>
          <w:rFonts w:ascii="Gill Sans MT"/>
          <w:sz w:val="26"/>
        </w:rPr>
      </w:pPr>
    </w:p>
    <w:p>
      <w:pPr>
        <w:spacing w:before="0"/>
        <w:ind w:left="0" w:right="1" w:firstLine="0"/>
        <w:jc w:val="right"/>
        <w:rPr>
          <w:rFonts w:ascii="Gill Sans MT"/>
          <w:sz w:val="21"/>
        </w:rPr>
      </w:pPr>
      <w:r>
        <w:rPr>
          <w:rFonts w:ascii="Gill Sans MT"/>
          <w:spacing w:val="-1"/>
          <w:w w:val="110"/>
          <w:sz w:val="21"/>
        </w:rPr>
        <w:t>60</w:t>
      </w:r>
    </w:p>
    <w:p>
      <w:pPr>
        <w:pStyle w:val="BodyText"/>
        <w:spacing w:before="10"/>
        <w:rPr>
          <w:rFonts w:ascii="Gill Sans MT"/>
          <w:sz w:val="26"/>
        </w:rPr>
      </w:pPr>
    </w:p>
    <w:p>
      <w:pPr>
        <w:spacing w:before="0"/>
        <w:ind w:left="0" w:right="1" w:firstLine="0"/>
        <w:jc w:val="right"/>
        <w:rPr>
          <w:rFonts w:ascii="Gill Sans MT"/>
          <w:sz w:val="21"/>
        </w:rPr>
      </w:pPr>
      <w:r>
        <w:rPr>
          <w:rFonts w:ascii="Gill Sans MT"/>
          <w:spacing w:val="-1"/>
          <w:w w:val="110"/>
          <w:sz w:val="21"/>
        </w:rPr>
        <w:t>45</w:t>
      </w:r>
    </w:p>
    <w:p>
      <w:pPr>
        <w:pStyle w:val="BodyText"/>
        <w:rPr>
          <w:rFonts w:ascii="Gill Sans MT"/>
        </w:rPr>
      </w:pPr>
    </w:p>
    <w:p>
      <w:pPr>
        <w:pStyle w:val="BodyText"/>
        <w:rPr>
          <w:rFonts w:ascii="Gill Sans MT"/>
        </w:rPr>
      </w:pPr>
    </w:p>
    <w:p>
      <w:pPr>
        <w:pStyle w:val="BodyText"/>
        <w:rPr>
          <w:rFonts w:ascii="Gill Sans MT"/>
        </w:rPr>
      </w:pPr>
    </w:p>
    <w:p>
      <w:pPr>
        <w:pStyle w:val="BodyText"/>
        <w:spacing w:before="9"/>
        <w:rPr>
          <w:rFonts w:ascii="Gill Sans MT"/>
          <w:sz w:val="21"/>
        </w:rPr>
      </w:pPr>
    </w:p>
    <w:p>
      <w:pPr>
        <w:spacing w:before="0"/>
        <w:ind w:left="0" w:right="1" w:firstLine="0"/>
        <w:jc w:val="right"/>
        <w:rPr>
          <w:rFonts w:ascii="Gill Sans MT"/>
          <w:sz w:val="21"/>
        </w:rPr>
      </w:pPr>
      <w:r>
        <w:rPr>
          <w:rFonts w:ascii="Gill Sans MT"/>
          <w:spacing w:val="-1"/>
          <w:w w:val="110"/>
          <w:sz w:val="21"/>
        </w:rPr>
        <w:t>16</w:t>
      </w:r>
    </w:p>
    <w:p>
      <w:pPr>
        <w:pStyle w:val="BodyText"/>
        <w:rPr>
          <w:rFonts w:ascii="Gill Sans MT"/>
        </w:rPr>
      </w:pPr>
    </w:p>
    <w:p>
      <w:pPr>
        <w:pStyle w:val="BodyText"/>
        <w:spacing w:before="5"/>
        <w:rPr>
          <w:rFonts w:ascii="Gill Sans MT"/>
          <w:sz w:val="22"/>
        </w:rPr>
      </w:pPr>
    </w:p>
    <w:p>
      <w:pPr>
        <w:spacing w:before="0"/>
        <w:ind w:left="0" w:right="1" w:firstLine="0"/>
        <w:jc w:val="right"/>
        <w:rPr>
          <w:rFonts w:ascii="Gill Sans MT"/>
          <w:sz w:val="21"/>
        </w:rPr>
      </w:pPr>
      <w:r>
        <w:rPr>
          <w:rFonts w:ascii="Gill Sans MT"/>
          <w:spacing w:val="-1"/>
          <w:w w:val="110"/>
          <w:sz w:val="21"/>
        </w:rPr>
        <w:t>12</w:t>
      </w:r>
    </w:p>
    <w:p>
      <w:pPr>
        <w:pStyle w:val="BodyText"/>
        <w:rPr>
          <w:rFonts w:ascii="Gill Sans MT"/>
        </w:rPr>
      </w:pPr>
    </w:p>
    <w:p>
      <w:pPr>
        <w:pStyle w:val="BodyText"/>
        <w:spacing w:before="5"/>
        <w:rPr>
          <w:rFonts w:ascii="Gill Sans MT"/>
          <w:sz w:val="22"/>
        </w:rPr>
      </w:pPr>
    </w:p>
    <w:p>
      <w:pPr>
        <w:spacing w:before="0"/>
        <w:ind w:left="0" w:right="0" w:firstLine="0"/>
        <w:jc w:val="right"/>
        <w:rPr>
          <w:rFonts w:ascii="Gill Sans MT"/>
          <w:sz w:val="21"/>
        </w:rPr>
      </w:pPr>
      <w:r>
        <w:rPr>
          <w:rFonts w:ascii="Gill Sans MT"/>
          <w:w w:val="112"/>
          <w:sz w:val="21"/>
        </w:rPr>
        <w:t>8</w:t>
      </w:r>
    </w:p>
    <w:p>
      <w:pPr>
        <w:pStyle w:val="BodyText"/>
        <w:rPr>
          <w:rFonts w:ascii="Gill Sans MT"/>
        </w:rPr>
      </w:pPr>
    </w:p>
    <w:p>
      <w:pPr>
        <w:pStyle w:val="BodyText"/>
        <w:spacing w:before="5"/>
        <w:rPr>
          <w:rFonts w:ascii="Gill Sans MT"/>
          <w:sz w:val="22"/>
        </w:rPr>
      </w:pPr>
    </w:p>
    <w:p>
      <w:pPr>
        <w:spacing w:before="1"/>
        <w:ind w:left="0" w:right="0" w:firstLine="0"/>
        <w:jc w:val="right"/>
        <w:rPr>
          <w:rFonts w:ascii="Gill Sans MT"/>
          <w:sz w:val="21"/>
        </w:rPr>
      </w:pPr>
      <w:r>
        <w:rPr>
          <w:rFonts w:ascii="Gill Sans MT"/>
          <w:w w:val="112"/>
          <w:sz w:val="21"/>
        </w:rPr>
        <w:t>4</w:t>
      </w:r>
    </w:p>
    <w:p>
      <w:pPr>
        <w:pStyle w:val="BodyText"/>
        <w:spacing w:before="8"/>
        <w:rPr>
          <w:rFonts w:ascii="Gill Sans MT"/>
          <w:sz w:val="10"/>
        </w:rPr>
      </w:pPr>
      <w:r>
        <w:rPr/>
        <w:br w:type="column"/>
      </w:r>
      <w:r>
        <w:rPr>
          <w:rFonts w:ascii="Gill Sans MT"/>
          <w:sz w:val="10"/>
        </w:rPr>
      </w:r>
    </w:p>
    <w:p>
      <w:pPr>
        <w:pStyle w:val="BodyText"/>
        <w:spacing w:line="20" w:lineRule="exact"/>
        <w:ind w:left="142"/>
        <w:rPr>
          <w:rFonts w:ascii="Gill Sans MT"/>
          <w:sz w:val="2"/>
        </w:rPr>
      </w:pPr>
      <w:r>
        <w:rPr>
          <w:rFonts w:ascii="Gill Sans MT"/>
          <w:sz w:val="2"/>
        </w:rPr>
        <w:pict>
          <v:group style="width:257.6pt;height:.75pt;mso-position-horizontal-relative:char;mso-position-vertical-relative:line" coordorigin="0,0" coordsize="5152,15">
            <v:line style="position:absolute" from="0,8" to="5152,8" stroked="true" strokeweight=".75pt" strokecolor="#d9d9d9">
              <v:stroke dashstyle="solid"/>
            </v:line>
          </v:group>
        </w:pict>
      </w:r>
      <w:r>
        <w:rPr>
          <w:rFonts w:ascii="Gill Sans MT"/>
          <w:sz w:val="2"/>
        </w:rPr>
      </w:r>
    </w:p>
    <w:p>
      <w:pPr>
        <w:pStyle w:val="BodyText"/>
        <w:spacing w:before="6"/>
        <w:rPr>
          <w:rFonts w:ascii="Gill Sans MT"/>
          <w:sz w:val="8"/>
        </w:rPr>
      </w:pPr>
    </w:p>
    <w:p>
      <w:pPr>
        <w:pStyle w:val="BodyText"/>
        <w:ind w:left="127"/>
        <w:rPr>
          <w:rFonts w:ascii="Gill Sans MT"/>
          <w:sz w:val="20"/>
        </w:rPr>
      </w:pPr>
      <w:r>
        <w:rPr>
          <w:rFonts w:ascii="Gill Sans MT"/>
          <w:sz w:val="20"/>
        </w:rPr>
        <w:pict>
          <v:group style="width:259.25pt;height:97.4pt;mso-position-horizontal-relative:char;mso-position-vertical-relative:line" coordorigin="0,0" coordsize="5185,1948">
            <v:line style="position:absolute" from="23,1554" to="5174,1554" stroked="true" strokeweight=".75pt" strokecolor="#d9d9d9">
              <v:stroke dashstyle="solid"/>
            </v:line>
            <v:line style="position:absolute" from="23,999" to="5174,999" stroked="true" strokeweight=".75pt" strokecolor="#d9d9d9">
              <v:stroke dashstyle="solid"/>
            </v:line>
            <v:line style="position:absolute" from="23,445" to="5174,445" stroked="true" strokeweight=".75pt" strokecolor="#d9d9d9">
              <v:stroke dashstyle="solid"/>
            </v:line>
            <v:shape style="position:absolute;left:22;top:22;width:5140;height:1903" coordorigin="23,23" coordsize="5140,1903" path="m23,284l35,188,59,397,80,503,104,550,128,507,150,618,174,430,198,690,219,690,243,781,267,958,289,980,313,874,337,1155,359,1203,383,1458,406,1563,428,1688,452,1510,476,1443,498,1174,522,1643,546,1729,567,1551,591,1510,615,1693,637,1654,661,1366,685,1232,706,1155,731,1333,755,1345,776,1054,800,1163,824,1280,846,1093,870,1021,894,1052,915,1052,939,1103,963,1052,985,963,1009,1266,1033,1225,1055,1251,1079,1270,1103,1126,1124,1018,1148,1028,1172,908,1194,1278,1218,1191,1242,1026,1263,1129,1287,1417,1311,1710,1333,1573,1357,1525,1381,1417,1403,1189,1426,999,1451,987,1472,956,1496,946,1520,841,1542,1066,1566,1100,1590,1026,1611,877,1635,718,1659,714,1681,1076,1705,1045,1729,903,1751,867,1775,946,1799,649,1820,663,1844,625,1868,738,1890,908,1914,1066,1938,997,1959,721,1983,769,2007,754,2029,814,2053,663,2077,745,2099,721,2123,747,2147,721,2168,644,2192,560,2216,488,2238,310,2262,145,2286,243,2307,332,2331,226,2355,418,2377,219,2401,330,2425,373,2447,548,2471,445,2494,397,2516,349,2540,370,2564,380,2586,406,2610,481,2634,270,2655,315,2679,445,2703,452,2725,399,2749,548,2773,303,2794,140,2819,130,2843,212,2864,188,2888,186,2912,181,2934,260,2958,318,2982,193,3003,255,3027,49,3051,130,3073,226,3097,234,3121,85,3143,23,3167,118,3191,147,3212,140,3236,152,3260,214,3282,70,3306,126,3330,166,3351,138,3375,399,3399,303,3421,133,3445,178,3469,73,3493,140,3514,133,3539,452,3563,325,3584,241,3608,193,3632,99,3654,83,3678,37,3702,478,3723,1117,3747,1100,3771,884,3793,1093,3817,1033,3841,800,3863,747,3887,930,3911,788,3932,850,3956,932,3980,632,4002,507,4026,706,4050,610,4071,769,4095,1174,4119,1081,4141,1122,4165,1280,4189,1163,4211,1287,4234,1450,4259,1578,4280,1362,4304,1614,4328,1925,4350,1870,4374,1621,4398,1606,4419,1558,4443,1676,4467,1563,4489,1374,4513,1299,4537,1482,4559,1417,4583,1592,4607,1400,4628,1129,4652,1206,4676,1266,4698,1414,4722,1506,4746,1196,4767,850,4791,930,4815,836,4837,918,4861,1218,4885,1251,4907,1318,4931,1263,4954,1182,4976,1165,5000,1117,5024,1035,5046,1122,5070,1381,5094,1666,5115,1844,5139,1844,5163,1530e" filled="false" stroked="true" strokeweight="2.25pt" strokecolor="#014612">
              <v:path arrowok="t"/>
              <v:stroke dashstyle="solid"/>
            </v:shape>
            <v:shape style="position:absolute;left:0;top:0;width:5185;height:1948" type="#_x0000_t202" filled="false" stroked="false">
              <v:textbox inset="0,0,0,0">
                <w:txbxContent>
                  <w:p>
                    <w:pPr>
                      <w:spacing w:line="240" w:lineRule="auto" w:before="0"/>
                      <w:rPr>
                        <w:rFonts w:ascii="Gill Sans MT"/>
                        <w:sz w:val="24"/>
                      </w:rPr>
                    </w:pPr>
                  </w:p>
                  <w:p>
                    <w:pPr>
                      <w:spacing w:line="240" w:lineRule="auto" w:before="0"/>
                      <w:rPr>
                        <w:rFonts w:ascii="Gill Sans MT"/>
                        <w:sz w:val="24"/>
                      </w:rPr>
                    </w:pPr>
                  </w:p>
                  <w:p>
                    <w:pPr>
                      <w:spacing w:line="240" w:lineRule="auto" w:before="0"/>
                      <w:rPr>
                        <w:rFonts w:ascii="Gill Sans MT"/>
                        <w:sz w:val="24"/>
                      </w:rPr>
                    </w:pPr>
                  </w:p>
                  <w:p>
                    <w:pPr>
                      <w:spacing w:line="240" w:lineRule="auto" w:before="2"/>
                      <w:rPr>
                        <w:rFonts w:ascii="Gill Sans MT"/>
                        <w:sz w:val="35"/>
                      </w:rPr>
                    </w:pPr>
                  </w:p>
                  <w:p>
                    <w:pPr>
                      <w:tabs>
                        <w:tab w:pos="1876" w:val="left" w:leader="none"/>
                        <w:tab w:pos="5151" w:val="left" w:leader="none"/>
                      </w:tabs>
                      <w:spacing w:before="0"/>
                      <w:ind w:left="66" w:right="0" w:firstLine="0"/>
                      <w:jc w:val="left"/>
                      <w:rPr>
                        <w:rFonts w:ascii="Gill Sans MT"/>
                        <w:sz w:val="21"/>
                      </w:rPr>
                    </w:pPr>
                    <w:r>
                      <w:rPr>
                        <w:rFonts w:ascii="Gill Sans MT"/>
                        <w:color w:val="6D9276"/>
                        <w:w w:val="89"/>
                        <w:sz w:val="21"/>
                        <w:u w:val="thick" w:color="6D9276"/>
                      </w:rPr>
                      <w:t> </w:t>
                    </w:r>
                    <w:r>
                      <w:rPr>
                        <w:rFonts w:ascii="Gill Sans MT"/>
                        <w:color w:val="6D9276"/>
                        <w:sz w:val="21"/>
                        <w:u w:val="thick" w:color="6D9276"/>
                      </w:rPr>
                      <w:tab/>
                    </w:r>
                    <w:r>
                      <w:rPr>
                        <w:rFonts w:ascii="Gill Sans MT"/>
                        <w:color w:val="6D9276"/>
                        <w:w w:val="110"/>
                        <w:sz w:val="21"/>
                        <w:u w:val="thick" w:color="6D9276"/>
                      </w:rPr>
                      <w:t>Current</w:t>
                    </w:r>
                    <w:r>
                      <w:rPr>
                        <w:rFonts w:ascii="Gill Sans MT"/>
                        <w:color w:val="6D9276"/>
                        <w:spacing w:val="-49"/>
                        <w:w w:val="110"/>
                        <w:sz w:val="21"/>
                        <w:u w:val="thick" w:color="6D9276"/>
                      </w:rPr>
                      <w:t> </w:t>
                    </w:r>
                    <w:r>
                      <w:rPr>
                        <w:rFonts w:ascii="Gill Sans MT"/>
                        <w:color w:val="6D9276"/>
                        <w:w w:val="110"/>
                        <w:sz w:val="21"/>
                        <w:u w:val="thick" w:color="6D9276"/>
                      </w:rPr>
                      <w:t>level:</w:t>
                    </w:r>
                    <w:r>
                      <w:rPr>
                        <w:rFonts w:ascii="Gill Sans MT"/>
                        <w:color w:val="6D9276"/>
                        <w:spacing w:val="-46"/>
                        <w:w w:val="110"/>
                        <w:sz w:val="21"/>
                        <w:u w:val="thick" w:color="6D9276"/>
                      </w:rPr>
                      <w:t> </w:t>
                    </w:r>
                    <w:r>
                      <w:rPr>
                        <w:rFonts w:ascii="Gill Sans MT"/>
                        <w:color w:val="6D9276"/>
                        <w:w w:val="110"/>
                        <w:sz w:val="21"/>
                        <w:u w:val="thick" w:color="6D9276"/>
                      </w:rPr>
                      <w:t>60.7</w:t>
                    </w:r>
                    <w:r>
                      <w:rPr>
                        <w:rFonts w:ascii="Gill Sans MT"/>
                        <w:color w:val="6D9276"/>
                        <w:sz w:val="21"/>
                        <w:u w:val="thick" w:color="6D9276"/>
                      </w:rPr>
                      <w:tab/>
                    </w:r>
                  </w:p>
                </w:txbxContent>
              </v:textbox>
              <w10:wrap type="none"/>
            </v:shape>
          </v:group>
        </w:pict>
      </w:r>
      <w:r>
        <w:rPr>
          <w:rFonts w:ascii="Gill Sans MT"/>
          <w:sz w:val="20"/>
        </w:rPr>
      </w:r>
    </w:p>
    <w:p>
      <w:pPr>
        <w:pStyle w:val="BodyText"/>
        <w:spacing w:before="5"/>
        <w:rPr>
          <w:rFonts w:ascii="Gill Sans MT"/>
          <w:sz w:val="11"/>
        </w:rPr>
      </w:pPr>
    </w:p>
    <w:p>
      <w:pPr>
        <w:pStyle w:val="BodyText"/>
        <w:spacing w:line="82" w:lineRule="exact"/>
        <w:ind w:left="142"/>
        <w:rPr>
          <w:rFonts w:ascii="Gill Sans MT"/>
          <w:sz w:val="8"/>
        </w:rPr>
      </w:pPr>
      <w:r>
        <w:rPr>
          <w:rFonts w:ascii="Gill Sans MT"/>
          <w:position w:val="-1"/>
          <w:sz w:val="8"/>
        </w:rPr>
        <w:pict>
          <v:group style="width:258pt;height:3.7pt;mso-position-horizontal-relative:char;mso-position-vertical-relative:line" coordorigin="0,0" coordsize="5160,74">
            <v:line style="position:absolute" from="8,8" to="5159,8" stroked="true" strokeweight=".75pt" strokecolor="#000000">
              <v:stroke dashstyle="solid"/>
            </v:line>
            <v:line style="position:absolute" from="8,8" to="8,74" stroked="true" strokeweight=".75pt" strokecolor="#000000">
              <v:stroke dashstyle="solid"/>
            </v:line>
            <v:line style="position:absolute" from="564,8" to="564,74" stroked="true" strokeweight=".75pt" strokecolor="#000000">
              <v:stroke dashstyle="solid"/>
            </v:line>
            <v:line style="position:absolute" from="1121,8" to="1121,74" stroked="true" strokeweight=".75pt" strokecolor="#000000">
              <v:stroke dashstyle="solid"/>
            </v:line>
            <v:line style="position:absolute" from="1678,8" to="1678,74" stroked="true" strokeweight=".75pt" strokecolor="#000000">
              <v:stroke dashstyle="solid"/>
            </v:line>
            <v:line style="position:absolute" from="2235,8" to="2235,74" stroked="true" strokeweight=".75pt" strokecolor="#000000">
              <v:stroke dashstyle="solid"/>
            </v:line>
            <v:line style="position:absolute" from="2791,8" to="2791,74" stroked="true" strokeweight=".75pt" strokecolor="#000000">
              <v:stroke dashstyle="solid"/>
            </v:line>
            <v:line style="position:absolute" from="3348,8" to="3348,74" stroked="true" strokeweight=".75pt" strokecolor="#000000">
              <v:stroke dashstyle="solid"/>
            </v:line>
            <v:line style="position:absolute" from="3905,8" to="3905,74" stroked="true" strokeweight=".75pt" strokecolor="#000000">
              <v:stroke dashstyle="solid"/>
            </v:line>
            <v:line style="position:absolute" from="4462,8" to="4462,74" stroked="true" strokeweight=".75pt" strokecolor="#000000">
              <v:stroke dashstyle="solid"/>
            </v:line>
            <v:line style="position:absolute" from="5020,8" to="5020,74" stroked="true" strokeweight=".75pt" strokecolor="#000000">
              <v:stroke dashstyle="solid"/>
            </v:line>
          </v:group>
        </w:pict>
      </w:r>
      <w:r>
        <w:rPr>
          <w:rFonts w:ascii="Gill Sans MT"/>
          <w:position w:val="-1"/>
          <w:sz w:val="8"/>
        </w:rPr>
      </w:r>
    </w:p>
    <w:p>
      <w:pPr>
        <w:tabs>
          <w:tab w:pos="583" w:val="left" w:leader="none"/>
          <w:tab w:pos="1141" w:val="left" w:leader="none"/>
          <w:tab w:pos="1698" w:val="left" w:leader="none"/>
          <w:tab w:pos="2255" w:val="left" w:leader="none"/>
          <w:tab w:pos="2812" w:val="left" w:leader="none"/>
          <w:tab w:pos="3369" w:val="left" w:leader="none"/>
          <w:tab w:pos="3926" w:val="left" w:leader="none"/>
          <w:tab w:pos="4482" w:val="left" w:leader="none"/>
          <w:tab w:pos="5040" w:val="left" w:leader="none"/>
        </w:tabs>
        <w:spacing w:before="64"/>
        <w:ind w:left="27" w:right="0" w:firstLine="0"/>
        <w:jc w:val="left"/>
        <w:rPr>
          <w:rFonts w:ascii="Gill Sans MT"/>
          <w:sz w:val="21"/>
        </w:rPr>
      </w:pPr>
      <w:r>
        <w:rPr>
          <w:rFonts w:ascii="Gill Sans MT"/>
          <w:w w:val="105"/>
          <w:sz w:val="21"/>
        </w:rPr>
        <w:t>'07</w:t>
        <w:tab/>
        <w:t>'09</w:t>
        <w:tab/>
        <w:t>'11</w:t>
        <w:tab/>
        <w:t>'13</w:t>
        <w:tab/>
        <w:t>'15</w:t>
        <w:tab/>
        <w:t>'17</w:t>
        <w:tab/>
        <w:t>'19</w:t>
        <w:tab/>
        <w:t>'21</w:t>
        <w:tab/>
        <w:t>'23</w:t>
        <w:tab/>
        <w:t>'25</w:t>
      </w:r>
    </w:p>
    <w:p>
      <w:pPr>
        <w:pStyle w:val="BodyText"/>
        <w:spacing w:before="2"/>
        <w:rPr>
          <w:rFonts w:ascii="Gill Sans MT"/>
          <w:sz w:val="21"/>
        </w:rPr>
      </w:pPr>
    </w:p>
    <w:p>
      <w:pPr>
        <w:pStyle w:val="Heading3"/>
        <w:ind w:left="520" w:right="1848"/>
        <w:jc w:val="center"/>
      </w:pPr>
      <w:r>
        <w:rPr>
          <w:w w:val="105"/>
        </w:rPr>
        <w:t>"Misery" Index</w:t>
      </w:r>
    </w:p>
    <w:p>
      <w:pPr>
        <w:spacing w:before="10"/>
        <w:ind w:left="520" w:right="1848" w:firstLine="0"/>
        <w:jc w:val="center"/>
        <w:rPr>
          <w:rFonts w:ascii="Gill Sans MT"/>
          <w:sz w:val="21"/>
        </w:rPr>
      </w:pPr>
      <w:r>
        <w:rPr>
          <w:rFonts w:ascii="Gill Sans MT"/>
          <w:w w:val="110"/>
          <w:sz w:val="21"/>
        </w:rPr>
        <w:t>percent, unemployment rate plus inflation</w:t>
      </w:r>
    </w:p>
    <w:p>
      <w:pPr>
        <w:pStyle w:val="BodyText"/>
        <w:spacing w:before="1"/>
        <w:rPr>
          <w:rFonts w:ascii="Gill Sans MT"/>
          <w:sz w:val="6"/>
        </w:rPr>
      </w:pPr>
    </w:p>
    <w:p>
      <w:pPr>
        <w:pStyle w:val="BodyText"/>
        <w:spacing w:line="20" w:lineRule="exact"/>
        <w:ind w:left="142"/>
        <w:rPr>
          <w:rFonts w:ascii="Gill Sans MT"/>
          <w:sz w:val="2"/>
        </w:rPr>
      </w:pPr>
      <w:r>
        <w:rPr>
          <w:rFonts w:ascii="Gill Sans MT"/>
          <w:sz w:val="2"/>
        </w:rPr>
        <w:pict>
          <v:group style="width:257.6pt;height:.75pt;mso-position-horizontal-relative:char;mso-position-vertical-relative:line" coordorigin="0,0" coordsize="5152,15">
            <v:line style="position:absolute" from="0,8" to="5152,8" stroked="true" strokeweight=".75pt" strokecolor="#d9d9d9">
              <v:stroke dashstyle="solid"/>
            </v:line>
          </v:group>
        </w:pict>
      </w:r>
      <w:r>
        <w:rPr>
          <w:rFonts w:ascii="Gill Sans MT"/>
          <w:sz w:val="2"/>
        </w:rPr>
      </w:r>
    </w:p>
    <w:p>
      <w:pPr>
        <w:pStyle w:val="BodyText"/>
        <w:spacing w:before="10"/>
        <w:rPr>
          <w:rFonts w:ascii="Gill Sans MT"/>
          <w:sz w:val="11"/>
        </w:rPr>
      </w:pPr>
    </w:p>
    <w:p>
      <w:pPr>
        <w:pStyle w:val="BodyText"/>
        <w:ind w:left="127"/>
        <w:rPr>
          <w:rFonts w:ascii="Gill Sans MT"/>
          <w:sz w:val="20"/>
        </w:rPr>
      </w:pPr>
      <w:r>
        <w:rPr>
          <w:rFonts w:ascii="Gill Sans MT"/>
          <w:sz w:val="20"/>
        </w:rPr>
        <w:pict>
          <v:group style="width:259.25pt;height:101.1pt;mso-position-horizontal-relative:char;mso-position-vertical-relative:line" coordorigin="0,0" coordsize="5185,2022">
            <v:line style="position:absolute" from="23,1414" to="5174,1414" stroked="true" strokeweight=".75pt" strokecolor="#d9d9d9">
              <v:stroke dashstyle="solid"/>
            </v:line>
            <v:line style="position:absolute" from="23,632" to="5174,632" stroked="true" strokeweight=".75pt" strokecolor="#d9d9d9">
              <v:stroke dashstyle="solid"/>
            </v:line>
            <v:shape style="position:absolute;left:22;top:22;width:5140;height:1977" coordorigin="23,23" coordsize="5140,1977" path="m23,1650l35,1674,59,1626,80,1570,104,1592,128,1587,150,1554,174,1606,198,1707,222,1506,243,1355,267,1203,291,1198,313,1160,337,1210,361,1203,385,1237,406,1124,431,918,455,769,476,747,500,817,524,978,548,1434,570,1556,594,1475,618,1355,639,1364,663,1330,687,1340,711,1362,733,1503,757,1390,781,1333,803,1066,826,668,851,493,875,550,896,642,920,596,944,610,966,709,990,920,1014,879,1038,896,1059,903,1083,913,1107,850,1129,879,1153,867,1177,803,1201,706,1223,598,1246,543,1271,514,1292,519,1316,486,1340,474,1362,570,1386,623,1410,718,1434,766,1455,788,1479,870,1503,930,1525,1035,1549,1052,1573,1098,1597,1064,1619,1071,1643,1033,1666,1122,1688,1090,1712,1086,1736,1078,1760,1215,1782,1270,1806,1239,1830,1177,1851,1182,1875,1270,1899,1357,1923,1400,1945,1388,1969,1374,1993,1383,2015,1450,2039,1352,2063,1371,2087,1323,2108,1383,2132,1381,2156,1450,2178,1496,2202,1549,2226,1604,2250,1755,2271,1909,2295,1921,2319,1928,2341,1943,2365,1878,2389,1906,2413,1918,2434,1935,2459,1999,2483,1976,2504,1897,2528,1875,2552,1798,2576,1854,2598,1827,2622,1753,2646,1830,2667,1810,2691,1870,2715,1813,2739,1698,2761,1690,2785,1731,2809,1659,2831,1568,2854,1530,2879,1640,2903,1693,2924,1755,2948,1818,2972,1801,2994,1741,3018,1712,3042,1763,3066,1731,3087,1760,3111,1777,3135,1734,3157,1741,3181,1712,3205,1690,3227,1647,3251,1678,3274,1719,3299,1798,3320,1748,3344,1815,3368,1825,3390,1906,3414,1938,3438,1868,3462,1863,3483,1923,3507,1947,3531,1897,3553,1935,3577,1964,3601,1935,3625,1866,3647,1820,3671,1767,3694,1837,3716,1825,3740,23,3764,358,3788,687,3810,788,3834,1086,3858,1182,3879,1388,3903,1438,3927,1410,3951,1463,3973,1441,3997,1273,4021,978,4043,882,4067,786,4091,891,4114,968,4136,1011,4160,882,4184,814,4206,817,4230,714,4254,680,4278,584,4299,644,4323,606,4347,514,4369,642,4393,668,4417,690,4441,757,4463,879,4487,1040,4511,1055,4532,1110,4556,1330,4580,1347,4604,1467,4626,1676,4650,1652,4674,1527,4695,1513,4719,1580,4743,1640,4767,1585,4789,1647,4813,1597,4837,1537,4859,1561,4883,1563,4907,1597,4931,1583,4952,1647,4976,1700,5000,1674,5022,1626,5046,1616,5070,1609,5091,1626,5115,1688,5139,1700,5163,1693e" filled="false" stroked="true" strokeweight="2.25pt" strokecolor="#014612">
              <v:path arrowok="t"/>
              <v:stroke dashstyle="solid"/>
            </v:shape>
            <v:line style="position:absolute" from="5139,1708" to="54,1708" stroked="true" strokeweight="1.5pt" strokecolor="#6d9276">
              <v:stroke dashstyle="shortdot"/>
            </v:line>
            <v:shape style="position:absolute;left:489;top:1754;width:1581;height:248" type="#_x0000_t202" filled="false" stroked="false">
              <v:textbox inset="0,0,0,0">
                <w:txbxContent>
                  <w:p>
                    <w:pPr>
                      <w:spacing w:before="1"/>
                      <w:ind w:left="0" w:right="0" w:firstLine="0"/>
                      <w:jc w:val="left"/>
                      <w:rPr>
                        <w:rFonts w:ascii="Gill Sans MT"/>
                        <w:sz w:val="21"/>
                      </w:rPr>
                    </w:pPr>
                    <w:r>
                      <w:rPr>
                        <w:rFonts w:ascii="Gill Sans MT"/>
                        <w:color w:val="6D9276"/>
                        <w:w w:val="110"/>
                        <w:sz w:val="21"/>
                      </w:rPr>
                      <w:t>Current</w:t>
                    </w:r>
                    <w:r>
                      <w:rPr>
                        <w:rFonts w:ascii="Gill Sans MT"/>
                        <w:color w:val="6D9276"/>
                        <w:spacing w:val="-43"/>
                        <w:w w:val="110"/>
                        <w:sz w:val="21"/>
                      </w:rPr>
                      <w:t> </w:t>
                    </w:r>
                    <w:r>
                      <w:rPr>
                        <w:rFonts w:ascii="Gill Sans MT"/>
                        <w:color w:val="6D9276"/>
                        <w:w w:val="110"/>
                        <w:sz w:val="21"/>
                      </w:rPr>
                      <w:t>level:</w:t>
                    </w:r>
                    <w:r>
                      <w:rPr>
                        <w:rFonts w:ascii="Gill Sans MT"/>
                        <w:color w:val="6D9276"/>
                        <w:spacing w:val="-40"/>
                        <w:w w:val="110"/>
                        <w:sz w:val="21"/>
                      </w:rPr>
                      <w:t> </w:t>
                    </w:r>
                    <w:r>
                      <w:rPr>
                        <w:rFonts w:ascii="Gill Sans MT"/>
                        <w:color w:val="6D9276"/>
                        <w:w w:val="110"/>
                        <w:sz w:val="21"/>
                      </w:rPr>
                      <w:t>6.5</w:t>
                    </w:r>
                  </w:p>
                </w:txbxContent>
              </v:textbox>
              <w10:wrap type="none"/>
            </v:shape>
          </v:group>
        </w:pict>
      </w:r>
      <w:r>
        <w:rPr>
          <w:rFonts w:ascii="Gill Sans MT"/>
          <w:sz w:val="20"/>
        </w:rPr>
      </w:r>
    </w:p>
    <w:p>
      <w:pPr>
        <w:pStyle w:val="BodyText"/>
        <w:spacing w:before="6"/>
        <w:rPr>
          <w:rFonts w:ascii="Gill Sans MT"/>
          <w:sz w:val="9"/>
        </w:rPr>
      </w:pPr>
      <w:r>
        <w:rPr/>
        <w:pict>
          <v:group style="position:absolute;margin-left:408.825012pt;margin-top:7.503141pt;width:258pt;height:3.75pt;mso-position-horizontal-relative:page;mso-position-vertical-relative:paragraph;z-index:-251589632;mso-wrap-distance-left:0;mso-wrap-distance-right:0" coordorigin="8177,150" coordsize="5160,75">
            <v:line style="position:absolute" from="8184,158" to="13336,158" stroked="true" strokeweight=".75pt" strokecolor="#000000">
              <v:stroke dashstyle="solid"/>
            </v:line>
            <v:line style="position:absolute" from="8184,158" to="8184,224" stroked="true" strokeweight=".75pt" strokecolor="#000000">
              <v:stroke dashstyle="solid"/>
            </v:line>
            <v:line style="position:absolute" from="8743,158" to="8743,224" stroked="true" strokeweight=".75pt" strokecolor="#000000">
              <v:stroke dashstyle="solid"/>
            </v:line>
            <v:line style="position:absolute" from="9302,158" to="9302,224" stroked="true" strokeweight=".75pt" strokecolor="#000000">
              <v:stroke dashstyle="solid"/>
            </v:line>
            <v:line style="position:absolute" from="9862,158" to="9862,224" stroked="true" strokeweight=".75pt" strokecolor="#000000">
              <v:stroke dashstyle="solid"/>
            </v:line>
            <v:line style="position:absolute" from="10421,158" to="10421,224" stroked="true" strokeweight=".75pt" strokecolor="#000000">
              <v:stroke dashstyle="solid"/>
            </v:line>
            <v:line style="position:absolute" from="10982,158" to="10982,224" stroked="true" strokeweight=".75pt" strokecolor="#000000">
              <v:stroke dashstyle="solid"/>
            </v:line>
            <v:line style="position:absolute" from="11542,158" to="11542,224" stroked="true" strokeweight=".75pt" strokecolor="#000000">
              <v:stroke dashstyle="solid"/>
            </v:line>
            <v:line style="position:absolute" from="12101,158" to="12101,224" stroked="true" strokeweight=".75pt" strokecolor="#000000">
              <v:stroke dashstyle="solid"/>
            </v:line>
            <v:line style="position:absolute" from="12660,158" to="12660,224" stroked="true" strokeweight=".75pt" strokecolor="#000000">
              <v:stroke dashstyle="solid"/>
            </v:line>
            <v:line style="position:absolute" from="13219,158" to="13219,224" stroked="true" strokeweight=".75pt" strokecolor="#000000">
              <v:stroke dashstyle="solid"/>
            </v:line>
            <w10:wrap type="topAndBottom"/>
          </v:group>
        </w:pict>
      </w:r>
    </w:p>
    <w:p>
      <w:pPr>
        <w:tabs>
          <w:tab w:pos="586" w:val="left" w:leader="none"/>
          <w:tab w:pos="1146" w:val="left" w:leader="none"/>
          <w:tab w:pos="1705" w:val="left" w:leader="none"/>
          <w:tab w:pos="2265" w:val="left" w:leader="none"/>
          <w:tab w:pos="2825" w:val="left" w:leader="none"/>
          <w:tab w:pos="3384" w:val="left" w:leader="none"/>
          <w:tab w:pos="3943" w:val="left" w:leader="none"/>
          <w:tab w:pos="4503" w:val="left" w:leader="none"/>
          <w:tab w:pos="5062" w:val="left" w:leader="none"/>
        </w:tabs>
        <w:spacing w:before="35"/>
        <w:ind w:left="27" w:right="0" w:firstLine="0"/>
        <w:jc w:val="left"/>
        <w:rPr>
          <w:rFonts w:ascii="Gill Sans MT"/>
          <w:sz w:val="21"/>
        </w:rPr>
      </w:pPr>
      <w:r>
        <w:rPr>
          <w:rFonts w:ascii="Gill Sans MT"/>
          <w:w w:val="105"/>
          <w:sz w:val="21"/>
        </w:rPr>
        <w:t>'07</w:t>
        <w:tab/>
        <w:t>'09</w:t>
        <w:tab/>
        <w:t>'11</w:t>
        <w:tab/>
        <w:t>'13</w:t>
        <w:tab/>
        <w:t>'15</w:t>
        <w:tab/>
        <w:t>'17</w:t>
        <w:tab/>
        <w:t>'19</w:t>
        <w:tab/>
        <w:t>'21</w:t>
        <w:tab/>
        <w:t>'23</w:t>
        <w:tab/>
        <w:t>'25</w:t>
      </w:r>
    </w:p>
    <w:p>
      <w:pPr>
        <w:spacing w:after="0"/>
        <w:jc w:val="left"/>
        <w:rPr>
          <w:rFonts w:ascii="Gill Sans MT"/>
          <w:sz w:val="21"/>
        </w:rPr>
        <w:sectPr>
          <w:type w:val="continuous"/>
          <w:pgSz w:w="14400" w:h="10800" w:orient="landscape"/>
          <w:pgMar w:top="180" w:bottom="280" w:left="20" w:right="40"/>
          <w:cols w:num="3" w:equalWidth="0">
            <w:col w:w="7327" w:space="40"/>
            <w:col w:w="608" w:space="39"/>
            <w:col w:w="6326"/>
          </w:cols>
        </w:sectPr>
      </w:pPr>
    </w:p>
    <w:p>
      <w:pPr>
        <w:tabs>
          <w:tab w:pos="7775" w:val="left" w:leader="none"/>
        </w:tabs>
        <w:spacing w:line="306" w:lineRule="exact" w:before="1"/>
        <w:ind w:left="1101" w:right="0" w:firstLine="0"/>
        <w:jc w:val="left"/>
        <w:rPr>
          <w:rFonts w:ascii="Gill Sans MT"/>
          <w:sz w:val="14"/>
        </w:rPr>
      </w:pPr>
      <w:r>
        <w:rPr>
          <w:rFonts w:ascii="Gill Sans MT"/>
          <w:w w:val="110"/>
          <w:sz w:val="28"/>
        </w:rPr>
        <w:t>resilience amid a number</w:t>
      </w:r>
      <w:r>
        <w:rPr>
          <w:rFonts w:ascii="Gill Sans MT"/>
          <w:spacing w:val="-3"/>
          <w:w w:val="110"/>
          <w:sz w:val="28"/>
        </w:rPr>
        <w:t> </w:t>
      </w:r>
      <w:r>
        <w:rPr>
          <w:rFonts w:ascii="Gill Sans MT"/>
          <w:w w:val="110"/>
          <w:sz w:val="28"/>
        </w:rPr>
        <w:t>of</w:t>
      </w:r>
      <w:r>
        <w:rPr>
          <w:rFonts w:ascii="Gill Sans MT"/>
          <w:spacing w:val="6"/>
          <w:w w:val="110"/>
          <w:sz w:val="28"/>
        </w:rPr>
        <w:t> </w:t>
      </w:r>
      <w:r>
        <w:rPr>
          <w:rFonts w:ascii="Gill Sans MT"/>
          <w:w w:val="110"/>
          <w:sz w:val="28"/>
        </w:rPr>
        <w:t>challenges</w:t>
        <w:tab/>
      </w:r>
      <w:r>
        <w:rPr>
          <w:rFonts w:ascii="Gill Sans MT"/>
          <w:w w:val="110"/>
          <w:position w:val="1"/>
          <w:sz w:val="14"/>
        </w:rPr>
        <w:t>Source:</w:t>
      </w:r>
      <w:r>
        <w:rPr>
          <w:rFonts w:ascii="Gill Sans MT"/>
          <w:spacing w:val="-5"/>
          <w:w w:val="110"/>
          <w:position w:val="1"/>
          <w:sz w:val="14"/>
        </w:rPr>
        <w:t> </w:t>
      </w:r>
      <w:r>
        <w:rPr>
          <w:rFonts w:ascii="Gill Sans MT"/>
          <w:w w:val="110"/>
          <w:position w:val="1"/>
          <w:sz w:val="14"/>
        </w:rPr>
        <w:t>University</w:t>
      </w:r>
      <w:r>
        <w:rPr>
          <w:rFonts w:ascii="Gill Sans MT"/>
          <w:spacing w:val="-6"/>
          <w:w w:val="110"/>
          <w:position w:val="1"/>
          <w:sz w:val="14"/>
        </w:rPr>
        <w:t> </w:t>
      </w:r>
      <w:r>
        <w:rPr>
          <w:rFonts w:ascii="Gill Sans MT"/>
          <w:w w:val="110"/>
          <w:position w:val="1"/>
          <w:sz w:val="14"/>
        </w:rPr>
        <w:t>of</w:t>
      </w:r>
      <w:r>
        <w:rPr>
          <w:rFonts w:ascii="Gill Sans MT"/>
          <w:spacing w:val="-7"/>
          <w:w w:val="110"/>
          <w:position w:val="1"/>
          <w:sz w:val="14"/>
        </w:rPr>
        <w:t> </w:t>
      </w:r>
      <w:r>
        <w:rPr>
          <w:rFonts w:ascii="Gill Sans MT"/>
          <w:w w:val="110"/>
          <w:position w:val="1"/>
          <w:sz w:val="14"/>
        </w:rPr>
        <w:t>Michigan,</w:t>
      </w:r>
      <w:r>
        <w:rPr>
          <w:rFonts w:ascii="Gill Sans MT"/>
          <w:spacing w:val="-7"/>
          <w:w w:val="110"/>
          <w:position w:val="1"/>
          <w:sz w:val="14"/>
        </w:rPr>
        <w:t> </w:t>
      </w:r>
      <w:r>
        <w:rPr>
          <w:rFonts w:ascii="Gill Sans MT"/>
          <w:w w:val="110"/>
          <w:position w:val="1"/>
          <w:sz w:val="14"/>
        </w:rPr>
        <w:t>U.S.</w:t>
      </w:r>
      <w:r>
        <w:rPr>
          <w:rFonts w:ascii="Gill Sans MT"/>
          <w:spacing w:val="-6"/>
          <w:w w:val="110"/>
          <w:position w:val="1"/>
          <w:sz w:val="14"/>
        </w:rPr>
        <w:t> </w:t>
      </w:r>
      <w:r>
        <w:rPr>
          <w:rFonts w:ascii="Gill Sans MT"/>
          <w:w w:val="110"/>
          <w:position w:val="1"/>
          <w:sz w:val="14"/>
        </w:rPr>
        <w:t>Bureau</w:t>
      </w:r>
      <w:r>
        <w:rPr>
          <w:rFonts w:ascii="Gill Sans MT"/>
          <w:spacing w:val="-7"/>
          <w:w w:val="110"/>
          <w:position w:val="1"/>
          <w:sz w:val="14"/>
        </w:rPr>
        <w:t> </w:t>
      </w:r>
      <w:r>
        <w:rPr>
          <w:rFonts w:ascii="Gill Sans MT"/>
          <w:w w:val="110"/>
          <w:position w:val="1"/>
          <w:sz w:val="14"/>
        </w:rPr>
        <w:t>of</w:t>
      </w:r>
      <w:r>
        <w:rPr>
          <w:rFonts w:ascii="Gill Sans MT"/>
          <w:spacing w:val="-8"/>
          <w:w w:val="110"/>
          <w:position w:val="1"/>
          <w:sz w:val="14"/>
        </w:rPr>
        <w:t> </w:t>
      </w:r>
      <w:r>
        <w:rPr>
          <w:rFonts w:ascii="Gill Sans MT"/>
          <w:w w:val="110"/>
          <w:position w:val="1"/>
          <w:sz w:val="14"/>
        </w:rPr>
        <w:t>Labor</w:t>
      </w:r>
      <w:r>
        <w:rPr>
          <w:rFonts w:ascii="Gill Sans MT"/>
          <w:spacing w:val="-12"/>
          <w:w w:val="110"/>
          <w:position w:val="1"/>
          <w:sz w:val="14"/>
        </w:rPr>
        <w:t> </w:t>
      </w:r>
      <w:r>
        <w:rPr>
          <w:rFonts w:ascii="Gill Sans MT"/>
          <w:w w:val="110"/>
          <w:position w:val="1"/>
          <w:sz w:val="14"/>
        </w:rPr>
        <w:t>Statistics,</w:t>
      </w:r>
      <w:r>
        <w:rPr>
          <w:rFonts w:ascii="Gill Sans MT"/>
          <w:spacing w:val="-6"/>
          <w:w w:val="110"/>
          <w:position w:val="1"/>
          <w:sz w:val="14"/>
        </w:rPr>
        <w:t> </w:t>
      </w:r>
      <w:r>
        <w:rPr>
          <w:rFonts w:ascii="Gill Sans MT"/>
          <w:w w:val="110"/>
          <w:position w:val="1"/>
          <w:sz w:val="14"/>
        </w:rPr>
        <w:t>St.</w:t>
      </w:r>
      <w:r>
        <w:rPr>
          <w:rFonts w:ascii="Gill Sans MT"/>
          <w:spacing w:val="-7"/>
          <w:w w:val="110"/>
          <w:position w:val="1"/>
          <w:sz w:val="14"/>
        </w:rPr>
        <w:t> </w:t>
      </w:r>
      <w:r>
        <w:rPr>
          <w:rFonts w:ascii="Gill Sans MT"/>
          <w:w w:val="110"/>
          <w:position w:val="1"/>
          <w:sz w:val="14"/>
        </w:rPr>
        <w:t>Louis</w:t>
      </w:r>
      <w:r>
        <w:rPr>
          <w:rFonts w:ascii="Gill Sans MT"/>
          <w:spacing w:val="-3"/>
          <w:w w:val="110"/>
          <w:position w:val="1"/>
          <w:sz w:val="14"/>
        </w:rPr>
        <w:t> </w:t>
      </w:r>
      <w:r>
        <w:rPr>
          <w:rFonts w:ascii="Gill Sans MT"/>
          <w:w w:val="110"/>
          <w:position w:val="1"/>
          <w:sz w:val="14"/>
        </w:rPr>
        <w:t>Federal</w:t>
      </w:r>
      <w:r>
        <w:rPr>
          <w:rFonts w:ascii="Gill Sans MT"/>
          <w:spacing w:val="-8"/>
          <w:w w:val="110"/>
          <w:position w:val="1"/>
          <w:sz w:val="14"/>
        </w:rPr>
        <w:t> </w:t>
      </w:r>
      <w:r>
        <w:rPr>
          <w:rFonts w:ascii="Gill Sans MT"/>
          <w:w w:val="110"/>
          <w:position w:val="1"/>
          <w:sz w:val="14"/>
        </w:rPr>
        <w:t>Reserve.</w:t>
      </w:r>
    </w:p>
    <w:p>
      <w:pPr>
        <w:spacing w:line="144" w:lineRule="exact" w:before="0"/>
        <w:ind w:left="7775" w:right="0" w:firstLine="0"/>
        <w:jc w:val="left"/>
        <w:rPr>
          <w:rFonts w:ascii="Gill Sans MT"/>
          <w:sz w:val="14"/>
        </w:rPr>
      </w:pPr>
      <w:r>
        <w:rPr>
          <w:rFonts w:ascii="Gill Sans MT"/>
          <w:w w:val="105"/>
          <w:sz w:val="14"/>
        </w:rPr>
        <w:t>Inflation for the Misery Index is 12-month change in the Consumer Price Index (CPI).</w:t>
      </w:r>
    </w:p>
    <w:p>
      <w:pPr>
        <w:spacing w:after="0" w:line="144" w:lineRule="exact"/>
        <w:jc w:val="left"/>
        <w:rPr>
          <w:rFonts w:ascii="Gill Sans MT"/>
          <w:sz w:val="14"/>
        </w:rPr>
        <w:sectPr>
          <w:type w:val="continuous"/>
          <w:pgSz w:w="14400" w:h="10800" w:orient="landscape"/>
          <w:pgMar w:top="180" w:bottom="280" w:left="20" w:right="40"/>
        </w:sectPr>
      </w:pPr>
    </w:p>
    <w:p>
      <w:pPr>
        <w:pStyle w:val="Heading3"/>
        <w:spacing w:before="167"/>
        <w:ind w:left="844"/>
      </w:pPr>
      <w:bookmarkStart w:name="Slide 32: Inflation and the Federal Rese" w:id="40"/>
      <w:bookmarkEnd w:id="40"/>
      <w:r>
        <w:rPr/>
      </w:r>
      <w:r>
        <w:rPr>
          <w:w w:val="115"/>
        </w:rPr>
        <w:t>Inflation eased but remains elevated</w:t>
      </w:r>
    </w:p>
    <w:p>
      <w:pPr>
        <w:pStyle w:val="Heading5"/>
        <w:numPr>
          <w:ilvl w:val="0"/>
          <w:numId w:val="6"/>
        </w:numPr>
        <w:tabs>
          <w:tab w:pos="1116" w:val="left" w:leader="none"/>
        </w:tabs>
        <w:spacing w:line="223" w:lineRule="auto" w:before="155" w:after="0"/>
        <w:ind w:left="1115" w:right="38" w:hanging="272"/>
        <w:jc w:val="left"/>
        <w:rPr>
          <w:rFonts w:ascii="Arial" w:hAnsi="Arial"/>
        </w:rPr>
      </w:pPr>
      <w:r>
        <w:rPr>
          <w:w w:val="110"/>
        </w:rPr>
        <w:t>Inflation continued its slow progress toward the Fed’s</w:t>
      </w:r>
      <w:r>
        <w:rPr>
          <w:spacing w:val="-17"/>
          <w:w w:val="110"/>
        </w:rPr>
        <w:t> </w:t>
      </w:r>
      <w:r>
        <w:rPr>
          <w:w w:val="110"/>
        </w:rPr>
        <w:t>2.0%</w:t>
      </w:r>
      <w:r>
        <w:rPr>
          <w:spacing w:val="-17"/>
          <w:w w:val="110"/>
        </w:rPr>
        <w:t> </w:t>
      </w:r>
      <w:r>
        <w:rPr>
          <w:w w:val="110"/>
        </w:rPr>
        <w:t>target;</w:t>
      </w:r>
      <w:r>
        <w:rPr>
          <w:spacing w:val="-14"/>
          <w:w w:val="110"/>
        </w:rPr>
        <w:t> </w:t>
      </w:r>
      <w:r>
        <w:rPr>
          <w:w w:val="110"/>
        </w:rPr>
        <w:t>headline</w:t>
      </w:r>
      <w:r>
        <w:rPr>
          <w:spacing w:val="-18"/>
          <w:w w:val="110"/>
        </w:rPr>
        <w:t> </w:t>
      </w:r>
      <w:r>
        <w:rPr>
          <w:w w:val="110"/>
        </w:rPr>
        <w:t>CPI</w:t>
      </w:r>
      <w:r>
        <w:rPr>
          <w:spacing w:val="-14"/>
          <w:w w:val="110"/>
        </w:rPr>
        <w:t> </w:t>
      </w:r>
      <w:r>
        <w:rPr>
          <w:w w:val="110"/>
        </w:rPr>
        <w:t>registered</w:t>
      </w:r>
      <w:r>
        <w:rPr>
          <w:spacing w:val="-18"/>
          <w:w w:val="110"/>
        </w:rPr>
        <w:t> </w:t>
      </w:r>
      <w:r>
        <w:rPr>
          <w:w w:val="110"/>
        </w:rPr>
        <w:t>a</w:t>
      </w:r>
      <w:r>
        <w:rPr>
          <w:spacing w:val="-12"/>
          <w:w w:val="110"/>
        </w:rPr>
        <w:t> </w:t>
      </w:r>
      <w:r>
        <w:rPr>
          <w:w w:val="110"/>
        </w:rPr>
        <w:t>year- over-year</w:t>
      </w:r>
      <w:r>
        <w:rPr>
          <w:spacing w:val="-24"/>
          <w:w w:val="110"/>
        </w:rPr>
        <w:t> </w:t>
      </w:r>
      <w:r>
        <w:rPr>
          <w:w w:val="110"/>
        </w:rPr>
        <w:t>rate</w:t>
      </w:r>
      <w:r>
        <w:rPr>
          <w:spacing w:val="-20"/>
          <w:w w:val="110"/>
        </w:rPr>
        <w:t> </w:t>
      </w:r>
      <w:r>
        <w:rPr>
          <w:w w:val="110"/>
        </w:rPr>
        <w:t>of</w:t>
      </w:r>
      <w:r>
        <w:rPr>
          <w:spacing w:val="-16"/>
          <w:w w:val="110"/>
        </w:rPr>
        <w:t> </w:t>
      </w:r>
      <w:r>
        <w:rPr>
          <w:w w:val="110"/>
        </w:rPr>
        <w:t>2.4%</w:t>
      </w:r>
      <w:r>
        <w:rPr>
          <w:spacing w:val="-20"/>
          <w:w w:val="110"/>
        </w:rPr>
        <w:t> </w:t>
      </w:r>
      <w:r>
        <w:rPr>
          <w:w w:val="110"/>
        </w:rPr>
        <w:t>in</w:t>
      </w:r>
      <w:r>
        <w:rPr>
          <w:spacing w:val="-17"/>
          <w:w w:val="110"/>
        </w:rPr>
        <w:t> </w:t>
      </w:r>
      <w:r>
        <w:rPr>
          <w:w w:val="110"/>
        </w:rPr>
        <w:t>May</w:t>
      </w:r>
      <w:r>
        <w:rPr>
          <w:spacing w:val="-17"/>
          <w:w w:val="110"/>
        </w:rPr>
        <w:t> </w:t>
      </w:r>
      <w:r>
        <w:rPr>
          <w:w w:val="110"/>
        </w:rPr>
        <w:t>2025</w:t>
      </w:r>
    </w:p>
    <w:p>
      <w:pPr>
        <w:pStyle w:val="ListParagraph"/>
        <w:numPr>
          <w:ilvl w:val="0"/>
          <w:numId w:val="6"/>
        </w:numPr>
        <w:tabs>
          <w:tab w:pos="1116" w:val="left" w:leader="none"/>
        </w:tabs>
        <w:spacing w:line="223" w:lineRule="auto" w:before="157" w:after="0"/>
        <w:ind w:left="1115" w:right="73" w:hanging="272"/>
        <w:jc w:val="both"/>
        <w:rPr>
          <w:rFonts w:ascii="Arial" w:hAnsi="Arial"/>
          <w:sz w:val="28"/>
        </w:rPr>
      </w:pPr>
      <w:r>
        <w:rPr>
          <w:rFonts w:ascii="Gill Sans MT" w:hAnsi="Gill Sans MT"/>
          <w:w w:val="110"/>
          <w:sz w:val="28"/>
        </w:rPr>
        <w:t>Upward</w:t>
      </w:r>
      <w:r>
        <w:rPr>
          <w:rFonts w:ascii="Gill Sans MT" w:hAnsi="Gill Sans MT"/>
          <w:spacing w:val="-30"/>
          <w:w w:val="110"/>
          <w:sz w:val="28"/>
        </w:rPr>
        <w:t> </w:t>
      </w:r>
      <w:r>
        <w:rPr>
          <w:rFonts w:ascii="Gill Sans MT" w:hAnsi="Gill Sans MT"/>
          <w:w w:val="110"/>
          <w:sz w:val="28"/>
        </w:rPr>
        <w:t>pressure</w:t>
      </w:r>
      <w:r>
        <w:rPr>
          <w:rFonts w:ascii="Gill Sans MT" w:hAnsi="Gill Sans MT"/>
          <w:spacing w:val="-29"/>
          <w:w w:val="110"/>
          <w:sz w:val="28"/>
        </w:rPr>
        <w:t> </w:t>
      </w:r>
      <w:r>
        <w:rPr>
          <w:rFonts w:ascii="Gill Sans MT" w:hAnsi="Gill Sans MT"/>
          <w:w w:val="110"/>
          <w:sz w:val="28"/>
        </w:rPr>
        <w:t>on</w:t>
      </w:r>
      <w:r>
        <w:rPr>
          <w:rFonts w:ascii="Gill Sans MT" w:hAnsi="Gill Sans MT"/>
          <w:spacing w:val="-23"/>
          <w:w w:val="110"/>
          <w:sz w:val="28"/>
        </w:rPr>
        <w:t> </w:t>
      </w:r>
      <w:r>
        <w:rPr>
          <w:rFonts w:ascii="Gill Sans MT" w:hAnsi="Gill Sans MT"/>
          <w:w w:val="110"/>
          <w:sz w:val="28"/>
        </w:rPr>
        <w:t>inflation</w:t>
      </w:r>
      <w:r>
        <w:rPr>
          <w:rFonts w:ascii="Gill Sans MT" w:hAnsi="Gill Sans MT"/>
          <w:spacing w:val="-26"/>
          <w:w w:val="110"/>
          <w:sz w:val="28"/>
        </w:rPr>
        <w:t> </w:t>
      </w:r>
      <w:r>
        <w:rPr>
          <w:rFonts w:ascii="Gill Sans MT" w:hAnsi="Gill Sans MT"/>
          <w:w w:val="110"/>
          <w:sz w:val="28"/>
        </w:rPr>
        <w:t>remained</w:t>
      </w:r>
      <w:r>
        <w:rPr>
          <w:rFonts w:ascii="Gill Sans MT" w:hAnsi="Gill Sans MT"/>
          <w:spacing w:val="-26"/>
          <w:w w:val="110"/>
          <w:sz w:val="28"/>
        </w:rPr>
        <w:t> </w:t>
      </w:r>
      <w:r>
        <w:rPr>
          <w:rFonts w:ascii="Gill Sans MT" w:hAnsi="Gill Sans MT"/>
          <w:w w:val="110"/>
          <w:sz w:val="28"/>
        </w:rPr>
        <w:t>driven</w:t>
      </w:r>
      <w:r>
        <w:rPr>
          <w:rFonts w:ascii="Gill Sans MT" w:hAnsi="Gill Sans MT"/>
          <w:spacing w:val="-33"/>
          <w:w w:val="110"/>
          <w:sz w:val="28"/>
        </w:rPr>
        <w:t> </w:t>
      </w:r>
      <w:r>
        <w:rPr>
          <w:rFonts w:ascii="Gill Sans MT" w:hAnsi="Gill Sans MT"/>
          <w:w w:val="110"/>
          <w:sz w:val="28"/>
        </w:rPr>
        <w:t>by </w:t>
      </w:r>
      <w:r>
        <w:rPr>
          <w:rFonts w:ascii="Gill Sans MT" w:hAnsi="Gill Sans MT"/>
          <w:w w:val="115"/>
          <w:sz w:val="28"/>
        </w:rPr>
        <w:t>core</w:t>
      </w:r>
      <w:r>
        <w:rPr>
          <w:rFonts w:ascii="Gill Sans MT" w:hAnsi="Gill Sans MT"/>
          <w:spacing w:val="-38"/>
          <w:w w:val="115"/>
          <w:sz w:val="28"/>
        </w:rPr>
        <w:t> </w:t>
      </w:r>
      <w:r>
        <w:rPr>
          <w:rFonts w:ascii="Gill Sans MT" w:hAnsi="Gill Sans MT"/>
          <w:w w:val="115"/>
          <w:sz w:val="28"/>
        </w:rPr>
        <w:t>services,</w:t>
      </w:r>
      <w:r>
        <w:rPr>
          <w:rFonts w:ascii="Gill Sans MT" w:hAnsi="Gill Sans MT"/>
          <w:spacing w:val="-35"/>
          <w:w w:val="115"/>
          <w:sz w:val="28"/>
        </w:rPr>
        <w:t> </w:t>
      </w:r>
      <w:r>
        <w:rPr>
          <w:rFonts w:ascii="Gill Sans MT" w:hAnsi="Gill Sans MT"/>
          <w:w w:val="115"/>
          <w:sz w:val="28"/>
        </w:rPr>
        <w:t>such</w:t>
      </w:r>
      <w:r>
        <w:rPr>
          <w:rFonts w:ascii="Gill Sans MT" w:hAnsi="Gill Sans MT"/>
          <w:spacing w:val="-35"/>
          <w:w w:val="115"/>
          <w:sz w:val="28"/>
        </w:rPr>
        <w:t> </w:t>
      </w:r>
      <w:r>
        <w:rPr>
          <w:rFonts w:ascii="Gill Sans MT" w:hAnsi="Gill Sans MT"/>
          <w:w w:val="115"/>
          <w:sz w:val="28"/>
        </w:rPr>
        <w:t>as</w:t>
      </w:r>
      <w:r>
        <w:rPr>
          <w:rFonts w:ascii="Gill Sans MT" w:hAnsi="Gill Sans MT"/>
          <w:spacing w:val="-35"/>
          <w:w w:val="115"/>
          <w:sz w:val="28"/>
        </w:rPr>
        <w:t> </w:t>
      </w:r>
      <w:r>
        <w:rPr>
          <w:rFonts w:ascii="Gill Sans MT" w:hAnsi="Gill Sans MT"/>
          <w:w w:val="115"/>
          <w:sz w:val="28"/>
        </w:rPr>
        <w:t>shelter</w:t>
      </w:r>
      <w:r>
        <w:rPr>
          <w:rFonts w:ascii="Gill Sans MT" w:hAnsi="Gill Sans MT"/>
          <w:spacing w:val="-35"/>
          <w:w w:val="115"/>
          <w:sz w:val="28"/>
        </w:rPr>
        <w:t> </w:t>
      </w:r>
      <w:r>
        <w:rPr>
          <w:rFonts w:ascii="Gill Sans MT" w:hAnsi="Gill Sans MT"/>
          <w:w w:val="115"/>
          <w:sz w:val="28"/>
        </w:rPr>
        <w:t>costs,</w:t>
      </w:r>
      <w:r>
        <w:rPr>
          <w:rFonts w:ascii="Gill Sans MT" w:hAnsi="Gill Sans MT"/>
          <w:spacing w:val="-31"/>
          <w:w w:val="115"/>
          <w:sz w:val="28"/>
        </w:rPr>
        <w:t> </w:t>
      </w:r>
      <w:r>
        <w:rPr>
          <w:rFonts w:ascii="Gill Sans MT" w:hAnsi="Gill Sans MT"/>
          <w:w w:val="115"/>
          <w:sz w:val="28"/>
        </w:rPr>
        <w:t>which</w:t>
      </w:r>
      <w:r>
        <w:rPr>
          <w:rFonts w:ascii="Gill Sans MT" w:hAnsi="Gill Sans MT"/>
          <w:spacing w:val="-35"/>
          <w:w w:val="115"/>
          <w:sz w:val="28"/>
        </w:rPr>
        <w:t> </w:t>
      </w:r>
      <w:r>
        <w:rPr>
          <w:rFonts w:ascii="Gill Sans MT" w:hAnsi="Gill Sans MT"/>
          <w:w w:val="115"/>
          <w:sz w:val="28"/>
        </w:rPr>
        <w:t>have come</w:t>
      </w:r>
      <w:r>
        <w:rPr>
          <w:rFonts w:ascii="Gill Sans MT" w:hAnsi="Gill Sans MT"/>
          <w:spacing w:val="-36"/>
          <w:w w:val="115"/>
          <w:sz w:val="28"/>
        </w:rPr>
        <w:t> </w:t>
      </w:r>
      <w:r>
        <w:rPr>
          <w:rFonts w:ascii="Gill Sans MT" w:hAnsi="Gill Sans MT"/>
          <w:w w:val="115"/>
          <w:sz w:val="28"/>
        </w:rPr>
        <w:t>down</w:t>
      </w:r>
      <w:r>
        <w:rPr>
          <w:rFonts w:ascii="Gill Sans MT" w:hAnsi="Gill Sans MT"/>
          <w:spacing w:val="-37"/>
          <w:w w:val="115"/>
          <w:sz w:val="28"/>
        </w:rPr>
        <w:t> </w:t>
      </w:r>
      <w:r>
        <w:rPr>
          <w:rFonts w:ascii="Gill Sans MT" w:hAnsi="Gill Sans MT"/>
          <w:w w:val="115"/>
          <w:sz w:val="28"/>
        </w:rPr>
        <w:t>slower</w:t>
      </w:r>
      <w:r>
        <w:rPr>
          <w:rFonts w:ascii="Gill Sans MT" w:hAnsi="Gill Sans MT"/>
          <w:spacing w:val="-35"/>
          <w:w w:val="115"/>
          <w:sz w:val="28"/>
        </w:rPr>
        <w:t> </w:t>
      </w:r>
      <w:r>
        <w:rPr>
          <w:rFonts w:ascii="Gill Sans MT" w:hAnsi="Gill Sans MT"/>
          <w:w w:val="115"/>
          <w:sz w:val="28"/>
        </w:rPr>
        <w:t>than</w:t>
      </w:r>
      <w:r>
        <w:rPr>
          <w:rFonts w:ascii="Gill Sans MT" w:hAnsi="Gill Sans MT"/>
          <w:spacing w:val="-32"/>
          <w:w w:val="115"/>
          <w:sz w:val="28"/>
        </w:rPr>
        <w:t> </w:t>
      </w:r>
      <w:r>
        <w:rPr>
          <w:rFonts w:ascii="Gill Sans MT" w:hAnsi="Gill Sans MT"/>
          <w:w w:val="115"/>
          <w:sz w:val="28"/>
        </w:rPr>
        <w:t>other</w:t>
      </w:r>
      <w:r>
        <w:rPr>
          <w:rFonts w:ascii="Gill Sans MT" w:hAnsi="Gill Sans MT"/>
          <w:spacing w:val="-33"/>
          <w:w w:val="115"/>
          <w:sz w:val="28"/>
        </w:rPr>
        <w:t> </w:t>
      </w:r>
      <w:r>
        <w:rPr>
          <w:rFonts w:ascii="Gill Sans MT" w:hAnsi="Gill Sans MT"/>
          <w:w w:val="115"/>
          <w:sz w:val="28"/>
        </w:rPr>
        <w:t>categories</w:t>
      </w:r>
    </w:p>
    <w:p>
      <w:pPr>
        <w:pStyle w:val="ListParagraph"/>
        <w:numPr>
          <w:ilvl w:val="0"/>
          <w:numId w:val="6"/>
        </w:numPr>
        <w:tabs>
          <w:tab w:pos="1116" w:val="left" w:leader="none"/>
        </w:tabs>
        <w:spacing w:line="223" w:lineRule="auto" w:before="160" w:after="0"/>
        <w:ind w:left="1115" w:right="82" w:hanging="272"/>
        <w:jc w:val="left"/>
        <w:rPr>
          <w:rFonts w:ascii="Arial" w:hAnsi="Arial"/>
          <w:sz w:val="28"/>
        </w:rPr>
      </w:pPr>
      <w:r>
        <w:rPr>
          <w:rFonts w:ascii="Gill Sans MT" w:hAnsi="Gill Sans MT"/>
          <w:w w:val="115"/>
          <w:sz w:val="28"/>
        </w:rPr>
        <w:t>Low</w:t>
      </w:r>
      <w:r>
        <w:rPr>
          <w:rFonts w:ascii="Gill Sans MT" w:hAnsi="Gill Sans MT"/>
          <w:spacing w:val="-55"/>
          <w:w w:val="115"/>
          <w:sz w:val="28"/>
        </w:rPr>
        <w:t> </w:t>
      </w:r>
      <w:r>
        <w:rPr>
          <w:rFonts w:ascii="Gill Sans MT" w:hAnsi="Gill Sans MT"/>
          <w:w w:val="115"/>
          <w:sz w:val="28"/>
        </w:rPr>
        <w:t>core</w:t>
      </w:r>
      <w:r>
        <w:rPr>
          <w:rFonts w:ascii="Gill Sans MT" w:hAnsi="Gill Sans MT"/>
          <w:spacing w:val="-54"/>
          <w:w w:val="115"/>
          <w:sz w:val="28"/>
        </w:rPr>
        <w:t> </w:t>
      </w:r>
      <w:r>
        <w:rPr>
          <w:rFonts w:ascii="Gill Sans MT" w:hAnsi="Gill Sans MT"/>
          <w:w w:val="115"/>
          <w:sz w:val="28"/>
        </w:rPr>
        <w:t>goods</w:t>
      </w:r>
      <w:r>
        <w:rPr>
          <w:rFonts w:ascii="Gill Sans MT" w:hAnsi="Gill Sans MT"/>
          <w:spacing w:val="-54"/>
          <w:w w:val="115"/>
          <w:sz w:val="28"/>
        </w:rPr>
        <w:t> </w:t>
      </w:r>
      <w:r>
        <w:rPr>
          <w:rFonts w:ascii="Gill Sans MT" w:hAnsi="Gill Sans MT"/>
          <w:w w:val="115"/>
          <w:sz w:val="28"/>
        </w:rPr>
        <w:t>inflation</w:t>
      </w:r>
      <w:r>
        <w:rPr>
          <w:rFonts w:ascii="Gill Sans MT" w:hAnsi="Gill Sans MT"/>
          <w:spacing w:val="-54"/>
          <w:w w:val="115"/>
          <w:sz w:val="28"/>
        </w:rPr>
        <w:t> </w:t>
      </w:r>
      <w:r>
        <w:rPr>
          <w:rFonts w:ascii="Gill Sans MT" w:hAnsi="Gill Sans MT"/>
          <w:w w:val="115"/>
          <w:sz w:val="28"/>
        </w:rPr>
        <w:t>helped</w:t>
      </w:r>
      <w:r>
        <w:rPr>
          <w:rFonts w:ascii="Gill Sans MT" w:hAnsi="Gill Sans MT"/>
          <w:spacing w:val="-54"/>
          <w:w w:val="115"/>
          <w:sz w:val="28"/>
        </w:rPr>
        <w:t> </w:t>
      </w:r>
      <w:r>
        <w:rPr>
          <w:rFonts w:ascii="Gill Sans MT" w:hAnsi="Gill Sans MT"/>
          <w:w w:val="115"/>
          <w:sz w:val="28"/>
        </w:rPr>
        <w:t>dampen</w:t>
      </w:r>
      <w:r>
        <w:rPr>
          <w:rFonts w:ascii="Gill Sans MT" w:hAnsi="Gill Sans MT"/>
          <w:spacing w:val="-55"/>
          <w:w w:val="115"/>
          <w:sz w:val="28"/>
        </w:rPr>
        <w:t> </w:t>
      </w:r>
      <w:r>
        <w:rPr>
          <w:rFonts w:ascii="Gill Sans MT" w:hAnsi="Gill Sans MT"/>
          <w:w w:val="115"/>
          <w:sz w:val="28"/>
        </w:rPr>
        <w:t>overall price</w:t>
      </w:r>
      <w:r>
        <w:rPr>
          <w:rFonts w:ascii="Gill Sans MT" w:hAnsi="Gill Sans MT"/>
          <w:spacing w:val="-48"/>
          <w:w w:val="115"/>
          <w:sz w:val="28"/>
        </w:rPr>
        <w:t> </w:t>
      </w:r>
      <w:r>
        <w:rPr>
          <w:rFonts w:ascii="Gill Sans MT" w:hAnsi="Gill Sans MT"/>
          <w:w w:val="115"/>
          <w:sz w:val="28"/>
        </w:rPr>
        <w:t>growth;</w:t>
      </w:r>
      <w:r>
        <w:rPr>
          <w:rFonts w:ascii="Gill Sans MT" w:hAnsi="Gill Sans MT"/>
          <w:spacing w:val="-46"/>
          <w:w w:val="115"/>
          <w:sz w:val="28"/>
        </w:rPr>
        <w:t> </w:t>
      </w:r>
      <w:r>
        <w:rPr>
          <w:rFonts w:ascii="Gill Sans MT" w:hAnsi="Gill Sans MT"/>
          <w:w w:val="115"/>
          <w:sz w:val="28"/>
        </w:rPr>
        <w:t>the</w:t>
      </w:r>
      <w:r>
        <w:rPr>
          <w:rFonts w:ascii="Gill Sans MT" w:hAnsi="Gill Sans MT"/>
          <w:spacing w:val="-44"/>
          <w:w w:val="115"/>
          <w:sz w:val="28"/>
        </w:rPr>
        <w:t> </w:t>
      </w:r>
      <w:r>
        <w:rPr>
          <w:rFonts w:ascii="Gill Sans MT" w:hAnsi="Gill Sans MT"/>
          <w:w w:val="115"/>
          <w:sz w:val="28"/>
        </w:rPr>
        <w:t>potential</w:t>
      </w:r>
      <w:r>
        <w:rPr>
          <w:rFonts w:ascii="Gill Sans MT" w:hAnsi="Gill Sans MT"/>
          <w:spacing w:val="-48"/>
          <w:w w:val="115"/>
          <w:sz w:val="28"/>
        </w:rPr>
        <w:t> </w:t>
      </w:r>
      <w:r>
        <w:rPr>
          <w:rFonts w:ascii="Gill Sans MT" w:hAnsi="Gill Sans MT"/>
          <w:w w:val="115"/>
          <w:sz w:val="28"/>
        </w:rPr>
        <w:t>impacts</w:t>
      </w:r>
      <w:r>
        <w:rPr>
          <w:rFonts w:ascii="Gill Sans MT" w:hAnsi="Gill Sans MT"/>
          <w:spacing w:val="-46"/>
          <w:w w:val="115"/>
          <w:sz w:val="28"/>
        </w:rPr>
        <w:t> </w:t>
      </w:r>
      <w:r>
        <w:rPr>
          <w:rFonts w:ascii="Gill Sans MT" w:hAnsi="Gill Sans MT"/>
          <w:w w:val="115"/>
          <w:sz w:val="28"/>
        </w:rPr>
        <w:t>of</w:t>
      </w:r>
      <w:r>
        <w:rPr>
          <w:rFonts w:ascii="Gill Sans MT" w:hAnsi="Gill Sans MT"/>
          <w:spacing w:val="-44"/>
          <w:w w:val="115"/>
          <w:sz w:val="28"/>
        </w:rPr>
        <w:t> </w:t>
      </w:r>
      <w:r>
        <w:rPr>
          <w:rFonts w:ascii="Gill Sans MT" w:hAnsi="Gill Sans MT"/>
          <w:w w:val="115"/>
          <w:sz w:val="28"/>
        </w:rPr>
        <w:t>tariffs</w:t>
      </w:r>
      <w:r>
        <w:rPr>
          <w:rFonts w:ascii="Gill Sans MT" w:hAnsi="Gill Sans MT"/>
          <w:spacing w:val="-48"/>
          <w:w w:val="115"/>
          <w:sz w:val="28"/>
        </w:rPr>
        <w:t> </w:t>
      </w:r>
      <w:r>
        <w:rPr>
          <w:rFonts w:ascii="Gill Sans MT" w:hAnsi="Gill Sans MT"/>
          <w:w w:val="115"/>
          <w:sz w:val="28"/>
        </w:rPr>
        <w:t>and global conflict on supply chains pose a risk to this</w:t>
      </w:r>
      <w:r>
        <w:rPr>
          <w:rFonts w:ascii="Gill Sans MT" w:hAnsi="Gill Sans MT"/>
          <w:spacing w:val="-18"/>
          <w:w w:val="115"/>
          <w:sz w:val="28"/>
        </w:rPr>
        <w:t> </w:t>
      </w:r>
      <w:r>
        <w:rPr>
          <w:rFonts w:ascii="Gill Sans MT" w:hAnsi="Gill Sans MT"/>
          <w:w w:val="115"/>
          <w:sz w:val="28"/>
        </w:rPr>
        <w:t>trend</w:t>
      </w:r>
    </w:p>
    <w:p>
      <w:pPr>
        <w:pStyle w:val="BodyText"/>
        <w:spacing w:before="10"/>
        <w:rPr>
          <w:rFonts w:ascii="Gill Sans MT"/>
          <w:sz w:val="39"/>
        </w:rPr>
      </w:pPr>
    </w:p>
    <w:p>
      <w:pPr>
        <w:spacing w:line="223" w:lineRule="auto" w:before="0"/>
        <w:ind w:left="844" w:right="0" w:firstLine="0"/>
        <w:jc w:val="left"/>
        <w:rPr>
          <w:rFonts w:ascii="Gill Sans MT"/>
          <w:sz w:val="32"/>
        </w:rPr>
      </w:pPr>
      <w:r>
        <w:rPr>
          <w:rFonts w:ascii="Gill Sans MT"/>
          <w:w w:val="110"/>
          <w:sz w:val="32"/>
        </w:rPr>
        <w:t>The</w:t>
      </w:r>
      <w:r>
        <w:rPr>
          <w:rFonts w:ascii="Gill Sans MT"/>
          <w:spacing w:val="-25"/>
          <w:w w:val="110"/>
          <w:sz w:val="32"/>
        </w:rPr>
        <w:t> </w:t>
      </w:r>
      <w:r>
        <w:rPr>
          <w:rFonts w:ascii="Gill Sans MT"/>
          <w:w w:val="110"/>
          <w:sz w:val="32"/>
        </w:rPr>
        <w:t>Federal</w:t>
      </w:r>
      <w:r>
        <w:rPr>
          <w:rFonts w:ascii="Gill Sans MT"/>
          <w:spacing w:val="-24"/>
          <w:w w:val="110"/>
          <w:sz w:val="32"/>
        </w:rPr>
        <w:t> </w:t>
      </w:r>
      <w:r>
        <w:rPr>
          <w:rFonts w:ascii="Gill Sans MT"/>
          <w:w w:val="110"/>
          <w:sz w:val="32"/>
        </w:rPr>
        <w:t>Reserve</w:t>
      </w:r>
      <w:r>
        <w:rPr>
          <w:rFonts w:ascii="Gill Sans MT"/>
          <w:spacing w:val="-28"/>
          <w:w w:val="110"/>
          <w:sz w:val="32"/>
        </w:rPr>
        <w:t> </w:t>
      </w:r>
      <w:r>
        <w:rPr>
          <w:rFonts w:ascii="Gill Sans MT"/>
          <w:w w:val="110"/>
          <w:sz w:val="32"/>
        </w:rPr>
        <w:t>has</w:t>
      </w:r>
      <w:r>
        <w:rPr>
          <w:rFonts w:ascii="Gill Sans MT"/>
          <w:spacing w:val="-27"/>
          <w:w w:val="110"/>
          <w:sz w:val="32"/>
        </w:rPr>
        <w:t> </w:t>
      </w:r>
      <w:r>
        <w:rPr>
          <w:rFonts w:ascii="Gill Sans MT"/>
          <w:w w:val="110"/>
          <w:sz w:val="32"/>
        </w:rPr>
        <w:t>maintained</w:t>
      </w:r>
      <w:r>
        <w:rPr>
          <w:rFonts w:ascii="Gill Sans MT"/>
          <w:spacing w:val="-26"/>
          <w:w w:val="110"/>
          <w:sz w:val="32"/>
        </w:rPr>
        <w:t> </w:t>
      </w:r>
      <w:r>
        <w:rPr>
          <w:rFonts w:ascii="Gill Sans MT"/>
          <w:w w:val="110"/>
          <w:sz w:val="32"/>
        </w:rPr>
        <w:t>the</w:t>
      </w:r>
      <w:r>
        <w:rPr>
          <w:rFonts w:ascii="Gill Sans MT"/>
          <w:spacing w:val="-28"/>
          <w:w w:val="110"/>
          <w:sz w:val="32"/>
        </w:rPr>
        <w:t> </w:t>
      </w:r>
      <w:r>
        <w:rPr>
          <w:rFonts w:ascii="Gill Sans MT"/>
          <w:w w:val="110"/>
          <w:sz w:val="32"/>
        </w:rPr>
        <w:t>Fed Funds</w:t>
      </w:r>
      <w:r>
        <w:rPr>
          <w:rFonts w:ascii="Gill Sans MT"/>
          <w:spacing w:val="-30"/>
          <w:w w:val="110"/>
          <w:sz w:val="32"/>
        </w:rPr>
        <w:t> </w:t>
      </w:r>
      <w:r>
        <w:rPr>
          <w:rFonts w:ascii="Gill Sans MT"/>
          <w:w w:val="110"/>
          <w:sz w:val="32"/>
        </w:rPr>
        <w:t>rate</w:t>
      </w:r>
      <w:r>
        <w:rPr>
          <w:rFonts w:ascii="Gill Sans MT"/>
          <w:spacing w:val="-29"/>
          <w:w w:val="110"/>
          <w:sz w:val="32"/>
        </w:rPr>
        <w:t> </w:t>
      </w:r>
      <w:r>
        <w:rPr>
          <w:rFonts w:ascii="Gill Sans MT"/>
          <w:w w:val="110"/>
          <w:sz w:val="32"/>
        </w:rPr>
        <w:t>in</w:t>
      </w:r>
      <w:r>
        <w:rPr>
          <w:rFonts w:ascii="Gill Sans MT"/>
          <w:spacing w:val="-27"/>
          <w:w w:val="110"/>
          <w:sz w:val="32"/>
        </w:rPr>
        <w:t> </w:t>
      </w:r>
      <w:r>
        <w:rPr>
          <w:rFonts w:ascii="Gill Sans MT"/>
          <w:w w:val="110"/>
          <w:sz w:val="32"/>
        </w:rPr>
        <w:t>2025</w:t>
      </w:r>
    </w:p>
    <w:p>
      <w:pPr>
        <w:pStyle w:val="ListParagraph"/>
        <w:numPr>
          <w:ilvl w:val="0"/>
          <w:numId w:val="6"/>
        </w:numPr>
        <w:tabs>
          <w:tab w:pos="1116" w:val="left" w:leader="none"/>
        </w:tabs>
        <w:spacing w:line="223" w:lineRule="auto" w:before="160" w:after="0"/>
        <w:ind w:left="1115" w:right="60" w:hanging="272"/>
        <w:jc w:val="left"/>
        <w:rPr>
          <w:rFonts w:ascii="Arial" w:hAnsi="Arial"/>
          <w:sz w:val="28"/>
        </w:rPr>
      </w:pPr>
      <w:r>
        <w:rPr>
          <w:rFonts w:ascii="Gill Sans MT" w:hAnsi="Gill Sans MT"/>
          <w:w w:val="115"/>
          <w:sz w:val="28"/>
        </w:rPr>
        <w:t>Stubborn</w:t>
      </w:r>
      <w:r>
        <w:rPr>
          <w:rFonts w:ascii="Gill Sans MT" w:hAnsi="Gill Sans MT"/>
          <w:spacing w:val="-44"/>
          <w:w w:val="115"/>
          <w:sz w:val="28"/>
        </w:rPr>
        <w:t> </w:t>
      </w:r>
      <w:r>
        <w:rPr>
          <w:rFonts w:ascii="Gill Sans MT" w:hAnsi="Gill Sans MT"/>
          <w:w w:val="115"/>
          <w:sz w:val="28"/>
        </w:rPr>
        <w:t>inflation</w:t>
      </w:r>
      <w:r>
        <w:rPr>
          <w:rFonts w:ascii="Gill Sans MT" w:hAnsi="Gill Sans MT"/>
          <w:spacing w:val="-42"/>
          <w:w w:val="115"/>
          <w:sz w:val="28"/>
        </w:rPr>
        <w:t> </w:t>
      </w:r>
      <w:r>
        <w:rPr>
          <w:rFonts w:ascii="Gill Sans MT" w:hAnsi="Gill Sans MT"/>
          <w:w w:val="115"/>
          <w:sz w:val="28"/>
        </w:rPr>
        <w:t>and</w:t>
      </w:r>
      <w:r>
        <w:rPr>
          <w:rFonts w:ascii="Gill Sans MT" w:hAnsi="Gill Sans MT"/>
          <w:spacing w:val="-43"/>
          <w:w w:val="115"/>
          <w:sz w:val="28"/>
        </w:rPr>
        <w:t> </w:t>
      </w:r>
      <w:r>
        <w:rPr>
          <w:rFonts w:ascii="Gill Sans MT" w:hAnsi="Gill Sans MT"/>
          <w:w w:val="115"/>
          <w:sz w:val="28"/>
        </w:rPr>
        <w:t>a</w:t>
      </w:r>
      <w:r>
        <w:rPr>
          <w:rFonts w:ascii="Gill Sans MT" w:hAnsi="Gill Sans MT"/>
          <w:spacing w:val="-40"/>
          <w:w w:val="115"/>
          <w:sz w:val="28"/>
        </w:rPr>
        <w:t> </w:t>
      </w:r>
      <w:r>
        <w:rPr>
          <w:rFonts w:ascii="Gill Sans MT" w:hAnsi="Gill Sans MT"/>
          <w:w w:val="115"/>
          <w:sz w:val="28"/>
        </w:rPr>
        <w:t>resilient</w:t>
      </w:r>
      <w:r>
        <w:rPr>
          <w:rFonts w:ascii="Gill Sans MT" w:hAnsi="Gill Sans MT"/>
          <w:spacing w:val="-44"/>
          <w:w w:val="115"/>
          <w:sz w:val="28"/>
        </w:rPr>
        <w:t> </w:t>
      </w:r>
      <w:r>
        <w:rPr>
          <w:rFonts w:ascii="Gill Sans MT" w:hAnsi="Gill Sans MT"/>
          <w:w w:val="115"/>
          <w:sz w:val="28"/>
        </w:rPr>
        <w:t>labor</w:t>
      </w:r>
      <w:r>
        <w:rPr>
          <w:rFonts w:ascii="Gill Sans MT" w:hAnsi="Gill Sans MT"/>
          <w:spacing w:val="-42"/>
          <w:w w:val="115"/>
          <w:sz w:val="28"/>
        </w:rPr>
        <w:t> </w:t>
      </w:r>
      <w:r>
        <w:rPr>
          <w:rFonts w:ascii="Gill Sans MT" w:hAnsi="Gill Sans MT"/>
          <w:w w:val="115"/>
          <w:sz w:val="28"/>
        </w:rPr>
        <w:t>market have</w:t>
      </w:r>
      <w:r>
        <w:rPr>
          <w:rFonts w:ascii="Gill Sans MT" w:hAnsi="Gill Sans MT"/>
          <w:spacing w:val="-38"/>
          <w:w w:val="115"/>
          <w:sz w:val="28"/>
        </w:rPr>
        <w:t> </w:t>
      </w:r>
      <w:r>
        <w:rPr>
          <w:rFonts w:ascii="Gill Sans MT" w:hAnsi="Gill Sans MT"/>
          <w:w w:val="115"/>
          <w:sz w:val="28"/>
        </w:rPr>
        <w:t>led</w:t>
      </w:r>
      <w:r>
        <w:rPr>
          <w:rFonts w:ascii="Gill Sans MT" w:hAnsi="Gill Sans MT"/>
          <w:spacing w:val="-38"/>
          <w:w w:val="115"/>
          <w:sz w:val="28"/>
        </w:rPr>
        <w:t> </w:t>
      </w:r>
      <w:r>
        <w:rPr>
          <w:rFonts w:ascii="Gill Sans MT" w:hAnsi="Gill Sans MT"/>
          <w:w w:val="115"/>
          <w:sz w:val="28"/>
        </w:rPr>
        <w:t>the</w:t>
      </w:r>
      <w:r>
        <w:rPr>
          <w:rFonts w:ascii="Gill Sans MT" w:hAnsi="Gill Sans MT"/>
          <w:spacing w:val="-35"/>
          <w:w w:val="115"/>
          <w:sz w:val="28"/>
        </w:rPr>
        <w:t> </w:t>
      </w:r>
      <w:r>
        <w:rPr>
          <w:rFonts w:ascii="Gill Sans MT" w:hAnsi="Gill Sans MT"/>
          <w:w w:val="115"/>
          <w:sz w:val="28"/>
        </w:rPr>
        <w:t>Fed</w:t>
      </w:r>
      <w:r>
        <w:rPr>
          <w:rFonts w:ascii="Gill Sans MT" w:hAnsi="Gill Sans MT"/>
          <w:spacing w:val="-37"/>
          <w:w w:val="115"/>
          <w:sz w:val="28"/>
        </w:rPr>
        <w:t> </w:t>
      </w:r>
      <w:r>
        <w:rPr>
          <w:rFonts w:ascii="Gill Sans MT" w:hAnsi="Gill Sans MT"/>
          <w:w w:val="115"/>
          <w:sz w:val="28"/>
        </w:rPr>
        <w:t>to</w:t>
      </w:r>
      <w:r>
        <w:rPr>
          <w:rFonts w:ascii="Gill Sans MT" w:hAnsi="Gill Sans MT"/>
          <w:spacing w:val="-35"/>
          <w:w w:val="115"/>
          <w:sz w:val="28"/>
        </w:rPr>
        <w:t> </w:t>
      </w:r>
      <w:r>
        <w:rPr>
          <w:rFonts w:ascii="Gill Sans MT" w:hAnsi="Gill Sans MT"/>
          <w:w w:val="115"/>
          <w:sz w:val="28"/>
        </w:rPr>
        <w:t>pause</w:t>
      </w:r>
      <w:r>
        <w:rPr>
          <w:rFonts w:ascii="Gill Sans MT" w:hAnsi="Gill Sans MT"/>
          <w:spacing w:val="-38"/>
          <w:w w:val="115"/>
          <w:sz w:val="28"/>
        </w:rPr>
        <w:t> </w:t>
      </w:r>
      <w:r>
        <w:rPr>
          <w:rFonts w:ascii="Gill Sans MT" w:hAnsi="Gill Sans MT"/>
          <w:w w:val="115"/>
          <w:sz w:val="28"/>
        </w:rPr>
        <w:t>on</w:t>
      </w:r>
      <w:r>
        <w:rPr>
          <w:rFonts w:ascii="Gill Sans MT" w:hAnsi="Gill Sans MT"/>
          <w:spacing w:val="-35"/>
          <w:w w:val="115"/>
          <w:sz w:val="28"/>
        </w:rPr>
        <w:t> </w:t>
      </w:r>
      <w:r>
        <w:rPr>
          <w:rFonts w:ascii="Gill Sans MT" w:hAnsi="Gill Sans MT"/>
          <w:w w:val="115"/>
          <w:sz w:val="28"/>
        </w:rPr>
        <w:t>rate</w:t>
      </w:r>
      <w:r>
        <w:rPr>
          <w:rFonts w:ascii="Gill Sans MT" w:hAnsi="Gill Sans MT"/>
          <w:spacing w:val="-38"/>
          <w:w w:val="115"/>
          <w:sz w:val="28"/>
        </w:rPr>
        <w:t> </w:t>
      </w:r>
      <w:r>
        <w:rPr>
          <w:rFonts w:ascii="Gill Sans MT" w:hAnsi="Gill Sans MT"/>
          <w:w w:val="115"/>
          <w:sz w:val="28"/>
        </w:rPr>
        <w:t>cuts,</w:t>
      </w:r>
      <w:r>
        <w:rPr>
          <w:rFonts w:ascii="Gill Sans MT" w:hAnsi="Gill Sans MT"/>
          <w:spacing w:val="-35"/>
          <w:w w:val="115"/>
          <w:sz w:val="28"/>
        </w:rPr>
        <w:t> </w:t>
      </w:r>
      <w:r>
        <w:rPr>
          <w:rFonts w:ascii="Gill Sans MT" w:hAnsi="Gill Sans MT"/>
          <w:w w:val="115"/>
          <w:sz w:val="28"/>
        </w:rPr>
        <w:t>aiming</w:t>
      </w:r>
      <w:r>
        <w:rPr>
          <w:rFonts w:ascii="Gill Sans MT" w:hAnsi="Gill Sans MT"/>
          <w:spacing w:val="-39"/>
          <w:w w:val="115"/>
          <w:sz w:val="28"/>
        </w:rPr>
        <w:t> </w:t>
      </w:r>
      <w:r>
        <w:rPr>
          <w:rFonts w:ascii="Gill Sans MT" w:hAnsi="Gill Sans MT"/>
          <w:w w:val="115"/>
          <w:sz w:val="28"/>
        </w:rPr>
        <w:t>to avoid</w:t>
      </w:r>
      <w:r>
        <w:rPr>
          <w:rFonts w:ascii="Gill Sans MT" w:hAnsi="Gill Sans MT"/>
          <w:spacing w:val="-32"/>
          <w:w w:val="115"/>
          <w:sz w:val="28"/>
        </w:rPr>
        <w:t> </w:t>
      </w:r>
      <w:r>
        <w:rPr>
          <w:rFonts w:ascii="Gill Sans MT" w:hAnsi="Gill Sans MT"/>
          <w:w w:val="115"/>
          <w:sz w:val="28"/>
        </w:rPr>
        <w:t>the</w:t>
      </w:r>
      <w:r>
        <w:rPr>
          <w:rFonts w:ascii="Gill Sans MT" w:hAnsi="Gill Sans MT"/>
          <w:spacing w:val="-25"/>
          <w:w w:val="115"/>
          <w:sz w:val="28"/>
        </w:rPr>
        <w:t> </w:t>
      </w:r>
      <w:r>
        <w:rPr>
          <w:rFonts w:ascii="Gill Sans MT" w:hAnsi="Gill Sans MT"/>
          <w:w w:val="115"/>
          <w:sz w:val="28"/>
        </w:rPr>
        <w:t>risk</w:t>
      </w:r>
      <w:r>
        <w:rPr>
          <w:rFonts w:ascii="Gill Sans MT" w:hAnsi="Gill Sans MT"/>
          <w:spacing w:val="-25"/>
          <w:w w:val="115"/>
          <w:sz w:val="28"/>
        </w:rPr>
        <w:t> </w:t>
      </w:r>
      <w:r>
        <w:rPr>
          <w:rFonts w:ascii="Gill Sans MT" w:hAnsi="Gill Sans MT"/>
          <w:w w:val="115"/>
          <w:sz w:val="28"/>
        </w:rPr>
        <w:t>of</w:t>
      </w:r>
      <w:r>
        <w:rPr>
          <w:rFonts w:ascii="Gill Sans MT" w:hAnsi="Gill Sans MT"/>
          <w:spacing w:val="-28"/>
          <w:w w:val="115"/>
          <w:sz w:val="28"/>
        </w:rPr>
        <w:t> </w:t>
      </w:r>
      <w:r>
        <w:rPr>
          <w:rFonts w:ascii="Gill Sans MT" w:hAnsi="Gill Sans MT"/>
          <w:w w:val="115"/>
          <w:sz w:val="28"/>
        </w:rPr>
        <w:t>a</w:t>
      </w:r>
      <w:r>
        <w:rPr>
          <w:rFonts w:ascii="Gill Sans MT" w:hAnsi="Gill Sans MT"/>
          <w:spacing w:val="-26"/>
          <w:w w:val="115"/>
          <w:sz w:val="28"/>
        </w:rPr>
        <w:t> </w:t>
      </w:r>
      <w:r>
        <w:rPr>
          <w:rFonts w:ascii="Gill Sans MT" w:hAnsi="Gill Sans MT"/>
          <w:w w:val="115"/>
          <w:sz w:val="28"/>
        </w:rPr>
        <w:t>second</w:t>
      </w:r>
      <w:r>
        <w:rPr>
          <w:rFonts w:ascii="Gill Sans MT" w:hAnsi="Gill Sans MT"/>
          <w:spacing w:val="-29"/>
          <w:w w:val="115"/>
          <w:sz w:val="28"/>
        </w:rPr>
        <w:t> </w:t>
      </w:r>
      <w:r>
        <w:rPr>
          <w:rFonts w:ascii="Gill Sans MT" w:hAnsi="Gill Sans MT"/>
          <w:w w:val="115"/>
          <w:sz w:val="28"/>
        </w:rPr>
        <w:t>wave</w:t>
      </w:r>
      <w:r>
        <w:rPr>
          <w:rFonts w:ascii="Gill Sans MT" w:hAnsi="Gill Sans MT"/>
          <w:spacing w:val="-31"/>
          <w:w w:val="115"/>
          <w:sz w:val="28"/>
        </w:rPr>
        <w:t> </w:t>
      </w:r>
      <w:r>
        <w:rPr>
          <w:rFonts w:ascii="Gill Sans MT" w:hAnsi="Gill Sans MT"/>
          <w:w w:val="115"/>
          <w:sz w:val="28"/>
        </w:rPr>
        <w:t>of</w:t>
      </w:r>
      <w:r>
        <w:rPr>
          <w:rFonts w:ascii="Gill Sans MT" w:hAnsi="Gill Sans MT"/>
          <w:spacing w:val="-25"/>
          <w:w w:val="115"/>
          <w:sz w:val="28"/>
        </w:rPr>
        <w:t> </w:t>
      </w:r>
      <w:r>
        <w:rPr>
          <w:rFonts w:ascii="Gill Sans MT" w:hAnsi="Gill Sans MT"/>
          <w:w w:val="115"/>
          <w:sz w:val="28"/>
        </w:rPr>
        <w:t>inflation</w:t>
      </w:r>
    </w:p>
    <w:p>
      <w:pPr>
        <w:pStyle w:val="ListParagraph"/>
        <w:numPr>
          <w:ilvl w:val="0"/>
          <w:numId w:val="6"/>
        </w:numPr>
        <w:tabs>
          <w:tab w:pos="1116" w:val="left" w:leader="none"/>
        </w:tabs>
        <w:spacing w:line="223" w:lineRule="auto" w:before="160" w:after="0"/>
        <w:ind w:left="1115" w:right="83" w:hanging="272"/>
        <w:jc w:val="left"/>
        <w:rPr>
          <w:rFonts w:ascii="Arial" w:hAnsi="Arial"/>
          <w:sz w:val="28"/>
        </w:rPr>
      </w:pPr>
      <w:r>
        <w:rPr>
          <w:rFonts w:ascii="Gill Sans MT" w:hAnsi="Gill Sans MT"/>
          <w:w w:val="110"/>
          <w:sz w:val="28"/>
        </w:rPr>
        <w:t>Expectations</w:t>
      </w:r>
      <w:r>
        <w:rPr>
          <w:rFonts w:ascii="Gill Sans MT" w:hAnsi="Gill Sans MT"/>
          <w:spacing w:val="-13"/>
          <w:w w:val="110"/>
          <w:sz w:val="28"/>
        </w:rPr>
        <w:t> </w:t>
      </w:r>
      <w:r>
        <w:rPr>
          <w:rFonts w:ascii="Gill Sans MT" w:hAnsi="Gill Sans MT"/>
          <w:w w:val="110"/>
          <w:sz w:val="28"/>
        </w:rPr>
        <w:t>have</w:t>
      </w:r>
      <w:r>
        <w:rPr>
          <w:rFonts w:ascii="Gill Sans MT" w:hAnsi="Gill Sans MT"/>
          <w:spacing w:val="-13"/>
          <w:w w:val="110"/>
          <w:sz w:val="28"/>
        </w:rPr>
        <w:t> </w:t>
      </w:r>
      <w:r>
        <w:rPr>
          <w:rFonts w:ascii="Gill Sans MT" w:hAnsi="Gill Sans MT"/>
          <w:w w:val="110"/>
          <w:sz w:val="28"/>
        </w:rPr>
        <w:t>diverged;</w:t>
      </w:r>
      <w:r>
        <w:rPr>
          <w:rFonts w:ascii="Gill Sans MT" w:hAnsi="Gill Sans MT"/>
          <w:spacing w:val="-18"/>
          <w:w w:val="110"/>
          <w:sz w:val="28"/>
        </w:rPr>
        <w:t> </w:t>
      </w:r>
      <w:r>
        <w:rPr>
          <w:rFonts w:ascii="Gill Sans MT" w:hAnsi="Gill Sans MT"/>
          <w:w w:val="110"/>
          <w:sz w:val="28"/>
        </w:rPr>
        <w:t>the</w:t>
      </w:r>
      <w:r>
        <w:rPr>
          <w:rFonts w:ascii="Gill Sans MT" w:hAnsi="Gill Sans MT"/>
          <w:spacing w:val="-9"/>
          <w:w w:val="110"/>
          <w:sz w:val="28"/>
        </w:rPr>
        <w:t> </w:t>
      </w:r>
      <w:r>
        <w:rPr>
          <w:rFonts w:ascii="Gill Sans MT" w:hAnsi="Gill Sans MT"/>
          <w:w w:val="110"/>
          <w:sz w:val="28"/>
        </w:rPr>
        <w:t>Federal</w:t>
      </w:r>
      <w:r>
        <w:rPr>
          <w:rFonts w:ascii="Gill Sans MT" w:hAnsi="Gill Sans MT"/>
          <w:spacing w:val="-19"/>
          <w:w w:val="110"/>
          <w:sz w:val="28"/>
        </w:rPr>
        <w:t> </w:t>
      </w:r>
      <w:r>
        <w:rPr>
          <w:rFonts w:ascii="Gill Sans MT" w:hAnsi="Gill Sans MT"/>
          <w:w w:val="110"/>
          <w:sz w:val="28"/>
        </w:rPr>
        <w:t>Reserve now projects fewer rate cuts, while the market anticipates more cuts by the end of 2026 than it did</w:t>
      </w:r>
      <w:r>
        <w:rPr>
          <w:rFonts w:ascii="Gill Sans MT" w:hAnsi="Gill Sans MT"/>
          <w:spacing w:val="-16"/>
          <w:w w:val="110"/>
          <w:sz w:val="28"/>
        </w:rPr>
        <w:t> </w:t>
      </w:r>
      <w:r>
        <w:rPr>
          <w:rFonts w:ascii="Gill Sans MT" w:hAnsi="Gill Sans MT"/>
          <w:w w:val="110"/>
          <w:sz w:val="28"/>
        </w:rPr>
        <w:t>at</w:t>
      </w:r>
      <w:r>
        <w:rPr>
          <w:rFonts w:ascii="Gill Sans MT" w:hAnsi="Gill Sans MT"/>
          <w:spacing w:val="-15"/>
          <w:w w:val="110"/>
          <w:sz w:val="28"/>
        </w:rPr>
        <w:t> </w:t>
      </w:r>
      <w:r>
        <w:rPr>
          <w:rFonts w:ascii="Gill Sans MT" w:hAnsi="Gill Sans MT"/>
          <w:w w:val="110"/>
          <w:sz w:val="28"/>
        </w:rPr>
        <w:t>the</w:t>
      </w:r>
      <w:r>
        <w:rPr>
          <w:rFonts w:ascii="Gill Sans MT" w:hAnsi="Gill Sans MT"/>
          <w:spacing w:val="-14"/>
          <w:w w:val="110"/>
          <w:sz w:val="28"/>
        </w:rPr>
        <w:t> </w:t>
      </w:r>
      <w:r>
        <w:rPr>
          <w:rFonts w:ascii="Gill Sans MT" w:hAnsi="Gill Sans MT"/>
          <w:w w:val="110"/>
          <w:sz w:val="28"/>
        </w:rPr>
        <w:t>beginning</w:t>
      </w:r>
      <w:r>
        <w:rPr>
          <w:rFonts w:ascii="Gill Sans MT" w:hAnsi="Gill Sans MT"/>
          <w:spacing w:val="-21"/>
          <w:w w:val="110"/>
          <w:sz w:val="28"/>
        </w:rPr>
        <w:t> </w:t>
      </w:r>
      <w:r>
        <w:rPr>
          <w:rFonts w:ascii="Gill Sans MT" w:hAnsi="Gill Sans MT"/>
          <w:w w:val="110"/>
          <w:sz w:val="28"/>
        </w:rPr>
        <w:t>of</w:t>
      </w:r>
      <w:r>
        <w:rPr>
          <w:rFonts w:ascii="Gill Sans MT" w:hAnsi="Gill Sans MT"/>
          <w:spacing w:val="-14"/>
          <w:w w:val="110"/>
          <w:sz w:val="28"/>
        </w:rPr>
        <w:t> </w:t>
      </w:r>
      <w:r>
        <w:rPr>
          <w:rFonts w:ascii="Gill Sans MT" w:hAnsi="Gill Sans MT"/>
          <w:w w:val="110"/>
          <w:sz w:val="28"/>
        </w:rPr>
        <w:t>the</w:t>
      </w:r>
      <w:r>
        <w:rPr>
          <w:rFonts w:ascii="Gill Sans MT" w:hAnsi="Gill Sans MT"/>
          <w:spacing w:val="-15"/>
          <w:w w:val="110"/>
          <w:sz w:val="28"/>
        </w:rPr>
        <w:t> </w:t>
      </w:r>
      <w:r>
        <w:rPr>
          <w:rFonts w:ascii="Gill Sans MT" w:hAnsi="Gill Sans MT"/>
          <w:w w:val="110"/>
          <w:sz w:val="28"/>
        </w:rPr>
        <w:t>year</w:t>
      </w:r>
    </w:p>
    <w:p>
      <w:pPr>
        <w:spacing w:before="234"/>
        <w:ind w:left="1624" w:right="1383" w:firstLine="0"/>
        <w:jc w:val="center"/>
        <w:rPr>
          <w:rFonts w:ascii="Gill Sans MT"/>
          <w:sz w:val="32"/>
        </w:rPr>
      </w:pPr>
      <w:r>
        <w:rPr/>
        <w:br w:type="column"/>
      </w:r>
      <w:r>
        <w:rPr>
          <w:rFonts w:ascii="Gill Sans MT"/>
          <w:w w:val="110"/>
          <w:sz w:val="32"/>
        </w:rPr>
        <w:t>Headline and Core</w:t>
      </w:r>
      <w:r>
        <w:rPr>
          <w:rFonts w:ascii="Gill Sans MT"/>
          <w:spacing w:val="-56"/>
          <w:w w:val="110"/>
          <w:sz w:val="32"/>
        </w:rPr>
        <w:t> </w:t>
      </w:r>
      <w:r>
        <w:rPr>
          <w:rFonts w:ascii="Gill Sans MT"/>
          <w:w w:val="110"/>
          <w:sz w:val="32"/>
        </w:rPr>
        <w:t>Inflation</w:t>
      </w:r>
    </w:p>
    <w:p>
      <w:pPr>
        <w:spacing w:before="9"/>
        <w:ind w:left="1624" w:right="1382" w:firstLine="0"/>
        <w:jc w:val="center"/>
        <w:rPr>
          <w:rFonts w:ascii="Gill Sans MT"/>
          <w:sz w:val="21"/>
        </w:rPr>
      </w:pPr>
      <w:r>
        <w:rPr>
          <w:rFonts w:ascii="Gill Sans MT"/>
          <w:w w:val="115"/>
          <w:sz w:val="21"/>
        </w:rPr>
        <w:t>percent change from year ago</w:t>
      </w:r>
    </w:p>
    <w:p>
      <w:pPr>
        <w:spacing w:before="84"/>
        <w:ind w:left="852" w:right="0" w:firstLine="0"/>
        <w:jc w:val="left"/>
        <w:rPr>
          <w:rFonts w:ascii="Gill Sans MT"/>
          <w:sz w:val="21"/>
        </w:rPr>
      </w:pPr>
      <w:r>
        <w:rPr/>
        <w:pict>
          <v:group style="position:absolute;margin-left:434.480011pt;margin-top:6.491603pt;width:257.95pt;height:97.7pt;mso-position-horizontal-relative:page;mso-position-vertical-relative:paragraph;z-index:251731968" coordorigin="8690,130" coordsize="5159,1954">
            <v:shape style="position:absolute;left:8699;top:617;width:5149;height:802" coordorigin="8700,618" coordsize="5149,802" path="m8700,1419l13849,1419m8700,1018l13849,1018m8700,618l13849,618e" filled="false" stroked="true" strokeweight=".75pt" strokecolor="#d9d9d9">
              <v:path arrowok="t"/>
              <v:stroke dashstyle="solid"/>
            </v:shape>
            <v:shape style="position:absolute;left:8748;top:617;width:5052;height:1023" coordorigin="8748,618" coordsize="5052,1023" path="m8748,1640l8846,1599,8942,1470,9041,1268,9137,1162,9235,1110,9331,1117,9427,1129,9526,1105,9622,990,9720,903,9816,865,9914,807,10010,759,10109,680,10205,721,10303,680,10399,618,10498,692,10594,723,10692,723,10788,783,10886,867,10982,963,11081,973,11177,1026,11275,1162,11371,1160,11470,1270,11566,1412,11662,1383,11760,1323,11856,1328,11954,1388,12050,1402,12149,1376,12245,1405,12343,1398,12439,1357,12538,1374,12634,1388,12732,1424,12828,1429,12926,1472,13022,1496,13121,1477,13217,1458,13315,1438,13411,1419,13510,1446,13606,1501,13704,1510,13800,1503e" filled="false" stroked="true" strokeweight="2.25pt" strokecolor="#014612">
              <v:path arrowok="t"/>
              <v:stroke dashstyle="solid"/>
            </v:shape>
            <v:shape style="position:absolute;left:8748;top:849;width:5052;height:805" coordorigin="8748,850" coordsize="5052,805" path="m8748,1650l8846,1654,8942,1604,9041,1491,9137,1436,9235,1414,9331,1443,9427,1455,9526,1434,9622,1386,9720,1362,9816,1326,9914,1275,10010,1234,10109,1198,10205,1162,10303,1131,10399,1086,10498,1076,10594,1006,10692,930,10788,920,10886,910,10982,882,11081,862,11177,850,11275,870,11371,908,11470,942,11566,997,11662,1004,11760,1033,11856,1062,11954,1086,12050,1088,12149,1112,12245,1098,12343,1122,12439,1100,12538,1110,12634,1124,12732,1148,12828,1165,12926,1160,13022,1184,13121,1184,13217,1208,13315,1225,13411,1242,13510,1270,13606,1330,13704,1342,13800,1350e" filled="false" stroked="true" strokeweight="2.25pt" strokecolor="#9dceca">
              <v:path arrowok="t"/>
              <v:stroke dashstyle="dash"/>
            </v:shape>
            <v:line style="position:absolute" from="8700,216" to="13849,216" stroked="true" strokeweight=".75pt" strokecolor="#d9d9d9">
              <v:stroke dashstyle="solid"/>
            </v:line>
            <v:shape style="position:absolute;left:8699;top:1821;width:5149;height:67" coordorigin="8700,1822" coordsize="5149,67" path="m8700,1822l13849,1822m8700,1822l8700,1888m9866,1822l9866,1888m11030,1822l11030,1888m12197,1822l12197,1888m13363,1822l13363,1888e" filled="false" stroked="true" strokeweight="1pt" strokecolor="#000000">
              <v:path arrowok="t"/>
              <v:stroke dashstyle="solid"/>
            </v:shape>
            <v:shape style="position:absolute;left:8748;top:152;width:5052;height:1909" coordorigin="8748,152" coordsize="5052,1909" path="m8748,1594l8846,1642,8942,1594,9041,1232,9137,956,9235,678,9331,711,9427,814,9526,848,9622,687,9720,553,9816,385,9914,243,10010,152,10109,238,10205,517,10303,687,10399,874,10498,908,10594,896,10692,934,10788,1134,10886,1321,10982,1534,11081,1650,11177,1705,11275,1623,11371,1551,11470,1549,11566,1635,11662,1695,11760,1765,11856,1822,11954,1815,12050,1818,12149,1806,12245,1866,12343,1861,12439,1899,12538,1974,12634,2053,12732,2061,12828,2046,12926,2031,13022,1974,13121,1981,13217,1918,13315,1911,13411,1832,13510,1827,13606,1825,13704,1798,13800,1786e" filled="false" stroked="true" strokeweight="2.25pt" strokecolor="#8e7eba">
              <v:path arrowok="t"/>
              <v:stroke dashstyle="dot"/>
            </v:shape>
            <w10:wrap type="none"/>
          </v:group>
        </w:pict>
      </w:r>
      <w:r>
        <w:rPr>
          <w:rFonts w:ascii="Gill Sans MT"/>
          <w:w w:val="115"/>
          <w:sz w:val="21"/>
        </w:rPr>
        <w:t>12</w:t>
      </w:r>
    </w:p>
    <w:p>
      <w:pPr>
        <w:spacing w:before="158"/>
        <w:ind w:left="970" w:right="0" w:firstLine="0"/>
        <w:jc w:val="left"/>
        <w:rPr>
          <w:rFonts w:ascii="Gill Sans MT"/>
          <w:sz w:val="21"/>
        </w:rPr>
      </w:pPr>
      <w:r>
        <w:rPr>
          <w:rFonts w:ascii="Gill Sans MT"/>
          <w:w w:val="112"/>
          <w:sz w:val="21"/>
        </w:rPr>
        <w:t>9</w:t>
      </w:r>
    </w:p>
    <w:p>
      <w:pPr>
        <w:spacing w:before="158"/>
        <w:ind w:left="970" w:right="0" w:firstLine="0"/>
        <w:jc w:val="left"/>
        <w:rPr>
          <w:rFonts w:ascii="Gill Sans MT"/>
          <w:sz w:val="21"/>
        </w:rPr>
      </w:pPr>
      <w:r>
        <w:rPr>
          <w:rFonts w:ascii="Gill Sans MT"/>
          <w:w w:val="112"/>
          <w:sz w:val="21"/>
        </w:rPr>
        <w:t>6</w:t>
      </w:r>
    </w:p>
    <w:p>
      <w:pPr>
        <w:spacing w:before="157"/>
        <w:ind w:left="970" w:right="0" w:firstLine="0"/>
        <w:jc w:val="left"/>
        <w:rPr>
          <w:rFonts w:ascii="Gill Sans MT"/>
          <w:sz w:val="21"/>
        </w:rPr>
      </w:pPr>
      <w:r>
        <w:rPr>
          <w:rFonts w:ascii="Gill Sans MT"/>
          <w:w w:val="112"/>
          <w:sz w:val="21"/>
        </w:rPr>
        <w:t>3</w:t>
      </w:r>
    </w:p>
    <w:p>
      <w:pPr>
        <w:spacing w:before="158"/>
        <w:ind w:left="970" w:right="0" w:firstLine="0"/>
        <w:jc w:val="left"/>
        <w:rPr>
          <w:rFonts w:ascii="Gill Sans MT"/>
          <w:sz w:val="21"/>
        </w:rPr>
      </w:pPr>
      <w:r>
        <w:rPr>
          <w:rFonts w:ascii="Gill Sans MT"/>
          <w:w w:val="112"/>
          <w:sz w:val="21"/>
        </w:rPr>
        <w:t>0</w:t>
      </w:r>
    </w:p>
    <w:p>
      <w:pPr>
        <w:spacing w:before="158"/>
        <w:ind w:left="912" w:right="0" w:firstLine="0"/>
        <w:jc w:val="left"/>
        <w:rPr>
          <w:rFonts w:ascii="Gill Sans MT"/>
          <w:sz w:val="21"/>
        </w:rPr>
      </w:pPr>
      <w:r>
        <w:rPr/>
        <w:pict>
          <v:line style="position:absolute;mso-position-horizontal-relative:page;mso-position-vertical-relative:paragraph;z-index:251730944" from="434.980011pt,14.466578pt" to="692.430011pt,14.466578pt" stroked="true" strokeweight=".75pt" strokecolor="#d9d9d9">
            <v:stroke dashstyle="solid"/>
            <w10:wrap type="none"/>
          </v:line>
        </w:pict>
      </w:r>
      <w:r>
        <w:rPr>
          <w:rFonts w:ascii="Gill Sans MT"/>
          <w:sz w:val="21"/>
        </w:rPr>
        <w:t>-3</w:t>
      </w:r>
    </w:p>
    <w:p>
      <w:pPr>
        <w:tabs>
          <w:tab w:pos="2359" w:val="left" w:leader="none"/>
          <w:tab w:pos="3525" w:val="left" w:leader="none"/>
          <w:tab w:pos="4691" w:val="left" w:leader="none"/>
          <w:tab w:pos="5857" w:val="left" w:leader="none"/>
        </w:tabs>
        <w:spacing w:before="26"/>
        <w:ind w:left="1193" w:right="0" w:firstLine="0"/>
        <w:jc w:val="left"/>
        <w:rPr>
          <w:rFonts w:ascii="Gill Sans MT"/>
          <w:sz w:val="21"/>
        </w:rPr>
      </w:pPr>
      <w:r>
        <w:rPr>
          <w:rFonts w:ascii="Gill Sans MT"/>
          <w:w w:val="105"/>
          <w:sz w:val="21"/>
        </w:rPr>
        <w:t>'21</w:t>
        <w:tab/>
        <w:t>'22</w:t>
        <w:tab/>
        <w:t>'23</w:t>
        <w:tab/>
        <w:t>'24</w:t>
        <w:tab/>
        <w:t>'25</w:t>
      </w:r>
    </w:p>
    <w:p>
      <w:pPr>
        <w:tabs>
          <w:tab w:pos="3457" w:val="left" w:leader="none"/>
          <w:tab w:pos="5371" w:val="left" w:leader="none"/>
        </w:tabs>
        <w:spacing w:before="69"/>
        <w:ind w:left="1618" w:right="0" w:firstLine="0"/>
        <w:jc w:val="left"/>
        <w:rPr>
          <w:rFonts w:ascii="Gill Sans MT"/>
          <w:sz w:val="20"/>
        </w:rPr>
      </w:pPr>
      <w:r>
        <w:rPr/>
        <w:pict>
          <v:line style="position:absolute;mso-position-horizontal-relative:page;mso-position-vertical-relative:paragraph;z-index:251732992" from="423.859985pt,9.701992pt" to="449.059985pt,9.701992pt" stroked="true" strokeweight="2.25pt" strokecolor="#014612">
            <v:stroke dashstyle="solid"/>
            <w10:wrap type="none"/>
          </v:line>
        </w:pict>
      </w:r>
      <w:r>
        <w:rPr/>
        <w:pict>
          <v:line style="position:absolute;mso-position-horizontal-relative:page;mso-position-vertical-relative:paragraph;z-index:-266964992" from="515.820007pt,9.701992pt" to="541.020007pt,9.701992pt" stroked="true" strokeweight="2.25pt" strokecolor="#9dceca">
            <v:stroke dashstyle="dash"/>
            <w10:wrap type="none"/>
          </v:line>
        </w:pict>
      </w:r>
      <w:r>
        <w:rPr/>
        <w:pict>
          <v:line style="position:absolute;mso-position-horizontal-relative:page;mso-position-vertical-relative:paragraph;z-index:-266963968" from="611.539978pt,9.701992pt" to="636.739978pt,9.701992pt" stroked="true" strokeweight="2.25pt" strokecolor="#8e7eba">
            <v:stroke dashstyle="dot"/>
            <w10:wrap type="none"/>
          </v:line>
        </w:pict>
      </w:r>
      <w:r>
        <w:rPr>
          <w:rFonts w:ascii="Gill Sans MT"/>
          <w:w w:val="110"/>
          <w:sz w:val="20"/>
        </w:rPr>
        <w:t>Headline</w:t>
      </w:r>
      <w:r>
        <w:rPr>
          <w:rFonts w:ascii="Gill Sans MT"/>
          <w:spacing w:val="-16"/>
          <w:w w:val="110"/>
          <w:sz w:val="20"/>
        </w:rPr>
        <w:t> </w:t>
      </w:r>
      <w:r>
        <w:rPr>
          <w:rFonts w:ascii="Gill Sans MT"/>
          <w:w w:val="110"/>
          <w:sz w:val="20"/>
        </w:rPr>
        <w:t>CPI</w:t>
        <w:tab/>
        <w:t>Core</w:t>
      </w:r>
      <w:r>
        <w:rPr>
          <w:rFonts w:ascii="Gill Sans MT"/>
          <w:spacing w:val="-21"/>
          <w:w w:val="110"/>
          <w:sz w:val="20"/>
        </w:rPr>
        <w:t> </w:t>
      </w:r>
      <w:r>
        <w:rPr>
          <w:rFonts w:ascii="Gill Sans MT"/>
          <w:w w:val="110"/>
          <w:sz w:val="20"/>
        </w:rPr>
        <w:t>Services</w:t>
        <w:tab/>
        <w:t>Core</w:t>
      </w:r>
      <w:r>
        <w:rPr>
          <w:rFonts w:ascii="Gill Sans MT"/>
          <w:spacing w:val="-18"/>
          <w:w w:val="110"/>
          <w:sz w:val="20"/>
        </w:rPr>
        <w:t> </w:t>
      </w:r>
      <w:r>
        <w:rPr>
          <w:rFonts w:ascii="Gill Sans MT"/>
          <w:w w:val="110"/>
          <w:sz w:val="20"/>
        </w:rPr>
        <w:t>Goods</w:t>
      </w:r>
    </w:p>
    <w:p>
      <w:pPr>
        <w:pStyle w:val="BodyText"/>
        <w:spacing w:before="3"/>
        <w:rPr>
          <w:rFonts w:ascii="Gill Sans MT"/>
          <w:sz w:val="28"/>
        </w:rPr>
      </w:pPr>
    </w:p>
    <w:p>
      <w:pPr>
        <w:pStyle w:val="Heading5"/>
        <w:ind w:left="1563" w:firstLine="0"/>
      </w:pPr>
      <w:r>
        <w:rPr>
          <w:w w:val="110"/>
        </w:rPr>
        <w:t>Federal Funds Rate &amp; Projections</w:t>
      </w:r>
    </w:p>
    <w:p>
      <w:pPr>
        <w:spacing w:before="199"/>
        <w:ind w:left="843" w:right="0" w:firstLine="0"/>
        <w:jc w:val="left"/>
        <w:rPr>
          <w:rFonts w:ascii="Gill Sans MT"/>
          <w:sz w:val="18"/>
        </w:rPr>
      </w:pPr>
      <w:r>
        <w:rPr/>
        <w:pict>
          <v:line style="position:absolute;mso-position-horizontal-relative:page;mso-position-vertical-relative:paragraph;z-index:251729920" from="433.154266pt,15.663046pt" to="692.463547pt,15.663046pt" stroked="true" strokeweight=".749928pt" strokecolor="#aeabab">
            <v:stroke dashstyle="solid"/>
            <w10:wrap type="none"/>
          </v:line>
        </w:pict>
      </w:r>
      <w:r>
        <w:rPr>
          <w:rFonts w:ascii="Gill Sans MT"/>
          <w:w w:val="110"/>
          <w:sz w:val="18"/>
        </w:rPr>
        <w:t>6%</w:t>
      </w:r>
    </w:p>
    <w:p>
      <w:pPr>
        <w:pStyle w:val="BodyText"/>
        <w:spacing w:before="2"/>
        <w:rPr>
          <w:rFonts w:ascii="Gill Sans MT"/>
          <w:sz w:val="17"/>
        </w:rPr>
      </w:pPr>
    </w:p>
    <w:p>
      <w:pPr>
        <w:spacing w:before="0"/>
        <w:ind w:left="844" w:right="0" w:firstLine="0"/>
        <w:jc w:val="left"/>
        <w:rPr>
          <w:rFonts w:ascii="Gill Sans MT"/>
          <w:sz w:val="18"/>
        </w:rPr>
      </w:pPr>
      <w:r>
        <w:rPr/>
        <w:pict>
          <v:group style="position:absolute;margin-left:431.909363pt;margin-top:-3.131137pt;width:263.3pt;height:113.4pt;mso-position-horizontal-relative:page;mso-position-vertical-relative:paragraph;z-index:251728896" coordorigin="8638,-63" coordsize="5266,2268">
            <v:shape style="position:absolute;left:8663;top:1333;width:5187;height:408" coordorigin="8663,1334" coordsize="5187,408" path="m13140,1742l13849,1742m8663,1742l10913,1742m8663,1334l10913,1334e" filled="false" stroked="true" strokeweight=".749928pt" strokecolor="#aeabab">
              <v:path arrowok="t"/>
              <v:stroke dashstyle="solid"/>
            </v:shape>
            <v:shape style="position:absolute;left:642;top:1674;width:5187;height:2091" coordorigin="643,1674" coordsize="5187,2091" path="m8663,928l13849,928m8663,520l13849,520m8663,115l13849,115m8663,2147l13849,2147m8663,2147l8663,2205m10144,2147l10144,2205m11627,2147l11627,2205m13108,2147l13108,2205e" filled="false" stroked="true" strokeweight=".749956pt" strokecolor="#aeabab">
              <v:path arrowok="t"/>
              <v:stroke dashstyle="solid"/>
            </v:shape>
            <v:shape style="position:absolute;left:8660;top:-41;width:3306;height:2139" coordorigin="8661,-40" coordsize="3306,2139" path="m8661,2098l8661,2098,9495,2098,9557,1995,9619,1995,9682,1791,9742,1486,9804,1181,9867,1181,9929,877,9989,877,10051,572,10114,368,10174,368,10236,267,10299,164,10361,164,10421,63,10483,63,10546,-40,10608,-40,11347,-40,11410,164,11472,164,11532,267,11595,368,11904,368,11967,368e" filled="false" stroked="true" strokeweight="2.249833pt" strokecolor="#014612">
              <v:path arrowok="t"/>
              <v:stroke dashstyle="solid"/>
            </v:shape>
            <v:shape style="position:absolute;left:11966;top:367;width:1851;height:519" coordorigin="11967,368" coordsize="1851,519" path="m11967,368l12027,399,12089,433,12151,464,12214,497,12274,529,12336,562,12399,579,12459,596,12521,613,12583,629,12646,646,12706,663,12768,680,12830,697,12893,713,12953,730,13015,747,13078,764,13138,776,13200,785,13262,795,13325,805,13385,817,13447,826,13510,836,13572,845,13632,855,13694,867,13757,877,13817,886e" filled="false" stroked="true" strokeweight="1.749842pt" strokecolor="#6954a3">
              <v:path arrowok="t"/>
              <v:stroke dashstyle="dot"/>
            </v:shape>
            <v:shape style="position:absolute;left:11966;top:367;width:1851;height:397" coordorigin="11967,368" coordsize="1851,397" path="m11967,368l12027,399,12089,433,12151,464,12214,497,12274,529,12336,562,12399,572,12459,581,12521,591,12583,601,12646,613,12706,622,12768,632,12830,641,12893,653,12953,663,13015,673,13078,682,13138,689,13200,697,13262,704,13325,711,13385,718,13447,723,13510,730,13572,737,13632,745,13694,752,13757,757,13817,764e" filled="false" stroked="true" strokeweight="1.749838pt" strokecolor="#3a9d97">
              <v:path arrowok="t"/>
              <v:stroke dashstyle="dot"/>
            </v:shape>
            <v:shape style="position:absolute;left:12274;top:501;width:120;height:120" coordorigin="12275,501" coordsize="120,120" path="m12335,501l12275,561,12335,621,12395,561,12335,501xe" filled="true" fillcolor="#6954a3" stroked="false">
              <v:path arrowok="t"/>
              <v:fill type="solid"/>
            </v:shape>
            <v:shape style="position:absolute;left:12274;top:501;width:120;height:120" coordorigin="12275,501" coordsize="120,120" path="m12335,501l12395,561,12335,621,12275,561,12335,501xe" filled="false" stroked="true" strokeweight=".749956pt" strokecolor="#6954a3">
              <v:path arrowok="t"/>
              <v:stroke dashstyle="solid"/>
            </v:shape>
            <v:shape style="position:absolute;left:13016;top:702;width:120;height:120" coordorigin="13016,703" coordsize="120,120" path="m13076,703l13016,763,13076,823,13136,763,13076,703xe" filled="true" fillcolor="#6954a3" stroked="false">
              <v:path arrowok="t"/>
              <v:fill type="solid"/>
            </v:shape>
            <v:shape style="position:absolute;left:13016;top:702;width:120;height:120" coordorigin="13016,703" coordsize="120,120" path="m13076,703l13136,763,13076,823,13016,763,13076,703xe" filled="false" stroked="true" strokeweight=".749956pt" strokecolor="#6954a3">
              <v:path arrowok="t"/>
              <v:stroke dashstyle="solid"/>
            </v:shape>
            <v:shape style="position:absolute;left:13737;top:808;width:159;height:159" coordorigin="13738,808" coordsize="159,159" path="m13817,808l13738,887,13817,967,13896,887,13817,808xe" filled="true" fillcolor="#6954a3" stroked="false">
              <v:path arrowok="t"/>
              <v:fill type="solid"/>
            </v:shape>
            <v:shape style="position:absolute;left:13737;top:808;width:159;height:159" coordorigin="13738,808" coordsize="159,159" path="m13817,808l13896,887,13817,967,13738,887,13817,808xe" filled="false" stroked="true" strokeweight=".749956pt" strokecolor="#6954a3">
              <v:path arrowok="t"/>
              <v:stroke dashstyle="solid"/>
            </v:shape>
            <v:shape style="position:absolute;left:12274;top:501;width:120;height:120" coordorigin="12275,501" coordsize="120,120" path="m12335,501l12275,561,12335,621,12395,561,12335,501xe" filled="true" fillcolor="#3a9d97" stroked="false">
              <v:path arrowok="t"/>
              <v:fill type="solid"/>
            </v:shape>
            <v:shape style="position:absolute;left:12274;top:501;width:120;height:120" coordorigin="12275,501" coordsize="120,120" path="m12335,501l12395,561,12335,621,12275,561,12335,501xe" filled="false" stroked="true" strokeweight=".749956pt" strokecolor="#3a9d97">
              <v:path arrowok="t"/>
              <v:stroke dashstyle="solid"/>
            </v:shape>
            <v:shape style="position:absolute;left:13016;top:621;width:120;height:121" coordorigin="13016,621" coordsize="120,121" path="m13076,621l13016,681,13076,741,13136,681,13076,621xe" filled="true" fillcolor="#3a9d97" stroked="false">
              <v:path arrowok="t"/>
              <v:fill type="solid"/>
            </v:shape>
            <v:shape style="position:absolute;left:13016;top:621;width:120;height:121" coordorigin="13016,621" coordsize="120,121" path="m13076,621l13136,681,13076,741,13016,681,13076,621xe" filled="false" stroked="true" strokeweight=".749956pt" strokecolor="#3a9d97">
              <v:path arrowok="t"/>
              <v:stroke dashstyle="solid"/>
            </v:shape>
            <v:shape style="position:absolute;left:13737;top:685;width:159;height:159" coordorigin="13738,686" coordsize="159,159" path="m13817,686l13738,765,13817,844,13896,765,13817,686xe" filled="true" fillcolor="#3a9d97" stroked="false">
              <v:path arrowok="t"/>
              <v:fill type="solid"/>
            </v:shape>
            <v:shape style="position:absolute;left:13737;top:685;width:159;height:159" coordorigin="13738,686" coordsize="159,159" path="m13817,686l13896,765,13817,844,13738,765,13817,686xe" filled="false" stroked="true" strokeweight=".749956pt" strokecolor="#3a9d97">
              <v:path arrowok="t"/>
              <v:stroke dashstyle="solid"/>
            </v:shape>
            <v:line style="position:absolute" from="13140,1334" to="13849,1334" stroked="true" strokeweight=".749928pt" strokecolor="#aeabab">
              <v:stroke dashstyle="solid"/>
            </v:line>
            <v:rect style="position:absolute;left:10913;top:1204;width:2227;height:615" filled="true" fillcolor="#ffffff" stroked="false">
              <v:fill type="solid"/>
            </v:rect>
            <v:line style="position:absolute" from="10943,1309" to="11195,1309" stroked="true" strokeweight="2.018071pt" strokecolor="#014612">
              <v:stroke dashstyle="solid"/>
            </v:line>
            <v:rect style="position:absolute;left:10905;top:1197;width:2242;height:630" filled="false" stroked="true" strokeweight=".75pt" strokecolor="#000000">
              <v:stroke dashstyle="solid"/>
            </v:rect>
            <v:shape style="position:absolute;left:8638;top:-63;width:5266;height:2268" type="#_x0000_t202" filled="false" stroked="false">
              <v:textbox inset="0,0,0,0">
                <w:txbxContent>
                  <w:p>
                    <w:pPr>
                      <w:spacing w:line="240" w:lineRule="auto" w:before="0"/>
                      <w:rPr>
                        <w:rFonts w:ascii="Gill Sans MT"/>
                        <w:sz w:val="14"/>
                      </w:rPr>
                    </w:pPr>
                  </w:p>
                  <w:p>
                    <w:pPr>
                      <w:spacing w:line="240" w:lineRule="auto" w:before="0"/>
                      <w:rPr>
                        <w:rFonts w:ascii="Gill Sans MT"/>
                        <w:sz w:val="14"/>
                      </w:rPr>
                    </w:pPr>
                  </w:p>
                  <w:p>
                    <w:pPr>
                      <w:spacing w:line="240" w:lineRule="auto" w:before="0"/>
                      <w:rPr>
                        <w:rFonts w:ascii="Gill Sans MT"/>
                        <w:sz w:val="14"/>
                      </w:rPr>
                    </w:pPr>
                  </w:p>
                  <w:p>
                    <w:pPr>
                      <w:spacing w:line="240" w:lineRule="auto" w:before="0"/>
                      <w:rPr>
                        <w:rFonts w:ascii="Gill Sans MT"/>
                        <w:sz w:val="14"/>
                      </w:rPr>
                    </w:pPr>
                  </w:p>
                  <w:p>
                    <w:pPr>
                      <w:spacing w:line="240" w:lineRule="auto" w:before="0"/>
                      <w:rPr>
                        <w:rFonts w:ascii="Gill Sans MT"/>
                        <w:sz w:val="14"/>
                      </w:rPr>
                    </w:pPr>
                  </w:p>
                  <w:p>
                    <w:pPr>
                      <w:spacing w:line="240" w:lineRule="auto" w:before="0"/>
                      <w:rPr>
                        <w:rFonts w:ascii="Gill Sans MT"/>
                        <w:sz w:val="14"/>
                      </w:rPr>
                    </w:pPr>
                  </w:p>
                  <w:p>
                    <w:pPr>
                      <w:spacing w:line="240" w:lineRule="auto" w:before="0"/>
                      <w:rPr>
                        <w:rFonts w:ascii="Gill Sans MT"/>
                        <w:sz w:val="14"/>
                      </w:rPr>
                    </w:pPr>
                  </w:p>
                  <w:p>
                    <w:pPr>
                      <w:spacing w:line="240" w:lineRule="auto" w:before="11"/>
                      <w:rPr>
                        <w:rFonts w:ascii="Gill Sans MT"/>
                        <w:sz w:val="12"/>
                      </w:rPr>
                    </w:pPr>
                  </w:p>
                  <w:p>
                    <w:pPr>
                      <w:spacing w:before="0"/>
                      <w:ind w:left="2629" w:right="0" w:firstLine="0"/>
                      <w:jc w:val="left"/>
                      <w:rPr>
                        <w:rFonts w:ascii="Gill Sans MT"/>
                        <w:sz w:val="13"/>
                      </w:rPr>
                    </w:pPr>
                    <w:r>
                      <w:rPr>
                        <w:rFonts w:ascii="Gill Sans MT"/>
                        <w:w w:val="115"/>
                        <w:sz w:val="13"/>
                      </w:rPr>
                      <w:t>Fed Funds Rate</w:t>
                    </w:r>
                  </w:p>
                  <w:p>
                    <w:pPr>
                      <w:numPr>
                        <w:ilvl w:val="0"/>
                        <w:numId w:val="7"/>
                      </w:numPr>
                      <w:tabs>
                        <w:tab w:pos="2630" w:val="left" w:leader="none"/>
                      </w:tabs>
                      <w:spacing w:before="33"/>
                      <w:ind w:left="2629" w:right="0" w:hanging="253"/>
                      <w:jc w:val="left"/>
                      <w:rPr>
                        <w:rFonts w:ascii="Wingdings"/>
                        <w:color w:val="6954A3"/>
                        <w:sz w:val="17"/>
                      </w:rPr>
                    </w:pPr>
                    <w:r>
                      <w:rPr>
                        <w:rFonts w:ascii="Gill Sans MT"/>
                        <w:w w:val="115"/>
                        <w:sz w:val="13"/>
                      </w:rPr>
                      <w:t>Fed</w:t>
                    </w:r>
                    <w:r>
                      <w:rPr>
                        <w:rFonts w:ascii="Gill Sans MT"/>
                        <w:spacing w:val="-20"/>
                        <w:w w:val="115"/>
                        <w:sz w:val="13"/>
                      </w:rPr>
                      <w:t> </w:t>
                    </w:r>
                    <w:r>
                      <w:rPr>
                        <w:rFonts w:ascii="Gill Sans MT"/>
                        <w:w w:val="115"/>
                        <w:sz w:val="13"/>
                      </w:rPr>
                      <w:t>Projection</w:t>
                    </w:r>
                    <w:r>
                      <w:rPr>
                        <w:rFonts w:ascii="Gill Sans MT"/>
                        <w:spacing w:val="-22"/>
                        <w:w w:val="115"/>
                        <w:sz w:val="13"/>
                      </w:rPr>
                      <w:t> </w:t>
                    </w:r>
                    <w:r>
                      <w:rPr>
                        <w:rFonts w:ascii="Gill Sans MT"/>
                        <w:w w:val="115"/>
                        <w:sz w:val="13"/>
                      </w:rPr>
                      <w:t>as</w:t>
                    </w:r>
                    <w:r>
                      <w:rPr>
                        <w:rFonts w:ascii="Gill Sans MT"/>
                        <w:spacing w:val="-22"/>
                        <w:w w:val="115"/>
                        <w:sz w:val="13"/>
                      </w:rPr>
                      <w:t> </w:t>
                    </w:r>
                    <w:r>
                      <w:rPr>
                        <w:rFonts w:ascii="Gill Sans MT"/>
                        <w:w w:val="115"/>
                        <w:sz w:val="13"/>
                      </w:rPr>
                      <w:t>of</w:t>
                    </w:r>
                    <w:r>
                      <w:rPr>
                        <w:rFonts w:ascii="Gill Sans MT"/>
                        <w:spacing w:val="-20"/>
                        <w:w w:val="115"/>
                        <w:sz w:val="13"/>
                      </w:rPr>
                      <w:t> </w:t>
                    </w:r>
                    <w:r>
                      <w:rPr>
                        <w:rFonts w:ascii="Gill Sans MT"/>
                        <w:w w:val="115"/>
                        <w:sz w:val="13"/>
                      </w:rPr>
                      <w:t>Dec.</w:t>
                    </w:r>
                    <w:r>
                      <w:rPr>
                        <w:rFonts w:ascii="Gill Sans MT"/>
                        <w:spacing w:val="-22"/>
                        <w:w w:val="115"/>
                        <w:sz w:val="13"/>
                      </w:rPr>
                      <w:t> </w:t>
                    </w:r>
                    <w:r>
                      <w:rPr>
                        <w:rFonts w:ascii="Gill Sans MT"/>
                        <w:w w:val="115"/>
                        <w:sz w:val="13"/>
                      </w:rPr>
                      <w:t>2024</w:t>
                    </w:r>
                  </w:p>
                  <w:p>
                    <w:pPr>
                      <w:numPr>
                        <w:ilvl w:val="0"/>
                        <w:numId w:val="7"/>
                      </w:numPr>
                      <w:tabs>
                        <w:tab w:pos="2630" w:val="left" w:leader="none"/>
                      </w:tabs>
                      <w:spacing w:before="27"/>
                      <w:ind w:left="2629" w:right="0" w:hanging="253"/>
                      <w:jc w:val="left"/>
                      <w:rPr>
                        <w:rFonts w:ascii="Wingdings"/>
                        <w:color w:val="3A9D97"/>
                        <w:sz w:val="17"/>
                      </w:rPr>
                    </w:pPr>
                    <w:r>
                      <w:rPr>
                        <w:rFonts w:ascii="Gill Sans MT"/>
                        <w:spacing w:val="-3"/>
                        <w:w w:val="119"/>
                        <w:sz w:val="13"/>
                      </w:rPr>
                      <w:t>F</w:t>
                    </w:r>
                    <w:r>
                      <w:rPr>
                        <w:rFonts w:ascii="Gill Sans MT"/>
                        <w:w w:val="111"/>
                        <w:sz w:val="13"/>
                      </w:rPr>
                      <w:t>e</w:t>
                    </w:r>
                    <w:r>
                      <w:rPr>
                        <w:rFonts w:ascii="Gill Sans MT"/>
                        <w:w w:val="111"/>
                        <w:sz w:val="13"/>
                      </w:rPr>
                      <w:t>d</w:t>
                    </w:r>
                    <w:r>
                      <w:rPr>
                        <w:rFonts w:ascii="Gill Sans MT"/>
                        <w:spacing w:val="-3"/>
                        <w:sz w:val="13"/>
                      </w:rPr>
                      <w:t> </w:t>
                    </w:r>
                    <w:r>
                      <w:rPr>
                        <w:rFonts w:ascii="Gill Sans MT"/>
                        <w:spacing w:val="1"/>
                        <w:w w:val="125"/>
                        <w:sz w:val="13"/>
                      </w:rPr>
                      <w:t>P</w:t>
                    </w:r>
                    <w:r>
                      <w:rPr>
                        <w:rFonts w:ascii="Gill Sans MT"/>
                        <w:spacing w:val="-3"/>
                        <w:w w:val="86"/>
                        <w:sz w:val="13"/>
                      </w:rPr>
                      <w:t>r</w:t>
                    </w:r>
                    <w:r>
                      <w:rPr>
                        <w:rFonts w:ascii="Gill Sans MT"/>
                        <w:spacing w:val="-1"/>
                        <w:w w:val="106"/>
                        <w:sz w:val="13"/>
                      </w:rPr>
                      <w:t>o</w:t>
                    </w:r>
                    <w:r>
                      <w:rPr>
                        <w:rFonts w:ascii="Gill Sans MT"/>
                        <w:spacing w:val="1"/>
                        <w:w w:val="106"/>
                        <w:sz w:val="13"/>
                      </w:rPr>
                      <w:t>j</w:t>
                    </w:r>
                    <w:r>
                      <w:rPr>
                        <w:rFonts w:ascii="Gill Sans MT"/>
                        <w:w w:val="111"/>
                        <w:sz w:val="13"/>
                      </w:rPr>
                      <w:t>e</w:t>
                    </w:r>
                    <w:r>
                      <w:rPr>
                        <w:rFonts w:ascii="Gill Sans MT"/>
                        <w:spacing w:val="1"/>
                        <w:w w:val="120"/>
                        <w:sz w:val="13"/>
                      </w:rPr>
                      <w:t>c</w:t>
                    </w:r>
                    <w:r>
                      <w:rPr>
                        <w:rFonts w:ascii="Gill Sans MT"/>
                        <w:spacing w:val="-1"/>
                        <w:w w:val="99"/>
                        <w:sz w:val="13"/>
                      </w:rPr>
                      <w:t>t</w:t>
                    </w:r>
                    <w:r>
                      <w:rPr>
                        <w:rFonts w:ascii="Gill Sans MT"/>
                        <w:w w:val="111"/>
                        <w:sz w:val="13"/>
                      </w:rPr>
                      <w:t>i</w:t>
                    </w:r>
                    <w:r>
                      <w:rPr>
                        <w:rFonts w:ascii="Gill Sans MT"/>
                        <w:spacing w:val="-1"/>
                        <w:w w:val="107"/>
                        <w:sz w:val="13"/>
                      </w:rPr>
                      <w:t>o</w:t>
                    </w:r>
                    <w:r>
                      <w:rPr>
                        <w:rFonts w:ascii="Gill Sans MT"/>
                        <w:w w:val="107"/>
                        <w:sz w:val="13"/>
                      </w:rPr>
                      <w:t>n</w:t>
                    </w:r>
                    <w:r>
                      <w:rPr>
                        <w:rFonts w:ascii="Gill Sans MT"/>
                        <w:spacing w:val="-6"/>
                        <w:sz w:val="13"/>
                      </w:rPr>
                      <w:t> </w:t>
                    </w:r>
                    <w:r>
                      <w:rPr>
                        <w:rFonts w:ascii="Gill Sans MT"/>
                        <w:spacing w:val="-2"/>
                        <w:w w:val="128"/>
                        <w:sz w:val="13"/>
                      </w:rPr>
                      <w:t>a</w:t>
                    </w:r>
                    <w:r>
                      <w:rPr>
                        <w:rFonts w:ascii="Gill Sans MT"/>
                        <w:w w:val="135"/>
                        <w:sz w:val="13"/>
                      </w:rPr>
                      <w:t>s</w:t>
                    </w:r>
                    <w:r>
                      <w:rPr>
                        <w:rFonts w:ascii="Gill Sans MT"/>
                        <w:spacing w:val="-7"/>
                        <w:sz w:val="13"/>
                      </w:rPr>
                      <w:t> </w:t>
                    </w:r>
                    <w:r>
                      <w:rPr>
                        <w:rFonts w:ascii="Gill Sans MT"/>
                        <w:spacing w:val="-1"/>
                        <w:w w:val="115"/>
                        <w:sz w:val="13"/>
                      </w:rPr>
                      <w:t>o</w:t>
                    </w:r>
                    <w:r>
                      <w:rPr>
                        <w:rFonts w:ascii="Gill Sans MT"/>
                        <w:w w:val="115"/>
                        <w:sz w:val="13"/>
                      </w:rPr>
                      <w:t>f</w:t>
                    </w:r>
                    <w:r>
                      <w:rPr>
                        <w:rFonts w:ascii="Gill Sans MT"/>
                        <w:spacing w:val="-3"/>
                        <w:sz w:val="13"/>
                      </w:rPr>
                      <w:t> </w:t>
                    </w:r>
                    <w:r>
                      <w:rPr>
                        <w:rFonts w:ascii="Gill Sans MT"/>
                        <w:spacing w:val="-3"/>
                        <w:w w:val="223"/>
                        <w:sz w:val="13"/>
                      </w:rPr>
                      <w:t>J</w:t>
                    </w:r>
                    <w:r>
                      <w:rPr>
                        <w:rFonts w:ascii="Gill Sans MT"/>
                        <w:spacing w:val="-3"/>
                        <w:w w:val="111"/>
                        <w:sz w:val="13"/>
                      </w:rPr>
                      <w:t>u</w:t>
                    </w:r>
                    <w:r>
                      <w:rPr>
                        <w:rFonts w:ascii="Gill Sans MT"/>
                        <w:spacing w:val="-3"/>
                        <w:w w:val="111"/>
                        <w:sz w:val="13"/>
                      </w:rPr>
                      <w:t>n</w:t>
                    </w:r>
                    <w:r>
                      <w:rPr>
                        <w:rFonts w:ascii="Gill Sans MT"/>
                        <w:w w:val="111"/>
                        <w:sz w:val="13"/>
                      </w:rPr>
                      <w:t>e</w:t>
                    </w:r>
                    <w:r>
                      <w:rPr>
                        <w:rFonts w:ascii="Gill Sans MT"/>
                        <w:spacing w:val="-4"/>
                        <w:sz w:val="13"/>
                      </w:rPr>
                      <w:t> </w:t>
                    </w:r>
                    <w:r>
                      <w:rPr>
                        <w:rFonts w:ascii="Gill Sans MT"/>
                        <w:w w:val="113"/>
                        <w:sz w:val="13"/>
                      </w:rPr>
                      <w:t>2025</w:t>
                    </w:r>
                  </w:p>
                </w:txbxContent>
              </v:textbox>
              <w10:wrap type="none"/>
            </v:shape>
            <w10:wrap type="none"/>
          </v:group>
        </w:pict>
      </w:r>
      <w:r>
        <w:rPr>
          <w:rFonts w:ascii="Gill Sans MT"/>
          <w:w w:val="110"/>
          <w:sz w:val="18"/>
        </w:rPr>
        <w:t>5%</w:t>
      </w:r>
    </w:p>
    <w:p>
      <w:pPr>
        <w:pStyle w:val="BodyText"/>
        <w:spacing w:before="1"/>
        <w:rPr>
          <w:rFonts w:ascii="Gill Sans MT"/>
          <w:sz w:val="17"/>
        </w:rPr>
      </w:pPr>
    </w:p>
    <w:p>
      <w:pPr>
        <w:spacing w:before="0"/>
        <w:ind w:left="844" w:right="0" w:firstLine="0"/>
        <w:jc w:val="left"/>
        <w:rPr>
          <w:rFonts w:ascii="Gill Sans MT"/>
          <w:sz w:val="18"/>
        </w:rPr>
      </w:pPr>
      <w:r>
        <w:rPr>
          <w:rFonts w:ascii="Gill Sans MT"/>
          <w:w w:val="110"/>
          <w:sz w:val="18"/>
        </w:rPr>
        <w:t>4%</w:t>
      </w:r>
    </w:p>
    <w:p>
      <w:pPr>
        <w:pStyle w:val="BodyText"/>
        <w:spacing w:before="1"/>
        <w:rPr>
          <w:rFonts w:ascii="Gill Sans MT"/>
          <w:sz w:val="17"/>
        </w:rPr>
      </w:pPr>
    </w:p>
    <w:p>
      <w:pPr>
        <w:spacing w:before="0"/>
        <w:ind w:left="844" w:right="0" w:firstLine="0"/>
        <w:jc w:val="left"/>
        <w:rPr>
          <w:rFonts w:ascii="Gill Sans MT"/>
          <w:sz w:val="18"/>
        </w:rPr>
      </w:pPr>
      <w:r>
        <w:rPr>
          <w:rFonts w:ascii="Gill Sans MT"/>
          <w:w w:val="110"/>
          <w:sz w:val="18"/>
        </w:rPr>
        <w:t>3%</w:t>
      </w:r>
    </w:p>
    <w:p>
      <w:pPr>
        <w:pStyle w:val="BodyText"/>
        <w:spacing w:before="2"/>
        <w:rPr>
          <w:rFonts w:ascii="Gill Sans MT"/>
          <w:sz w:val="17"/>
        </w:rPr>
      </w:pPr>
    </w:p>
    <w:p>
      <w:pPr>
        <w:spacing w:before="0"/>
        <w:ind w:left="844" w:right="0" w:firstLine="0"/>
        <w:jc w:val="left"/>
        <w:rPr>
          <w:rFonts w:ascii="Gill Sans MT"/>
          <w:sz w:val="18"/>
        </w:rPr>
      </w:pPr>
      <w:r>
        <w:rPr>
          <w:rFonts w:ascii="Gill Sans MT"/>
          <w:w w:val="110"/>
          <w:sz w:val="18"/>
        </w:rPr>
        <w:t>2%</w:t>
      </w:r>
    </w:p>
    <w:p>
      <w:pPr>
        <w:pStyle w:val="BodyText"/>
        <w:spacing w:before="1"/>
        <w:rPr>
          <w:rFonts w:ascii="Gill Sans MT"/>
          <w:sz w:val="17"/>
        </w:rPr>
      </w:pPr>
    </w:p>
    <w:p>
      <w:pPr>
        <w:spacing w:before="0"/>
        <w:ind w:left="844" w:right="0" w:firstLine="0"/>
        <w:jc w:val="left"/>
        <w:rPr>
          <w:rFonts w:ascii="Gill Sans MT"/>
          <w:sz w:val="18"/>
        </w:rPr>
      </w:pPr>
      <w:r>
        <w:rPr>
          <w:rFonts w:ascii="Gill Sans MT"/>
          <w:w w:val="110"/>
          <w:sz w:val="18"/>
        </w:rPr>
        <w:t>1%</w:t>
      </w:r>
    </w:p>
    <w:p>
      <w:pPr>
        <w:pStyle w:val="BodyText"/>
        <w:spacing w:before="1"/>
        <w:rPr>
          <w:rFonts w:ascii="Gill Sans MT"/>
          <w:sz w:val="17"/>
        </w:rPr>
      </w:pPr>
    </w:p>
    <w:p>
      <w:pPr>
        <w:spacing w:before="0"/>
        <w:ind w:left="844" w:right="0" w:firstLine="0"/>
        <w:jc w:val="left"/>
        <w:rPr>
          <w:rFonts w:ascii="Gill Sans MT"/>
          <w:sz w:val="18"/>
        </w:rPr>
      </w:pPr>
      <w:r>
        <w:rPr>
          <w:rFonts w:ascii="Gill Sans MT"/>
          <w:w w:val="110"/>
          <w:sz w:val="18"/>
        </w:rPr>
        <w:t>0%</w:t>
      </w:r>
    </w:p>
    <w:p>
      <w:pPr>
        <w:tabs>
          <w:tab w:pos="2638" w:val="left" w:leader="none"/>
          <w:tab w:pos="4120" w:val="left" w:leader="none"/>
          <w:tab w:pos="5603" w:val="left" w:leader="none"/>
        </w:tabs>
        <w:spacing w:before="23"/>
        <w:ind w:left="1155" w:right="0" w:firstLine="0"/>
        <w:jc w:val="left"/>
        <w:rPr>
          <w:rFonts w:ascii="Gill Sans MT"/>
          <w:sz w:val="18"/>
        </w:rPr>
      </w:pPr>
      <w:r>
        <w:rPr>
          <w:rFonts w:ascii="Gill Sans MT"/>
          <w:w w:val="110"/>
          <w:sz w:val="18"/>
        </w:rPr>
        <w:t>'21</w:t>
        <w:tab/>
        <w:t>'23</w:t>
        <w:tab/>
        <w:t>'25</w:t>
        <w:tab/>
        <w:t>'27</w:t>
      </w:r>
    </w:p>
    <w:p>
      <w:pPr>
        <w:spacing w:after="0"/>
        <w:jc w:val="left"/>
        <w:rPr>
          <w:rFonts w:ascii="Gill Sans MT"/>
          <w:sz w:val="18"/>
        </w:rPr>
        <w:sectPr>
          <w:headerReference w:type="default" r:id="rId118"/>
          <w:footerReference w:type="default" r:id="rId119"/>
          <w:pgSz w:w="14400" w:h="10800" w:orient="landscape"/>
          <w:pgMar w:header="708" w:footer="909" w:top="1540" w:bottom="1100" w:left="20" w:right="40"/>
          <w:pgNumType w:start="32"/>
          <w:cols w:num="2" w:equalWidth="0">
            <w:col w:w="7196" w:space="204"/>
            <w:col w:w="6940"/>
          </w:cols>
        </w:sectPr>
      </w:pPr>
    </w:p>
    <w:p>
      <w:pPr>
        <w:spacing w:before="97"/>
        <w:ind w:left="8178" w:right="0" w:firstLine="0"/>
        <w:jc w:val="left"/>
        <w:rPr>
          <w:rFonts w:ascii="Gill Sans MT" w:hAnsi="Gill Sans MT"/>
          <w:sz w:val="14"/>
        </w:rPr>
      </w:pPr>
      <w:r>
        <w:rPr>
          <w:rFonts w:ascii="Gill Sans MT" w:hAnsi="Gill Sans MT"/>
          <w:w w:val="110"/>
          <w:sz w:val="14"/>
        </w:rPr>
        <w:t>Source: Bloomberg, Federal Reserve Bank of St. Louis. “Fed Projection” is median end of</w:t>
      </w:r>
    </w:p>
    <w:p>
      <w:pPr>
        <w:spacing w:before="5"/>
        <w:ind w:left="8178" w:right="0" w:firstLine="0"/>
        <w:jc w:val="left"/>
        <w:rPr>
          <w:rFonts w:ascii="Gill Sans MT"/>
          <w:sz w:val="14"/>
        </w:rPr>
      </w:pPr>
      <w:r>
        <w:rPr>
          <w:rFonts w:ascii="Gill Sans MT"/>
          <w:w w:val="110"/>
          <w:sz w:val="14"/>
        </w:rPr>
        <w:t>calendar year projection of Federal Reserve Board members.</w:t>
      </w:r>
    </w:p>
    <w:p>
      <w:pPr>
        <w:spacing w:after="0"/>
        <w:jc w:val="left"/>
        <w:rPr>
          <w:rFonts w:ascii="Gill Sans MT"/>
          <w:sz w:val="14"/>
        </w:rPr>
        <w:sectPr>
          <w:type w:val="continuous"/>
          <w:pgSz w:w="14400" w:h="10800" w:orient="landscape"/>
          <w:pgMar w:top="180" w:bottom="280" w:left="20" w:right="40"/>
        </w:sectPr>
      </w:pPr>
    </w:p>
    <w:p>
      <w:pPr>
        <w:pStyle w:val="Heading3"/>
        <w:spacing w:line="358" w:lineRule="exact" w:before="227"/>
        <w:ind w:left="844"/>
      </w:pPr>
      <w:bookmarkStart w:name="Slide 33: Fiscal Policy and the Bond Mar" w:id="41"/>
      <w:bookmarkEnd w:id="41"/>
      <w:r>
        <w:rPr/>
      </w:r>
      <w:r>
        <w:rPr>
          <w:w w:val="110"/>
        </w:rPr>
        <w:t>Federal</w:t>
      </w:r>
      <w:r>
        <w:rPr>
          <w:spacing w:val="-23"/>
          <w:w w:val="110"/>
        </w:rPr>
        <w:t> </w:t>
      </w:r>
      <w:r>
        <w:rPr>
          <w:spacing w:val="-3"/>
          <w:w w:val="110"/>
        </w:rPr>
        <w:t>government</w:t>
      </w:r>
      <w:r>
        <w:rPr>
          <w:spacing w:val="-26"/>
          <w:w w:val="110"/>
        </w:rPr>
        <w:t> </w:t>
      </w:r>
      <w:r>
        <w:rPr>
          <w:w w:val="110"/>
        </w:rPr>
        <w:t>debt</w:t>
      </w:r>
      <w:r>
        <w:rPr>
          <w:spacing w:val="-23"/>
          <w:w w:val="110"/>
        </w:rPr>
        <w:t> </w:t>
      </w:r>
      <w:r>
        <w:rPr>
          <w:w w:val="110"/>
        </w:rPr>
        <w:t>is</w:t>
      </w:r>
      <w:r>
        <w:rPr>
          <w:spacing w:val="-21"/>
          <w:w w:val="110"/>
        </w:rPr>
        <w:t> </w:t>
      </w:r>
      <w:r>
        <w:rPr>
          <w:w w:val="110"/>
        </w:rPr>
        <w:t>high</w:t>
      </w:r>
      <w:r>
        <w:rPr>
          <w:spacing w:val="-28"/>
          <w:w w:val="110"/>
        </w:rPr>
        <w:t> </w:t>
      </w:r>
      <w:r>
        <w:rPr>
          <w:w w:val="110"/>
        </w:rPr>
        <w:t>and</w:t>
      </w:r>
      <w:r>
        <w:rPr>
          <w:spacing w:val="-25"/>
          <w:w w:val="110"/>
        </w:rPr>
        <w:t> </w:t>
      </w:r>
      <w:r>
        <w:rPr>
          <w:w w:val="110"/>
        </w:rPr>
        <w:t>expected</w:t>
      </w:r>
    </w:p>
    <w:p>
      <w:pPr>
        <w:spacing w:line="358" w:lineRule="exact" w:before="0"/>
        <w:ind w:left="844" w:right="0" w:firstLine="0"/>
        <w:jc w:val="left"/>
        <w:rPr>
          <w:rFonts w:ascii="Gill Sans MT"/>
          <w:sz w:val="32"/>
        </w:rPr>
      </w:pPr>
      <w:r>
        <w:rPr>
          <w:rFonts w:ascii="Gill Sans MT"/>
          <w:w w:val="105"/>
          <w:sz w:val="32"/>
        </w:rPr>
        <w:t>to grow</w:t>
      </w:r>
    </w:p>
    <w:p>
      <w:pPr>
        <w:pStyle w:val="Heading5"/>
        <w:numPr>
          <w:ilvl w:val="0"/>
          <w:numId w:val="6"/>
        </w:numPr>
        <w:tabs>
          <w:tab w:pos="1116" w:val="left" w:leader="none"/>
        </w:tabs>
        <w:spacing w:line="223" w:lineRule="auto" w:before="155" w:after="0"/>
        <w:ind w:left="1115" w:right="309" w:hanging="272"/>
        <w:jc w:val="left"/>
        <w:rPr>
          <w:rFonts w:ascii="Arial" w:hAnsi="Arial"/>
        </w:rPr>
      </w:pPr>
      <w:r>
        <w:rPr>
          <w:w w:val="110"/>
        </w:rPr>
        <w:t>Federal debt held by the public is near all-time highs</w:t>
      </w:r>
      <w:r>
        <w:rPr>
          <w:spacing w:val="-9"/>
          <w:w w:val="110"/>
        </w:rPr>
        <w:t> </w:t>
      </w:r>
      <w:r>
        <w:rPr>
          <w:w w:val="110"/>
        </w:rPr>
        <w:t>at</w:t>
      </w:r>
      <w:r>
        <w:rPr>
          <w:spacing w:val="-9"/>
          <w:w w:val="110"/>
        </w:rPr>
        <w:t> </w:t>
      </w:r>
      <w:r>
        <w:rPr>
          <w:w w:val="110"/>
        </w:rPr>
        <w:t>98%</w:t>
      </w:r>
      <w:r>
        <w:rPr>
          <w:spacing w:val="-14"/>
          <w:w w:val="110"/>
        </w:rPr>
        <w:t> </w:t>
      </w:r>
      <w:r>
        <w:rPr>
          <w:w w:val="110"/>
        </w:rPr>
        <w:t>of</w:t>
      </w:r>
      <w:r>
        <w:rPr>
          <w:spacing w:val="-12"/>
          <w:w w:val="110"/>
        </w:rPr>
        <w:t> </w:t>
      </w:r>
      <w:r>
        <w:rPr>
          <w:w w:val="110"/>
        </w:rPr>
        <w:t>GDP</w:t>
      </w:r>
      <w:r>
        <w:rPr>
          <w:spacing w:val="-15"/>
          <w:w w:val="110"/>
        </w:rPr>
        <w:t> </w:t>
      </w:r>
      <w:r>
        <w:rPr>
          <w:w w:val="110"/>
        </w:rPr>
        <w:t>and</w:t>
      </w:r>
      <w:r>
        <w:rPr>
          <w:spacing w:val="-13"/>
          <w:w w:val="110"/>
        </w:rPr>
        <w:t> </w:t>
      </w:r>
      <w:r>
        <w:rPr>
          <w:w w:val="110"/>
        </w:rPr>
        <w:t>is</w:t>
      </w:r>
      <w:r>
        <w:rPr>
          <w:spacing w:val="-9"/>
          <w:w w:val="110"/>
        </w:rPr>
        <w:t> </w:t>
      </w:r>
      <w:r>
        <w:rPr>
          <w:w w:val="110"/>
        </w:rPr>
        <w:t>expected</w:t>
      </w:r>
      <w:r>
        <w:rPr>
          <w:spacing w:val="-14"/>
          <w:w w:val="110"/>
        </w:rPr>
        <w:t> </w:t>
      </w:r>
      <w:r>
        <w:rPr>
          <w:w w:val="110"/>
        </w:rPr>
        <w:t>to</w:t>
      </w:r>
      <w:r>
        <w:rPr>
          <w:spacing w:val="-7"/>
          <w:w w:val="110"/>
        </w:rPr>
        <w:t> </w:t>
      </w:r>
      <w:r>
        <w:rPr>
          <w:w w:val="110"/>
        </w:rPr>
        <w:t>grow</w:t>
      </w:r>
      <w:r>
        <w:rPr>
          <w:spacing w:val="-16"/>
          <w:w w:val="110"/>
        </w:rPr>
        <w:t> </w:t>
      </w:r>
      <w:r>
        <w:rPr>
          <w:w w:val="110"/>
        </w:rPr>
        <w:t>as deficits continue</w:t>
      </w:r>
      <w:r>
        <w:rPr>
          <w:spacing w:val="-66"/>
          <w:w w:val="110"/>
        </w:rPr>
        <w:t> </w:t>
      </w:r>
      <w:r>
        <w:rPr>
          <w:w w:val="110"/>
        </w:rPr>
        <w:t>in the future</w:t>
      </w:r>
    </w:p>
    <w:p>
      <w:pPr>
        <w:pStyle w:val="ListParagraph"/>
        <w:numPr>
          <w:ilvl w:val="0"/>
          <w:numId w:val="6"/>
        </w:numPr>
        <w:tabs>
          <w:tab w:pos="1116" w:val="left" w:leader="none"/>
        </w:tabs>
        <w:spacing w:line="223" w:lineRule="auto" w:before="157" w:after="0"/>
        <w:ind w:left="1115" w:right="58" w:hanging="272"/>
        <w:jc w:val="left"/>
        <w:rPr>
          <w:rFonts w:ascii="Arial" w:hAnsi="Arial"/>
          <w:sz w:val="28"/>
        </w:rPr>
      </w:pPr>
      <w:r>
        <w:rPr>
          <w:rFonts w:ascii="Gill Sans MT" w:hAnsi="Gill Sans MT"/>
          <w:w w:val="110"/>
          <w:sz w:val="28"/>
        </w:rPr>
        <w:t>The</w:t>
      </w:r>
      <w:r>
        <w:rPr>
          <w:rFonts w:ascii="Gill Sans MT" w:hAnsi="Gill Sans MT"/>
          <w:spacing w:val="-17"/>
          <w:w w:val="110"/>
          <w:sz w:val="28"/>
        </w:rPr>
        <w:t> </w:t>
      </w:r>
      <w:r>
        <w:rPr>
          <w:rFonts w:ascii="Gill Sans MT" w:hAnsi="Gill Sans MT"/>
          <w:w w:val="110"/>
          <w:sz w:val="28"/>
        </w:rPr>
        <w:t>primary</w:t>
      </w:r>
      <w:r>
        <w:rPr>
          <w:rFonts w:ascii="Gill Sans MT" w:hAnsi="Gill Sans MT"/>
          <w:spacing w:val="-23"/>
          <w:w w:val="110"/>
          <w:sz w:val="28"/>
        </w:rPr>
        <w:t> </w:t>
      </w:r>
      <w:r>
        <w:rPr>
          <w:rFonts w:ascii="Gill Sans MT" w:hAnsi="Gill Sans MT"/>
          <w:w w:val="110"/>
          <w:sz w:val="28"/>
        </w:rPr>
        <w:t>drivers</w:t>
      </w:r>
      <w:r>
        <w:rPr>
          <w:rFonts w:ascii="Gill Sans MT" w:hAnsi="Gill Sans MT"/>
          <w:spacing w:val="-23"/>
          <w:w w:val="110"/>
          <w:sz w:val="28"/>
        </w:rPr>
        <w:t> </w:t>
      </w:r>
      <w:r>
        <w:rPr>
          <w:rFonts w:ascii="Gill Sans MT" w:hAnsi="Gill Sans MT"/>
          <w:w w:val="110"/>
          <w:sz w:val="28"/>
        </w:rPr>
        <w:t>of</w:t>
      </w:r>
      <w:r>
        <w:rPr>
          <w:rFonts w:ascii="Gill Sans MT" w:hAnsi="Gill Sans MT"/>
          <w:spacing w:val="-16"/>
          <w:w w:val="110"/>
          <w:sz w:val="28"/>
        </w:rPr>
        <w:t> </w:t>
      </w:r>
      <w:r>
        <w:rPr>
          <w:rFonts w:ascii="Gill Sans MT" w:hAnsi="Gill Sans MT"/>
          <w:w w:val="110"/>
          <w:sz w:val="28"/>
        </w:rPr>
        <w:t>future</w:t>
      </w:r>
      <w:r>
        <w:rPr>
          <w:rFonts w:ascii="Gill Sans MT" w:hAnsi="Gill Sans MT"/>
          <w:spacing w:val="-22"/>
          <w:w w:val="110"/>
          <w:sz w:val="28"/>
        </w:rPr>
        <w:t> </w:t>
      </w:r>
      <w:r>
        <w:rPr>
          <w:rFonts w:ascii="Gill Sans MT" w:hAnsi="Gill Sans MT"/>
          <w:w w:val="110"/>
          <w:sz w:val="28"/>
        </w:rPr>
        <w:t>budget</w:t>
      </w:r>
      <w:r>
        <w:rPr>
          <w:rFonts w:ascii="Gill Sans MT" w:hAnsi="Gill Sans MT"/>
          <w:spacing w:val="-21"/>
          <w:w w:val="110"/>
          <w:sz w:val="28"/>
        </w:rPr>
        <w:t> </w:t>
      </w:r>
      <w:r>
        <w:rPr>
          <w:rFonts w:ascii="Gill Sans MT" w:hAnsi="Gill Sans MT"/>
          <w:w w:val="110"/>
          <w:sz w:val="28"/>
        </w:rPr>
        <w:t>shortfalls</w:t>
      </w:r>
      <w:r>
        <w:rPr>
          <w:rFonts w:ascii="Gill Sans MT" w:hAnsi="Gill Sans MT"/>
          <w:spacing w:val="-16"/>
          <w:w w:val="110"/>
          <w:sz w:val="28"/>
        </w:rPr>
        <w:t> </w:t>
      </w:r>
      <w:r>
        <w:rPr>
          <w:rFonts w:ascii="Gill Sans MT" w:hAnsi="Gill Sans MT"/>
          <w:w w:val="110"/>
          <w:sz w:val="28"/>
        </w:rPr>
        <w:t>are mandatory spending and interest payments that outpace</w:t>
      </w:r>
      <w:r>
        <w:rPr>
          <w:rFonts w:ascii="Gill Sans MT" w:hAnsi="Gill Sans MT"/>
          <w:spacing w:val="-20"/>
          <w:w w:val="110"/>
          <w:sz w:val="28"/>
        </w:rPr>
        <w:t> </w:t>
      </w:r>
      <w:r>
        <w:rPr>
          <w:rFonts w:ascii="Gill Sans MT" w:hAnsi="Gill Sans MT"/>
          <w:w w:val="110"/>
          <w:sz w:val="28"/>
        </w:rPr>
        <w:t>revenues</w:t>
      </w:r>
    </w:p>
    <w:p>
      <w:pPr>
        <w:pStyle w:val="ListParagraph"/>
        <w:numPr>
          <w:ilvl w:val="0"/>
          <w:numId w:val="6"/>
        </w:numPr>
        <w:tabs>
          <w:tab w:pos="1116" w:val="left" w:leader="none"/>
        </w:tabs>
        <w:spacing w:line="223" w:lineRule="auto" w:before="160" w:after="0"/>
        <w:ind w:left="1115" w:right="429" w:hanging="272"/>
        <w:jc w:val="left"/>
        <w:rPr>
          <w:rFonts w:ascii="Arial" w:hAnsi="Arial"/>
          <w:sz w:val="28"/>
        </w:rPr>
      </w:pPr>
      <w:r>
        <w:rPr>
          <w:rFonts w:ascii="Gill Sans MT" w:hAnsi="Gill Sans MT"/>
          <w:w w:val="110"/>
          <w:sz w:val="28"/>
        </w:rPr>
        <w:t>Larger expected deficits can lead investors to demand higher risk premiums, increasing long- term borrowing</w:t>
      </w:r>
      <w:r>
        <w:rPr>
          <w:rFonts w:ascii="Gill Sans MT" w:hAnsi="Gill Sans MT"/>
          <w:spacing w:val="-43"/>
          <w:w w:val="110"/>
          <w:sz w:val="28"/>
        </w:rPr>
        <w:t> </w:t>
      </w:r>
      <w:r>
        <w:rPr>
          <w:rFonts w:ascii="Gill Sans MT" w:hAnsi="Gill Sans MT"/>
          <w:w w:val="110"/>
          <w:sz w:val="28"/>
        </w:rPr>
        <w:t>costs</w:t>
      </w:r>
    </w:p>
    <w:p>
      <w:pPr>
        <w:pStyle w:val="BodyText"/>
        <w:spacing w:before="3"/>
        <w:rPr>
          <w:rFonts w:ascii="Gill Sans MT"/>
          <w:sz w:val="32"/>
        </w:rPr>
      </w:pPr>
    </w:p>
    <w:p>
      <w:pPr>
        <w:spacing w:line="223" w:lineRule="auto" w:before="0"/>
        <w:ind w:left="844" w:right="0" w:firstLine="0"/>
        <w:jc w:val="left"/>
        <w:rPr>
          <w:rFonts w:ascii="Gill Sans MT"/>
          <w:sz w:val="32"/>
        </w:rPr>
      </w:pPr>
      <w:r>
        <w:rPr>
          <w:rFonts w:ascii="Gill Sans MT"/>
          <w:w w:val="110"/>
          <w:sz w:val="32"/>
        </w:rPr>
        <w:t>The</w:t>
      </w:r>
      <w:r>
        <w:rPr>
          <w:rFonts w:ascii="Gill Sans MT"/>
          <w:spacing w:val="-29"/>
          <w:w w:val="110"/>
          <w:sz w:val="32"/>
        </w:rPr>
        <w:t> </w:t>
      </w:r>
      <w:r>
        <w:rPr>
          <w:rFonts w:ascii="Gill Sans MT"/>
          <w:w w:val="110"/>
          <w:sz w:val="32"/>
        </w:rPr>
        <w:t>yield</w:t>
      </w:r>
      <w:r>
        <w:rPr>
          <w:rFonts w:ascii="Gill Sans MT"/>
          <w:spacing w:val="-31"/>
          <w:w w:val="110"/>
          <w:sz w:val="32"/>
        </w:rPr>
        <w:t> </w:t>
      </w:r>
      <w:r>
        <w:rPr>
          <w:rFonts w:ascii="Gill Sans MT"/>
          <w:w w:val="110"/>
          <w:sz w:val="32"/>
        </w:rPr>
        <w:t>curve</w:t>
      </w:r>
      <w:r>
        <w:rPr>
          <w:rFonts w:ascii="Gill Sans MT"/>
          <w:spacing w:val="-30"/>
          <w:w w:val="110"/>
          <w:sz w:val="32"/>
        </w:rPr>
        <w:t> </w:t>
      </w:r>
      <w:r>
        <w:rPr>
          <w:rFonts w:ascii="Gill Sans MT"/>
          <w:w w:val="110"/>
          <w:sz w:val="32"/>
        </w:rPr>
        <w:t>steepened</w:t>
      </w:r>
      <w:r>
        <w:rPr>
          <w:rFonts w:ascii="Gill Sans MT"/>
          <w:spacing w:val="-32"/>
          <w:w w:val="110"/>
          <w:sz w:val="32"/>
        </w:rPr>
        <w:t> </w:t>
      </w:r>
      <w:r>
        <w:rPr>
          <w:rFonts w:ascii="Gill Sans MT"/>
          <w:w w:val="110"/>
          <w:sz w:val="32"/>
        </w:rPr>
        <w:t>during</w:t>
      </w:r>
      <w:r>
        <w:rPr>
          <w:rFonts w:ascii="Gill Sans MT"/>
          <w:spacing w:val="-30"/>
          <w:w w:val="110"/>
          <w:sz w:val="32"/>
        </w:rPr>
        <w:t> </w:t>
      </w:r>
      <w:r>
        <w:rPr>
          <w:rFonts w:ascii="Gill Sans MT"/>
          <w:w w:val="110"/>
          <w:sz w:val="32"/>
        </w:rPr>
        <w:t>the</w:t>
      </w:r>
      <w:r>
        <w:rPr>
          <w:rFonts w:ascii="Gill Sans MT"/>
          <w:spacing w:val="-28"/>
          <w:w w:val="110"/>
          <w:sz w:val="32"/>
        </w:rPr>
        <w:t> </w:t>
      </w:r>
      <w:r>
        <w:rPr>
          <w:rFonts w:ascii="Gill Sans MT"/>
          <w:w w:val="110"/>
          <w:sz w:val="32"/>
        </w:rPr>
        <w:t>first</w:t>
      </w:r>
      <w:r>
        <w:rPr>
          <w:rFonts w:ascii="Gill Sans MT"/>
          <w:spacing w:val="-30"/>
          <w:w w:val="110"/>
          <w:sz w:val="32"/>
        </w:rPr>
        <w:t> </w:t>
      </w:r>
      <w:r>
        <w:rPr>
          <w:rFonts w:ascii="Gill Sans MT"/>
          <w:w w:val="110"/>
          <w:sz w:val="32"/>
        </w:rPr>
        <w:t>half of</w:t>
      </w:r>
      <w:r>
        <w:rPr>
          <w:rFonts w:ascii="Gill Sans MT"/>
          <w:spacing w:val="-24"/>
          <w:w w:val="110"/>
          <w:sz w:val="32"/>
        </w:rPr>
        <w:t> </w:t>
      </w:r>
      <w:r>
        <w:rPr>
          <w:rFonts w:ascii="Gill Sans MT"/>
          <w:w w:val="110"/>
          <w:sz w:val="32"/>
        </w:rPr>
        <w:t>2025</w:t>
      </w:r>
    </w:p>
    <w:p>
      <w:pPr>
        <w:pStyle w:val="ListParagraph"/>
        <w:numPr>
          <w:ilvl w:val="0"/>
          <w:numId w:val="6"/>
        </w:numPr>
        <w:tabs>
          <w:tab w:pos="1116" w:val="left" w:leader="none"/>
        </w:tabs>
        <w:spacing w:line="223" w:lineRule="auto" w:before="162" w:after="0"/>
        <w:ind w:left="1115" w:right="38" w:hanging="272"/>
        <w:jc w:val="left"/>
        <w:rPr>
          <w:rFonts w:ascii="Arial" w:hAnsi="Arial"/>
          <w:sz w:val="27"/>
        </w:rPr>
      </w:pPr>
      <w:r>
        <w:rPr>
          <w:rFonts w:ascii="Gill Sans MT" w:hAnsi="Gill Sans MT"/>
          <w:w w:val="115"/>
          <w:sz w:val="27"/>
        </w:rPr>
        <w:t>Yields</w:t>
      </w:r>
      <w:r>
        <w:rPr>
          <w:rFonts w:ascii="Gill Sans MT" w:hAnsi="Gill Sans MT"/>
          <w:spacing w:val="-38"/>
          <w:w w:val="115"/>
          <w:sz w:val="27"/>
        </w:rPr>
        <w:t> </w:t>
      </w:r>
      <w:r>
        <w:rPr>
          <w:rFonts w:ascii="Gill Sans MT" w:hAnsi="Gill Sans MT"/>
          <w:w w:val="115"/>
          <w:sz w:val="27"/>
        </w:rPr>
        <w:t>declined</w:t>
      </w:r>
      <w:r>
        <w:rPr>
          <w:rFonts w:ascii="Gill Sans MT" w:hAnsi="Gill Sans MT"/>
          <w:spacing w:val="-37"/>
          <w:w w:val="115"/>
          <w:sz w:val="27"/>
        </w:rPr>
        <w:t> </w:t>
      </w:r>
      <w:r>
        <w:rPr>
          <w:rFonts w:ascii="Gill Sans MT" w:hAnsi="Gill Sans MT"/>
          <w:w w:val="115"/>
          <w:sz w:val="27"/>
        </w:rPr>
        <w:t>in</w:t>
      </w:r>
      <w:r>
        <w:rPr>
          <w:rFonts w:ascii="Gill Sans MT" w:hAnsi="Gill Sans MT"/>
          <w:spacing w:val="-34"/>
          <w:w w:val="115"/>
          <w:sz w:val="27"/>
        </w:rPr>
        <w:t> </w:t>
      </w:r>
      <w:r>
        <w:rPr>
          <w:rFonts w:ascii="Gill Sans MT" w:hAnsi="Gill Sans MT"/>
          <w:w w:val="115"/>
          <w:sz w:val="27"/>
        </w:rPr>
        <w:t>the</w:t>
      </w:r>
      <w:r>
        <w:rPr>
          <w:rFonts w:ascii="Gill Sans MT" w:hAnsi="Gill Sans MT"/>
          <w:spacing w:val="-39"/>
          <w:w w:val="115"/>
          <w:sz w:val="27"/>
        </w:rPr>
        <w:t> </w:t>
      </w:r>
      <w:r>
        <w:rPr>
          <w:rFonts w:ascii="Gill Sans MT" w:hAnsi="Gill Sans MT"/>
          <w:w w:val="115"/>
          <w:sz w:val="27"/>
        </w:rPr>
        <w:t>first</w:t>
      </w:r>
      <w:r>
        <w:rPr>
          <w:rFonts w:ascii="Gill Sans MT" w:hAnsi="Gill Sans MT"/>
          <w:spacing w:val="-35"/>
          <w:w w:val="115"/>
          <w:sz w:val="27"/>
        </w:rPr>
        <w:t> </w:t>
      </w:r>
      <w:r>
        <w:rPr>
          <w:rFonts w:ascii="Gill Sans MT" w:hAnsi="Gill Sans MT"/>
          <w:w w:val="115"/>
          <w:sz w:val="27"/>
        </w:rPr>
        <w:t>quarter</w:t>
      </w:r>
      <w:r>
        <w:rPr>
          <w:rFonts w:ascii="Gill Sans MT" w:hAnsi="Gill Sans MT"/>
          <w:spacing w:val="-35"/>
          <w:w w:val="115"/>
          <w:sz w:val="27"/>
        </w:rPr>
        <w:t> </w:t>
      </w:r>
      <w:r>
        <w:rPr>
          <w:rFonts w:ascii="Gill Sans MT" w:hAnsi="Gill Sans MT"/>
          <w:w w:val="115"/>
          <w:sz w:val="27"/>
        </w:rPr>
        <w:t>as</w:t>
      </w:r>
      <w:r>
        <w:rPr>
          <w:rFonts w:ascii="Gill Sans MT" w:hAnsi="Gill Sans MT"/>
          <w:spacing w:val="-34"/>
          <w:w w:val="115"/>
          <w:sz w:val="27"/>
        </w:rPr>
        <w:t> </w:t>
      </w:r>
      <w:r>
        <w:rPr>
          <w:rFonts w:ascii="Gill Sans MT" w:hAnsi="Gill Sans MT"/>
          <w:w w:val="115"/>
          <w:sz w:val="27"/>
        </w:rPr>
        <w:t>the</w:t>
      </w:r>
      <w:r>
        <w:rPr>
          <w:rFonts w:ascii="Gill Sans MT" w:hAnsi="Gill Sans MT"/>
          <w:spacing w:val="-39"/>
          <w:w w:val="115"/>
          <w:sz w:val="27"/>
        </w:rPr>
        <w:t> </w:t>
      </w:r>
      <w:r>
        <w:rPr>
          <w:rFonts w:ascii="Gill Sans MT" w:hAnsi="Gill Sans MT"/>
          <w:w w:val="115"/>
          <w:sz w:val="27"/>
        </w:rPr>
        <w:t>markets priced in Fed rate cuts and investors sought safe- haven</w:t>
      </w:r>
      <w:r>
        <w:rPr>
          <w:rFonts w:ascii="Gill Sans MT" w:hAnsi="Gill Sans MT"/>
          <w:spacing w:val="-40"/>
          <w:w w:val="115"/>
          <w:sz w:val="27"/>
        </w:rPr>
        <w:t> </w:t>
      </w:r>
      <w:r>
        <w:rPr>
          <w:rFonts w:ascii="Gill Sans MT" w:hAnsi="Gill Sans MT"/>
          <w:w w:val="115"/>
          <w:sz w:val="27"/>
        </w:rPr>
        <w:t>assets</w:t>
      </w:r>
      <w:r>
        <w:rPr>
          <w:rFonts w:ascii="Gill Sans MT" w:hAnsi="Gill Sans MT"/>
          <w:spacing w:val="-36"/>
          <w:w w:val="115"/>
          <w:sz w:val="27"/>
        </w:rPr>
        <w:t> </w:t>
      </w:r>
      <w:r>
        <w:rPr>
          <w:rFonts w:ascii="Gill Sans MT" w:hAnsi="Gill Sans MT"/>
          <w:w w:val="115"/>
          <w:sz w:val="27"/>
        </w:rPr>
        <w:t>amid</w:t>
      </w:r>
      <w:r>
        <w:rPr>
          <w:rFonts w:ascii="Gill Sans MT" w:hAnsi="Gill Sans MT"/>
          <w:spacing w:val="-36"/>
          <w:w w:val="115"/>
          <w:sz w:val="27"/>
        </w:rPr>
        <w:t> </w:t>
      </w:r>
      <w:r>
        <w:rPr>
          <w:rFonts w:ascii="Gill Sans MT" w:hAnsi="Gill Sans MT"/>
          <w:w w:val="115"/>
          <w:sz w:val="27"/>
        </w:rPr>
        <w:t>economic</w:t>
      </w:r>
      <w:r>
        <w:rPr>
          <w:rFonts w:ascii="Gill Sans MT" w:hAnsi="Gill Sans MT"/>
          <w:spacing w:val="-33"/>
          <w:w w:val="115"/>
          <w:sz w:val="27"/>
        </w:rPr>
        <w:t> </w:t>
      </w:r>
      <w:r>
        <w:rPr>
          <w:rFonts w:ascii="Gill Sans MT" w:hAnsi="Gill Sans MT"/>
          <w:w w:val="115"/>
          <w:sz w:val="27"/>
        </w:rPr>
        <w:t>and</w:t>
      </w:r>
      <w:r>
        <w:rPr>
          <w:rFonts w:ascii="Gill Sans MT" w:hAnsi="Gill Sans MT"/>
          <w:spacing w:val="-37"/>
          <w:w w:val="115"/>
          <w:sz w:val="27"/>
        </w:rPr>
        <w:t> </w:t>
      </w:r>
      <w:r>
        <w:rPr>
          <w:rFonts w:ascii="Gill Sans MT" w:hAnsi="Gill Sans MT"/>
          <w:w w:val="115"/>
          <w:sz w:val="27"/>
        </w:rPr>
        <w:t>policy</w:t>
      </w:r>
      <w:r>
        <w:rPr>
          <w:rFonts w:ascii="Gill Sans MT" w:hAnsi="Gill Sans MT"/>
          <w:spacing w:val="-35"/>
          <w:w w:val="115"/>
          <w:sz w:val="27"/>
        </w:rPr>
        <w:t> </w:t>
      </w:r>
      <w:r>
        <w:rPr>
          <w:rFonts w:ascii="Gill Sans MT" w:hAnsi="Gill Sans MT"/>
          <w:w w:val="115"/>
          <w:sz w:val="27"/>
        </w:rPr>
        <w:t>uncertainty</w:t>
      </w:r>
    </w:p>
    <w:p>
      <w:pPr>
        <w:pStyle w:val="ListParagraph"/>
        <w:numPr>
          <w:ilvl w:val="0"/>
          <w:numId w:val="6"/>
        </w:numPr>
        <w:tabs>
          <w:tab w:pos="1116" w:val="left" w:leader="none"/>
        </w:tabs>
        <w:spacing w:line="223" w:lineRule="auto" w:before="159" w:after="0"/>
        <w:ind w:left="1115" w:right="45" w:hanging="272"/>
        <w:jc w:val="left"/>
        <w:rPr>
          <w:rFonts w:ascii="Arial" w:hAnsi="Arial"/>
          <w:sz w:val="27"/>
        </w:rPr>
      </w:pPr>
      <w:r>
        <w:rPr>
          <w:rFonts w:ascii="Gill Sans MT" w:hAnsi="Gill Sans MT"/>
          <w:w w:val="110"/>
          <w:sz w:val="27"/>
        </w:rPr>
        <w:t>Long-term</w:t>
      </w:r>
      <w:r>
        <w:rPr>
          <w:rFonts w:ascii="Gill Sans MT" w:hAnsi="Gill Sans MT"/>
          <w:spacing w:val="-25"/>
          <w:w w:val="110"/>
          <w:sz w:val="27"/>
        </w:rPr>
        <w:t> </w:t>
      </w:r>
      <w:r>
        <w:rPr>
          <w:rFonts w:ascii="Gill Sans MT" w:hAnsi="Gill Sans MT"/>
          <w:w w:val="110"/>
          <w:sz w:val="27"/>
        </w:rPr>
        <w:t>yields</w:t>
      </w:r>
      <w:r>
        <w:rPr>
          <w:rFonts w:ascii="Gill Sans MT" w:hAnsi="Gill Sans MT"/>
          <w:spacing w:val="-28"/>
          <w:w w:val="110"/>
          <w:sz w:val="27"/>
        </w:rPr>
        <w:t> </w:t>
      </w:r>
      <w:r>
        <w:rPr>
          <w:rFonts w:ascii="Gill Sans MT" w:hAnsi="Gill Sans MT"/>
          <w:w w:val="110"/>
          <w:sz w:val="27"/>
        </w:rPr>
        <w:t>rose</w:t>
      </w:r>
      <w:r>
        <w:rPr>
          <w:rFonts w:ascii="Gill Sans MT" w:hAnsi="Gill Sans MT"/>
          <w:spacing w:val="-24"/>
          <w:w w:val="110"/>
          <w:sz w:val="27"/>
        </w:rPr>
        <w:t> </w:t>
      </w:r>
      <w:r>
        <w:rPr>
          <w:rFonts w:ascii="Gill Sans MT" w:hAnsi="Gill Sans MT"/>
          <w:w w:val="110"/>
          <w:sz w:val="27"/>
        </w:rPr>
        <w:t>in</w:t>
      </w:r>
      <w:r>
        <w:rPr>
          <w:rFonts w:ascii="Gill Sans MT" w:hAnsi="Gill Sans MT"/>
          <w:spacing w:val="-25"/>
          <w:w w:val="110"/>
          <w:sz w:val="27"/>
        </w:rPr>
        <w:t> </w:t>
      </w:r>
      <w:r>
        <w:rPr>
          <w:rFonts w:ascii="Gill Sans MT" w:hAnsi="Gill Sans MT"/>
          <w:w w:val="110"/>
          <w:sz w:val="27"/>
        </w:rPr>
        <w:t>Q2</w:t>
      </w:r>
      <w:r>
        <w:rPr>
          <w:rFonts w:ascii="Gill Sans MT" w:hAnsi="Gill Sans MT"/>
          <w:spacing w:val="-26"/>
          <w:w w:val="110"/>
          <w:sz w:val="27"/>
        </w:rPr>
        <w:t> </w:t>
      </w:r>
      <w:r>
        <w:rPr>
          <w:rFonts w:ascii="Gill Sans MT" w:hAnsi="Gill Sans MT"/>
          <w:w w:val="110"/>
          <w:sz w:val="27"/>
        </w:rPr>
        <w:t>2025</w:t>
      </w:r>
      <w:r>
        <w:rPr>
          <w:rFonts w:ascii="Gill Sans MT" w:hAnsi="Gill Sans MT"/>
          <w:spacing w:val="-24"/>
          <w:w w:val="110"/>
          <w:sz w:val="27"/>
        </w:rPr>
        <w:t> </w:t>
      </w:r>
      <w:r>
        <w:rPr>
          <w:rFonts w:ascii="Gill Sans MT" w:hAnsi="Gill Sans MT"/>
          <w:w w:val="110"/>
          <w:sz w:val="27"/>
        </w:rPr>
        <w:t>due</w:t>
      </w:r>
      <w:r>
        <w:rPr>
          <w:rFonts w:ascii="Gill Sans MT" w:hAnsi="Gill Sans MT"/>
          <w:spacing w:val="-25"/>
          <w:w w:val="110"/>
          <w:sz w:val="27"/>
        </w:rPr>
        <w:t> </w:t>
      </w:r>
      <w:r>
        <w:rPr>
          <w:rFonts w:ascii="Gill Sans MT" w:hAnsi="Gill Sans MT"/>
          <w:w w:val="110"/>
          <w:sz w:val="27"/>
        </w:rPr>
        <w:t>to</w:t>
      </w:r>
      <w:r>
        <w:rPr>
          <w:rFonts w:ascii="Gill Sans MT" w:hAnsi="Gill Sans MT"/>
          <w:spacing w:val="-26"/>
          <w:w w:val="110"/>
          <w:sz w:val="27"/>
        </w:rPr>
        <w:t> </w:t>
      </w:r>
      <w:r>
        <w:rPr>
          <w:rFonts w:ascii="Gill Sans MT" w:hAnsi="Gill Sans MT"/>
          <w:w w:val="110"/>
          <w:sz w:val="27"/>
        </w:rPr>
        <w:t>a</w:t>
      </w:r>
      <w:r>
        <w:rPr>
          <w:rFonts w:ascii="Gill Sans MT" w:hAnsi="Gill Sans MT"/>
          <w:spacing w:val="-28"/>
          <w:w w:val="110"/>
          <w:sz w:val="27"/>
        </w:rPr>
        <w:t> </w:t>
      </w:r>
      <w:r>
        <w:rPr>
          <w:rFonts w:ascii="Gill Sans MT" w:hAnsi="Gill Sans MT"/>
          <w:w w:val="110"/>
          <w:sz w:val="27"/>
        </w:rPr>
        <w:t>reduction in flight-to-safety demand, the impact of higher fiscal deficits and long-term U.S. debt levels, and concerns</w:t>
      </w:r>
      <w:r>
        <w:rPr>
          <w:rFonts w:ascii="Gill Sans MT" w:hAnsi="Gill Sans MT"/>
          <w:spacing w:val="-7"/>
          <w:w w:val="110"/>
          <w:sz w:val="27"/>
        </w:rPr>
        <w:t> </w:t>
      </w:r>
      <w:r>
        <w:rPr>
          <w:rFonts w:ascii="Gill Sans MT" w:hAnsi="Gill Sans MT"/>
          <w:w w:val="110"/>
          <w:sz w:val="27"/>
        </w:rPr>
        <w:t>over</w:t>
      </w:r>
      <w:r>
        <w:rPr>
          <w:rFonts w:ascii="Gill Sans MT" w:hAnsi="Gill Sans MT"/>
          <w:spacing w:val="-16"/>
          <w:w w:val="110"/>
          <w:sz w:val="27"/>
        </w:rPr>
        <w:t> </w:t>
      </w:r>
      <w:r>
        <w:rPr>
          <w:rFonts w:ascii="Gill Sans MT" w:hAnsi="Gill Sans MT"/>
          <w:w w:val="110"/>
          <w:sz w:val="27"/>
        </w:rPr>
        <w:t>tariffs</w:t>
      </w:r>
      <w:r>
        <w:rPr>
          <w:rFonts w:ascii="Gill Sans MT" w:hAnsi="Gill Sans MT"/>
          <w:spacing w:val="-11"/>
          <w:w w:val="110"/>
          <w:sz w:val="27"/>
        </w:rPr>
        <w:t> </w:t>
      </w:r>
      <w:r>
        <w:rPr>
          <w:rFonts w:ascii="Gill Sans MT" w:hAnsi="Gill Sans MT"/>
          <w:w w:val="110"/>
          <w:sz w:val="27"/>
        </w:rPr>
        <w:t>potentially</w:t>
      </w:r>
      <w:r>
        <w:rPr>
          <w:rFonts w:ascii="Gill Sans MT" w:hAnsi="Gill Sans MT"/>
          <w:spacing w:val="-14"/>
          <w:w w:val="110"/>
          <w:sz w:val="27"/>
        </w:rPr>
        <w:t> </w:t>
      </w:r>
      <w:r>
        <w:rPr>
          <w:rFonts w:ascii="Gill Sans MT" w:hAnsi="Gill Sans MT"/>
          <w:w w:val="110"/>
          <w:sz w:val="27"/>
        </w:rPr>
        <w:t>driving</w:t>
      </w:r>
      <w:r>
        <w:rPr>
          <w:rFonts w:ascii="Gill Sans MT" w:hAnsi="Gill Sans MT"/>
          <w:spacing w:val="-11"/>
          <w:w w:val="110"/>
          <w:sz w:val="27"/>
        </w:rPr>
        <w:t> </w:t>
      </w:r>
      <w:r>
        <w:rPr>
          <w:rFonts w:ascii="Gill Sans MT" w:hAnsi="Gill Sans MT"/>
          <w:w w:val="110"/>
          <w:sz w:val="27"/>
        </w:rPr>
        <w:t>up</w:t>
      </w:r>
      <w:r>
        <w:rPr>
          <w:rFonts w:ascii="Gill Sans MT" w:hAnsi="Gill Sans MT"/>
          <w:spacing w:val="-13"/>
          <w:w w:val="110"/>
          <w:sz w:val="27"/>
        </w:rPr>
        <w:t> </w:t>
      </w:r>
      <w:r>
        <w:rPr>
          <w:rFonts w:ascii="Gill Sans MT" w:hAnsi="Gill Sans MT"/>
          <w:w w:val="110"/>
          <w:sz w:val="27"/>
        </w:rPr>
        <w:t>inflation</w:t>
      </w:r>
    </w:p>
    <w:p>
      <w:pPr>
        <w:spacing w:before="136"/>
        <w:ind w:left="2177" w:right="2468" w:firstLine="0"/>
        <w:jc w:val="center"/>
        <w:rPr>
          <w:rFonts w:ascii="Gill Sans MT"/>
          <w:sz w:val="32"/>
        </w:rPr>
      </w:pPr>
      <w:r>
        <w:rPr/>
        <w:br w:type="column"/>
      </w:r>
      <w:r>
        <w:rPr>
          <w:rFonts w:ascii="Gill Sans MT"/>
          <w:w w:val="110"/>
          <w:sz w:val="32"/>
        </w:rPr>
        <w:t>Federal Deficit</w:t>
      </w:r>
    </w:p>
    <w:p>
      <w:pPr>
        <w:spacing w:before="9"/>
        <w:ind w:left="2177" w:right="2467" w:firstLine="0"/>
        <w:jc w:val="center"/>
        <w:rPr>
          <w:rFonts w:ascii="Gill Sans MT"/>
          <w:sz w:val="21"/>
        </w:rPr>
      </w:pPr>
      <w:r>
        <w:rPr/>
        <w:pict>
          <v:shape style="position:absolute;margin-left:401.570007pt;margin-top:13.389718pt;width:246.55pt;height:138.050pt;mso-position-horizontal-relative:page;mso-position-vertical-relative:paragraph;z-index:-266959872" type="#_x0000_t202" filled="false" stroked="false">
            <v:textbox inset="0,0,0,0">
              <w:txbxContent>
                <w:p>
                  <w:pPr>
                    <w:spacing w:before="1"/>
                    <w:ind w:left="0" w:right="0" w:firstLine="0"/>
                    <w:jc w:val="left"/>
                    <w:rPr>
                      <w:rFonts w:ascii="Gill Sans MT"/>
                      <w:sz w:val="21"/>
                    </w:rPr>
                  </w:pPr>
                  <w:r>
                    <w:rPr>
                      <w:rFonts w:ascii="Gill Sans MT"/>
                      <w:w w:val="115"/>
                      <w:sz w:val="21"/>
                    </w:rPr>
                    <w:t>30</w:t>
                  </w:r>
                </w:p>
                <w:p>
                  <w:pPr>
                    <w:pStyle w:val="BodyText"/>
                    <w:rPr>
                      <w:rFonts w:ascii="Gill Sans MT"/>
                    </w:rPr>
                  </w:pPr>
                </w:p>
                <w:p>
                  <w:pPr>
                    <w:pStyle w:val="BodyText"/>
                    <w:spacing w:before="1"/>
                    <w:rPr>
                      <w:rFonts w:ascii="Gill Sans MT"/>
                      <w:sz w:val="21"/>
                    </w:rPr>
                  </w:pPr>
                </w:p>
                <w:p>
                  <w:pPr>
                    <w:spacing w:before="0"/>
                    <w:ind w:left="0" w:right="0" w:firstLine="0"/>
                    <w:jc w:val="left"/>
                    <w:rPr>
                      <w:rFonts w:ascii="Gill Sans MT"/>
                      <w:sz w:val="21"/>
                    </w:rPr>
                  </w:pPr>
                  <w:r>
                    <w:rPr>
                      <w:rFonts w:ascii="Gill Sans MT"/>
                      <w:w w:val="115"/>
                      <w:sz w:val="21"/>
                    </w:rPr>
                    <w:t>20</w:t>
                  </w:r>
                </w:p>
                <w:p>
                  <w:pPr>
                    <w:pStyle w:val="BodyText"/>
                    <w:rPr>
                      <w:rFonts w:ascii="Gill Sans MT"/>
                    </w:rPr>
                  </w:pPr>
                </w:p>
                <w:p>
                  <w:pPr>
                    <w:pStyle w:val="BodyText"/>
                    <w:spacing w:before="1"/>
                    <w:rPr>
                      <w:rFonts w:ascii="Gill Sans MT"/>
                      <w:sz w:val="21"/>
                    </w:rPr>
                  </w:pPr>
                </w:p>
                <w:p>
                  <w:pPr>
                    <w:spacing w:before="0"/>
                    <w:ind w:left="0" w:right="0" w:firstLine="0"/>
                    <w:jc w:val="left"/>
                    <w:rPr>
                      <w:rFonts w:ascii="Gill Sans MT"/>
                      <w:sz w:val="21"/>
                    </w:rPr>
                  </w:pPr>
                  <w:r>
                    <w:rPr>
                      <w:rFonts w:ascii="Gill Sans MT"/>
                      <w:w w:val="115"/>
                      <w:sz w:val="21"/>
                    </w:rPr>
                    <w:t>10</w:t>
                  </w:r>
                </w:p>
                <w:p>
                  <w:pPr>
                    <w:pStyle w:val="BodyText"/>
                    <w:rPr>
                      <w:rFonts w:ascii="Gill Sans MT"/>
                    </w:rPr>
                  </w:pPr>
                </w:p>
                <w:p>
                  <w:pPr>
                    <w:pStyle w:val="BodyText"/>
                    <w:rPr>
                      <w:rFonts w:ascii="Gill Sans MT"/>
                      <w:sz w:val="21"/>
                    </w:rPr>
                  </w:pPr>
                </w:p>
                <w:p>
                  <w:pPr>
                    <w:spacing w:before="1"/>
                    <w:ind w:left="118" w:right="0" w:firstLine="0"/>
                    <w:jc w:val="left"/>
                    <w:rPr>
                      <w:rFonts w:ascii="Gill Sans MT"/>
                      <w:sz w:val="21"/>
                    </w:rPr>
                  </w:pPr>
                  <w:r>
                    <w:rPr>
                      <w:rFonts w:ascii="Gill Sans MT"/>
                      <w:w w:val="112"/>
                      <w:sz w:val="21"/>
                    </w:rPr>
                    <w:t>0</w:t>
                  </w:r>
                </w:p>
                <w:p>
                  <w:pPr>
                    <w:tabs>
                      <w:tab w:pos="1033" w:val="left" w:leader="none"/>
                      <w:tab w:pos="1804" w:val="left" w:leader="none"/>
                      <w:tab w:pos="2687" w:val="left" w:leader="none"/>
                      <w:tab w:pos="3494" w:val="left" w:leader="none"/>
                      <w:tab w:pos="4380" w:val="left" w:leader="none"/>
                    </w:tabs>
                    <w:spacing w:before="6"/>
                    <w:ind w:left="168" w:right="0" w:firstLine="0"/>
                    <w:jc w:val="left"/>
                    <w:rPr>
                      <w:rFonts w:ascii="Gill Sans MT"/>
                      <w:sz w:val="18"/>
                    </w:rPr>
                  </w:pPr>
                  <w:r>
                    <w:rPr>
                      <w:rFonts w:ascii="Gill Sans MT"/>
                      <w:spacing w:val="-1"/>
                      <w:w w:val="220"/>
                      <w:sz w:val="18"/>
                    </w:rPr>
                    <w:t>J</w:t>
                  </w:r>
                  <w:r>
                    <w:rPr>
                      <w:rFonts w:ascii="Gill Sans MT"/>
                      <w:w w:val="118"/>
                      <w:sz w:val="18"/>
                    </w:rPr>
                    <w:t>a</w:t>
                  </w:r>
                  <w:r>
                    <w:rPr>
                      <w:rFonts w:ascii="Gill Sans MT"/>
                      <w:spacing w:val="1"/>
                      <w:w w:val="118"/>
                      <w:sz w:val="18"/>
                    </w:rPr>
                    <w:t>n</w:t>
                  </w:r>
                  <w:r>
                    <w:rPr>
                      <w:rFonts w:ascii="Gill Sans MT"/>
                      <w:spacing w:val="-2"/>
                      <w:w w:val="85"/>
                      <w:sz w:val="18"/>
                    </w:rPr>
                    <w:t>-</w:t>
                  </w:r>
                  <w:r>
                    <w:rPr>
                      <w:rFonts w:ascii="Gill Sans MT"/>
                      <w:w w:val="112"/>
                      <w:sz w:val="18"/>
                    </w:rPr>
                    <w:t>25</w:t>
                  </w:r>
                  <w:r>
                    <w:rPr>
                      <w:rFonts w:ascii="Gill Sans MT"/>
                      <w:sz w:val="18"/>
                    </w:rPr>
                    <w:tab/>
                  </w:r>
                  <w:r>
                    <w:rPr>
                      <w:rFonts w:ascii="Gill Sans MT"/>
                      <w:spacing w:val="-2"/>
                      <w:w w:val="117"/>
                      <w:sz w:val="18"/>
                    </w:rPr>
                    <w:t>F</w:t>
                  </w:r>
                  <w:r>
                    <w:rPr>
                      <w:rFonts w:ascii="Gill Sans MT"/>
                      <w:w w:val="110"/>
                      <w:sz w:val="18"/>
                    </w:rPr>
                    <w:t>e</w:t>
                  </w:r>
                  <w:r>
                    <w:rPr>
                      <w:rFonts w:ascii="Gill Sans MT"/>
                      <w:w w:val="101"/>
                      <w:sz w:val="18"/>
                    </w:rPr>
                    <w:t>b-</w:t>
                  </w:r>
                  <w:r>
                    <w:rPr>
                      <w:rFonts w:ascii="Gill Sans MT"/>
                      <w:w w:val="112"/>
                      <w:sz w:val="18"/>
                    </w:rPr>
                    <w:t>25</w:t>
                  </w:r>
                  <w:r>
                    <w:rPr>
                      <w:rFonts w:ascii="Gill Sans MT"/>
                      <w:sz w:val="18"/>
                    </w:rPr>
                    <w:tab/>
                  </w:r>
                  <w:r>
                    <w:rPr>
                      <w:rFonts w:ascii="Gill Sans MT"/>
                      <w:spacing w:val="-2"/>
                      <w:w w:val="111"/>
                      <w:sz w:val="18"/>
                    </w:rPr>
                    <w:t>M</w:t>
                  </w:r>
                  <w:r>
                    <w:rPr>
                      <w:rFonts w:ascii="Gill Sans MT"/>
                      <w:w w:val="107"/>
                      <w:sz w:val="18"/>
                    </w:rPr>
                    <w:t>a</w:t>
                  </w:r>
                  <w:r>
                    <w:rPr>
                      <w:rFonts w:ascii="Gill Sans MT"/>
                      <w:spacing w:val="1"/>
                      <w:w w:val="107"/>
                      <w:sz w:val="18"/>
                    </w:rPr>
                    <w:t>r</w:t>
                  </w:r>
                  <w:r>
                    <w:rPr>
                      <w:rFonts w:ascii="Gill Sans MT"/>
                      <w:spacing w:val="-2"/>
                      <w:w w:val="85"/>
                      <w:sz w:val="18"/>
                    </w:rPr>
                    <w:t>-</w:t>
                  </w:r>
                  <w:r>
                    <w:rPr>
                      <w:rFonts w:ascii="Gill Sans MT"/>
                      <w:w w:val="112"/>
                      <w:sz w:val="18"/>
                    </w:rPr>
                    <w:t>25</w:t>
                  </w:r>
                  <w:r>
                    <w:rPr>
                      <w:rFonts w:ascii="Gill Sans MT"/>
                      <w:sz w:val="18"/>
                    </w:rPr>
                    <w:tab/>
                  </w:r>
                  <w:r>
                    <w:rPr>
                      <w:rFonts w:ascii="Gill Sans MT"/>
                      <w:spacing w:val="-1"/>
                      <w:w w:val="99"/>
                      <w:sz w:val="18"/>
                    </w:rPr>
                    <w:t>Apr</w:t>
                  </w:r>
                  <w:r>
                    <w:rPr>
                      <w:rFonts w:ascii="Gill Sans MT"/>
                      <w:w w:val="85"/>
                      <w:sz w:val="18"/>
                    </w:rPr>
                    <w:t>-</w:t>
                  </w:r>
                  <w:r>
                    <w:rPr>
                      <w:rFonts w:ascii="Gill Sans MT"/>
                      <w:w w:val="112"/>
                      <w:sz w:val="18"/>
                    </w:rPr>
                    <w:t>25</w:t>
                  </w:r>
                  <w:r>
                    <w:rPr>
                      <w:rFonts w:ascii="Gill Sans MT"/>
                      <w:sz w:val="18"/>
                    </w:rPr>
                    <w:tab/>
                  </w:r>
                  <w:r>
                    <w:rPr>
                      <w:rFonts w:ascii="Gill Sans MT"/>
                      <w:spacing w:val="-2"/>
                      <w:w w:val="111"/>
                      <w:sz w:val="18"/>
                    </w:rPr>
                    <w:t>M</w:t>
                  </w:r>
                  <w:r>
                    <w:rPr>
                      <w:rFonts w:ascii="Gill Sans MT"/>
                      <w:w w:val="117"/>
                      <w:sz w:val="18"/>
                    </w:rPr>
                    <w:t>a</w:t>
                  </w:r>
                  <w:r>
                    <w:rPr>
                      <w:rFonts w:ascii="Gill Sans MT"/>
                      <w:spacing w:val="1"/>
                      <w:w w:val="117"/>
                      <w:sz w:val="18"/>
                    </w:rPr>
                    <w:t>y</w:t>
                  </w:r>
                  <w:r>
                    <w:rPr>
                      <w:rFonts w:ascii="Gill Sans MT"/>
                      <w:spacing w:val="-2"/>
                      <w:w w:val="85"/>
                      <w:sz w:val="18"/>
                    </w:rPr>
                    <w:t>-</w:t>
                  </w:r>
                  <w:r>
                    <w:rPr>
                      <w:rFonts w:ascii="Gill Sans MT"/>
                      <w:spacing w:val="1"/>
                      <w:w w:val="112"/>
                      <w:sz w:val="18"/>
                    </w:rPr>
                    <w:t>2</w:t>
                  </w:r>
                  <w:r>
                    <w:rPr>
                      <w:rFonts w:ascii="Gill Sans MT"/>
                      <w:w w:val="112"/>
                      <w:sz w:val="18"/>
                    </w:rPr>
                    <w:t>5</w:t>
                  </w:r>
                  <w:r>
                    <w:rPr>
                      <w:rFonts w:ascii="Gill Sans MT"/>
                      <w:sz w:val="18"/>
                    </w:rPr>
                    <w:tab/>
                  </w:r>
                  <w:r>
                    <w:rPr>
                      <w:rFonts w:ascii="Gill Sans MT"/>
                      <w:spacing w:val="-5"/>
                      <w:w w:val="220"/>
                      <w:sz w:val="18"/>
                    </w:rPr>
                    <w:t>J</w:t>
                  </w:r>
                  <w:r>
                    <w:rPr>
                      <w:rFonts w:ascii="Gill Sans MT"/>
                      <w:spacing w:val="-3"/>
                      <w:w w:val="110"/>
                      <w:sz w:val="18"/>
                    </w:rPr>
                    <w:t>u</w:t>
                  </w:r>
                  <w:r>
                    <w:rPr>
                      <w:rFonts w:ascii="Gill Sans MT"/>
                      <w:spacing w:val="-5"/>
                      <w:w w:val="110"/>
                      <w:sz w:val="18"/>
                    </w:rPr>
                    <w:t>n</w:t>
                  </w:r>
                  <w:r>
                    <w:rPr>
                      <w:rFonts w:ascii="Gill Sans MT"/>
                      <w:spacing w:val="-4"/>
                      <w:w w:val="85"/>
                      <w:sz w:val="18"/>
                    </w:rPr>
                    <w:t>-</w:t>
                  </w:r>
                  <w:r>
                    <w:rPr>
                      <w:rFonts w:ascii="Gill Sans MT"/>
                      <w:spacing w:val="-4"/>
                      <w:w w:val="112"/>
                      <w:sz w:val="18"/>
                    </w:rPr>
                    <w:t>25</w:t>
                  </w:r>
                </w:p>
              </w:txbxContent>
            </v:textbox>
            <w10:wrap type="none"/>
          </v:shape>
        </w:pict>
      </w:r>
      <w:r>
        <w:rPr>
          <w:rFonts w:ascii="Gill Sans MT"/>
          <w:w w:val="110"/>
          <w:sz w:val="21"/>
        </w:rPr>
        <w:t>percent of GDP</w:t>
      </w:r>
    </w:p>
    <w:p>
      <w:pPr>
        <w:pStyle w:val="BodyText"/>
        <w:ind w:left="274"/>
        <w:rPr>
          <w:rFonts w:ascii="Gill Sans MT"/>
          <w:sz w:val="20"/>
        </w:rPr>
      </w:pPr>
      <w:r>
        <w:rPr>
          <w:rFonts w:ascii="Gill Sans MT"/>
          <w:sz w:val="20"/>
        </w:rPr>
        <w:pict>
          <v:group style="width:293.75pt;height:338.95pt;mso-position-horizontal-relative:char;mso-position-vertical-relative:line" coordorigin="0,0" coordsize="5875,6779">
            <v:line style="position:absolute" from="603,135" to="5652,135" stroked="true" strokeweight=".75pt" strokecolor="#d9d9d9">
              <v:stroke dashstyle="solid"/>
            </v:line>
            <v:line style="position:absolute" from="603,2434" to="5652,2434" stroked="true" strokeweight=".75pt" strokecolor="#000000">
              <v:stroke dashstyle="solid"/>
            </v:line>
            <v:line style="position:absolute" from="603,2434" to="603,2491" stroked="true" strokeweight=".75pt" strokecolor="#000000">
              <v:stroke dashstyle="solid"/>
            </v:line>
            <v:line style="position:absolute" from="1468,2434" to="1468,2491" stroked="true" strokeweight=".75pt" strokecolor="#000000">
              <v:stroke dashstyle="solid"/>
            </v:line>
            <v:line style="position:absolute" from="2248,2434" to="2248,2491" stroked="true" strokeweight=".75pt" strokecolor="#000000">
              <v:stroke dashstyle="solid"/>
            </v:line>
            <v:line style="position:absolute" from="3115,2434" to="3115,2491" stroked="true" strokeweight=".75pt" strokecolor="#000000">
              <v:stroke dashstyle="solid"/>
            </v:line>
            <v:line style="position:absolute" from="3950,2434" to="3950,2491" stroked="true" strokeweight=".75pt" strokecolor="#000000">
              <v:stroke dashstyle="solid"/>
            </v:line>
            <v:line style="position:absolute" from="4816,2434" to="4816,2491" stroked="true" strokeweight=".75pt" strokecolor="#000000">
              <v:stroke dashstyle="solid"/>
            </v:line>
            <v:line style="position:absolute" from="5652,2434" to="5652,2491" stroked="true" strokeweight=".75pt" strokecolor="#000000">
              <v:stroke dashstyle="solid"/>
            </v:line>
            <v:line style="position:absolute" from="5253,1223" to="5661,1223" stroked="true" strokeweight="2.25pt" strokecolor="#014612">
              <v:stroke dashstyle="dot"/>
            </v:line>
            <v:shape style="position:absolute;left:0;top:0;width:5825;height:2901" type="#_x0000_t75" stroked="false">
              <v:imagedata r:id="rId122" o:title=""/>
            </v:shape>
            <v:shape style="position:absolute;left:260;top:2890;width:5614;height:3888" type="#_x0000_t75" stroked="false">
              <v:imagedata r:id="rId123" o:title=""/>
            </v:shape>
            <v:shape style="position:absolute;left:602;top:611;width:5135;height:330" type="#_x0000_t202" filled="false" stroked="false">
              <v:textbox inset="0,0,0,0">
                <w:txbxContent>
                  <w:p>
                    <w:pPr>
                      <w:tabs>
                        <w:tab w:pos="5114" w:val="left" w:leader="none"/>
                      </w:tabs>
                      <w:spacing w:before="0"/>
                      <w:ind w:left="0" w:right="0" w:firstLine="0"/>
                      <w:jc w:val="left"/>
                      <w:rPr>
                        <w:rFonts w:ascii="Gill Sans MT"/>
                        <w:sz w:val="28"/>
                      </w:rPr>
                    </w:pPr>
                    <w:r>
                      <w:rPr>
                        <w:rFonts w:ascii="Gill Sans MT"/>
                        <w:w w:val="89"/>
                        <w:sz w:val="28"/>
                        <w:u w:val="single" w:color="D9D9D9"/>
                      </w:rPr>
                      <w:t> </w:t>
                    </w:r>
                    <w:r>
                      <w:rPr>
                        <w:rFonts w:ascii="Gill Sans MT"/>
                        <w:sz w:val="28"/>
                        <w:u w:val="single" w:color="D9D9D9"/>
                      </w:rPr>
                      <w:tab/>
                    </w:r>
                  </w:p>
                </w:txbxContent>
              </v:textbox>
              <w10:wrap type="none"/>
            </v:shape>
            <v:shape style="position:absolute;left:602;top:1374;width:5135;height:330" type="#_x0000_t202" filled="false" stroked="false">
              <v:textbox inset="0,0,0,0">
                <w:txbxContent>
                  <w:p>
                    <w:pPr>
                      <w:tabs>
                        <w:tab w:pos="5114" w:val="left" w:leader="none"/>
                      </w:tabs>
                      <w:spacing w:before="0"/>
                      <w:ind w:left="0" w:right="0" w:firstLine="0"/>
                      <w:jc w:val="left"/>
                      <w:rPr>
                        <w:rFonts w:ascii="Gill Sans MT"/>
                        <w:sz w:val="28"/>
                      </w:rPr>
                    </w:pPr>
                    <w:r>
                      <w:rPr>
                        <w:rFonts w:ascii="Gill Sans MT"/>
                        <w:w w:val="89"/>
                        <w:sz w:val="28"/>
                        <w:u w:val="single" w:color="D9D9D9"/>
                      </w:rPr>
                      <w:t> </w:t>
                    </w:r>
                    <w:r>
                      <w:rPr>
                        <w:rFonts w:ascii="Gill Sans MT"/>
                        <w:sz w:val="28"/>
                        <w:u w:val="single" w:color="D9D9D9"/>
                      </w:rPr>
                      <w:tab/>
                    </w:r>
                  </w:p>
                </w:txbxContent>
              </v:textbox>
              <w10:wrap type="none"/>
            </v:shape>
          </v:group>
        </w:pict>
      </w:r>
      <w:r>
        <w:rPr>
          <w:rFonts w:ascii="Gill Sans MT"/>
          <w:sz w:val="20"/>
        </w:rPr>
      </w:r>
    </w:p>
    <w:p>
      <w:pPr>
        <w:spacing w:before="9"/>
        <w:ind w:left="843" w:right="0" w:firstLine="0"/>
        <w:jc w:val="left"/>
        <w:rPr>
          <w:rFonts w:ascii="Gill Sans MT"/>
          <w:sz w:val="14"/>
        </w:rPr>
      </w:pPr>
      <w:r>
        <w:rPr>
          <w:rFonts w:ascii="Gill Sans MT"/>
          <w:w w:val="115"/>
          <w:sz w:val="14"/>
        </w:rPr>
        <w:t>Source: Congressional Budget Office (CBO), </w:t>
      </w:r>
      <w:r>
        <w:rPr>
          <w:rFonts w:ascii="Gill Sans MT"/>
          <w:w w:val="120"/>
          <w:sz w:val="14"/>
        </w:rPr>
        <w:t>J.P. </w:t>
      </w:r>
      <w:r>
        <w:rPr>
          <w:rFonts w:ascii="Gill Sans MT"/>
          <w:w w:val="115"/>
          <w:sz w:val="14"/>
        </w:rPr>
        <w:t>Morgan Asset Management (JPMAM),</w:t>
      </w:r>
    </w:p>
    <w:p>
      <w:pPr>
        <w:spacing w:before="5"/>
        <w:ind w:left="843" w:right="0" w:firstLine="0"/>
        <w:jc w:val="left"/>
        <w:rPr>
          <w:rFonts w:ascii="Gill Sans MT"/>
          <w:sz w:val="14"/>
        </w:rPr>
      </w:pPr>
      <w:r>
        <w:rPr>
          <w:rFonts w:ascii="Gill Sans MT"/>
          <w:w w:val="110"/>
          <w:sz w:val="14"/>
        </w:rPr>
        <w:t>U.S. Bureau of Economic Analysis, U.S. Treasury Department. Forecast estimates are</w:t>
      </w:r>
    </w:p>
    <w:p>
      <w:pPr>
        <w:spacing w:line="132" w:lineRule="exact" w:before="6"/>
        <w:ind w:left="843" w:right="0" w:firstLine="0"/>
        <w:jc w:val="left"/>
        <w:rPr>
          <w:rFonts w:ascii="Gill Sans MT" w:hAnsi="Gill Sans MT"/>
          <w:sz w:val="14"/>
        </w:rPr>
      </w:pPr>
      <w:r>
        <w:rPr>
          <w:rFonts w:ascii="Gill Sans MT" w:hAnsi="Gill Sans MT"/>
          <w:w w:val="105"/>
          <w:sz w:val="14"/>
        </w:rPr>
        <w:t>from the CBO (January 2025). OBBB refers to the “One Big Beautiful Bill Act.” *Adjusted</w:t>
      </w:r>
    </w:p>
    <w:p>
      <w:pPr>
        <w:spacing w:after="0" w:line="132" w:lineRule="exact"/>
        <w:jc w:val="left"/>
        <w:rPr>
          <w:rFonts w:ascii="Gill Sans MT" w:hAnsi="Gill Sans MT"/>
          <w:sz w:val="14"/>
        </w:rPr>
        <w:sectPr>
          <w:headerReference w:type="default" r:id="rId120"/>
          <w:footerReference w:type="default" r:id="rId121"/>
          <w:pgSz w:w="14400" w:h="10800" w:orient="landscape"/>
          <w:pgMar w:header="708" w:footer="578" w:top="1540" w:bottom="760" w:left="20" w:right="40"/>
          <w:pgNumType w:start="33"/>
          <w:cols w:num="2" w:equalWidth="0">
            <w:col w:w="7364" w:space="198"/>
            <w:col w:w="6778"/>
          </w:cols>
        </w:sectPr>
      </w:pPr>
    </w:p>
    <w:p>
      <w:pPr>
        <w:spacing w:before="36"/>
        <w:ind w:left="0" w:right="0" w:firstLine="0"/>
        <w:jc w:val="right"/>
        <w:rPr>
          <w:rFonts w:ascii="Gill Sans MT"/>
          <w:sz w:val="14"/>
        </w:rPr>
      </w:pPr>
      <w:r>
        <w:rPr>
          <w:rFonts w:ascii="Gill Sans MT"/>
          <w:w w:val="110"/>
          <w:sz w:val="14"/>
        </w:rPr>
        <w:t>by JPMAM to include estimates from CBO (June 2025). Bloomberg.</w:t>
      </w:r>
    </w:p>
    <w:p>
      <w:pPr>
        <w:spacing w:before="0"/>
        <w:ind w:left="83" w:right="0" w:firstLine="0"/>
        <w:jc w:val="left"/>
        <w:rPr>
          <w:rFonts w:ascii="Gill Sans MT"/>
          <w:sz w:val="30"/>
        </w:rPr>
      </w:pPr>
      <w:r>
        <w:rPr/>
        <w:br w:type="column"/>
      </w:r>
      <w:r>
        <w:rPr>
          <w:rFonts w:ascii="Gill Sans MT"/>
          <w:color w:val="014612"/>
          <w:w w:val="110"/>
          <w:sz w:val="30"/>
        </w:rPr>
        <w:t>SERVICE</w:t>
      </w:r>
    </w:p>
    <w:p>
      <w:pPr>
        <w:spacing w:after="0"/>
        <w:jc w:val="left"/>
        <w:rPr>
          <w:rFonts w:ascii="Gill Sans MT"/>
          <w:sz w:val="30"/>
        </w:rPr>
        <w:sectPr>
          <w:type w:val="continuous"/>
          <w:pgSz w:w="14400" w:h="10800" w:orient="landscape"/>
          <w:pgMar w:top="180" w:bottom="280" w:left="20" w:right="40"/>
          <w:cols w:num="2" w:equalWidth="0">
            <w:col w:w="12598" w:space="40"/>
            <w:col w:w="1702"/>
          </w:cols>
        </w:sectPr>
      </w:pPr>
    </w:p>
    <w:p>
      <w:pPr>
        <w:pStyle w:val="BodyText"/>
        <w:spacing w:before="6"/>
        <w:rPr>
          <w:rFonts w:ascii="Gill Sans MT"/>
          <w:sz w:val="21"/>
        </w:rPr>
      </w:pPr>
    </w:p>
    <w:p>
      <w:pPr>
        <w:pStyle w:val="Heading5"/>
        <w:numPr>
          <w:ilvl w:val="0"/>
          <w:numId w:val="8"/>
        </w:numPr>
        <w:tabs>
          <w:tab w:pos="876" w:val="left" w:leader="none"/>
        </w:tabs>
        <w:spacing w:line="240" w:lineRule="auto" w:before="98" w:after="0"/>
        <w:ind w:left="875" w:right="0" w:hanging="272"/>
        <w:jc w:val="left"/>
      </w:pPr>
      <w:bookmarkStart w:name="Slide 34: Global Equity Valuations" w:id="42"/>
      <w:bookmarkEnd w:id="42"/>
      <w:r>
        <w:rPr/>
      </w:r>
      <w:bookmarkStart w:name="Slide 34: Global Equity Valuations" w:id="43"/>
      <w:bookmarkEnd w:id="43"/>
      <w:r>
        <w:rPr>
          <w:w w:val="110"/>
        </w:rPr>
        <w:t>S</w:t>
      </w:r>
      <w:r>
        <w:rPr>
          <w:w w:val="110"/>
        </w:rPr>
        <w:t>tock</w:t>
      </w:r>
      <w:r>
        <w:rPr>
          <w:spacing w:val="-17"/>
          <w:w w:val="110"/>
        </w:rPr>
        <w:t> </w:t>
      </w:r>
      <w:r>
        <w:rPr>
          <w:w w:val="110"/>
        </w:rPr>
        <w:t>market</w:t>
      </w:r>
      <w:r>
        <w:rPr>
          <w:spacing w:val="-21"/>
          <w:w w:val="110"/>
        </w:rPr>
        <w:t> </w:t>
      </w:r>
      <w:r>
        <w:rPr>
          <w:w w:val="110"/>
        </w:rPr>
        <w:t>valuations</w:t>
      </w:r>
      <w:r>
        <w:rPr>
          <w:spacing w:val="-22"/>
          <w:w w:val="110"/>
        </w:rPr>
        <w:t> </w:t>
      </w:r>
      <w:r>
        <w:rPr>
          <w:w w:val="110"/>
        </w:rPr>
        <w:t>rose</w:t>
      </w:r>
      <w:r>
        <w:rPr>
          <w:spacing w:val="-17"/>
          <w:w w:val="110"/>
        </w:rPr>
        <w:t> </w:t>
      </w:r>
      <w:r>
        <w:rPr>
          <w:w w:val="110"/>
        </w:rPr>
        <w:t>in</w:t>
      </w:r>
      <w:r>
        <w:rPr>
          <w:spacing w:val="-18"/>
          <w:w w:val="110"/>
        </w:rPr>
        <w:t> </w:t>
      </w:r>
      <w:r>
        <w:rPr>
          <w:w w:val="110"/>
        </w:rPr>
        <w:t>the</w:t>
      </w:r>
      <w:r>
        <w:rPr>
          <w:spacing w:val="-15"/>
          <w:w w:val="110"/>
        </w:rPr>
        <w:t> </w:t>
      </w:r>
      <w:r>
        <w:rPr>
          <w:w w:val="110"/>
        </w:rPr>
        <w:t>second</w:t>
      </w:r>
      <w:r>
        <w:rPr>
          <w:spacing w:val="-17"/>
          <w:w w:val="110"/>
        </w:rPr>
        <w:t> </w:t>
      </w:r>
      <w:r>
        <w:rPr>
          <w:w w:val="110"/>
        </w:rPr>
        <w:t>quarter,</w:t>
      </w:r>
      <w:r>
        <w:rPr>
          <w:spacing w:val="-21"/>
          <w:w w:val="110"/>
        </w:rPr>
        <w:t> </w:t>
      </w:r>
      <w:r>
        <w:rPr>
          <w:w w:val="110"/>
        </w:rPr>
        <w:t>particularly</w:t>
      </w:r>
      <w:r>
        <w:rPr>
          <w:spacing w:val="-20"/>
          <w:w w:val="110"/>
        </w:rPr>
        <w:t> </w:t>
      </w:r>
      <w:r>
        <w:rPr>
          <w:w w:val="110"/>
        </w:rPr>
        <w:t>for</w:t>
      </w:r>
      <w:r>
        <w:rPr>
          <w:spacing w:val="-18"/>
          <w:w w:val="110"/>
        </w:rPr>
        <w:t> </w:t>
      </w:r>
      <w:r>
        <w:rPr>
          <w:w w:val="110"/>
        </w:rPr>
        <w:t>U.S.</w:t>
      </w:r>
      <w:r>
        <w:rPr>
          <w:spacing w:val="-21"/>
          <w:w w:val="110"/>
        </w:rPr>
        <w:t> </w:t>
      </w:r>
      <w:r>
        <w:rPr>
          <w:w w:val="110"/>
        </w:rPr>
        <w:t>growth</w:t>
      </w:r>
      <w:r>
        <w:rPr>
          <w:spacing w:val="-18"/>
          <w:w w:val="110"/>
        </w:rPr>
        <w:t> </w:t>
      </w:r>
      <w:r>
        <w:rPr>
          <w:w w:val="110"/>
        </w:rPr>
        <w:t>stocks</w:t>
      </w:r>
    </w:p>
    <w:p>
      <w:pPr>
        <w:pStyle w:val="ListParagraph"/>
        <w:numPr>
          <w:ilvl w:val="0"/>
          <w:numId w:val="8"/>
        </w:numPr>
        <w:tabs>
          <w:tab w:pos="876" w:val="left" w:leader="none"/>
        </w:tabs>
        <w:spacing w:line="223" w:lineRule="auto" w:before="154" w:after="0"/>
        <w:ind w:left="875" w:right="2231" w:hanging="272"/>
        <w:jc w:val="left"/>
        <w:rPr>
          <w:rFonts w:ascii="Gill Sans MT" w:hAnsi="Gill Sans MT"/>
          <w:sz w:val="28"/>
        </w:rPr>
      </w:pPr>
      <w:r>
        <w:rPr>
          <w:rFonts w:ascii="Gill Sans MT" w:hAnsi="Gill Sans MT"/>
          <w:w w:val="110"/>
          <w:sz w:val="28"/>
        </w:rPr>
        <w:t>International stocks are still priced near median levels based on expected earnings</w:t>
      </w:r>
      <w:r>
        <w:rPr>
          <w:rFonts w:ascii="Gill Sans MT" w:hAnsi="Gill Sans MT"/>
          <w:spacing w:val="-50"/>
          <w:w w:val="110"/>
          <w:sz w:val="28"/>
        </w:rPr>
        <w:t> </w:t>
      </w:r>
      <w:r>
        <w:rPr>
          <w:rFonts w:ascii="Gill Sans MT" w:hAnsi="Gill Sans MT"/>
          <w:w w:val="110"/>
          <w:sz w:val="28"/>
        </w:rPr>
        <w:t>despite outperforming U.S. equities</w:t>
      </w:r>
      <w:r>
        <w:rPr>
          <w:rFonts w:ascii="Gill Sans MT" w:hAnsi="Gill Sans MT"/>
          <w:spacing w:val="-63"/>
          <w:w w:val="110"/>
          <w:sz w:val="28"/>
        </w:rPr>
        <w:t> </w:t>
      </w:r>
      <w:r>
        <w:rPr>
          <w:rFonts w:ascii="Gill Sans MT" w:hAnsi="Gill Sans MT"/>
          <w:w w:val="110"/>
          <w:sz w:val="28"/>
        </w:rPr>
        <w:t>year-to-date</w:t>
      </w:r>
    </w:p>
    <w:p>
      <w:pPr>
        <w:pStyle w:val="ListParagraph"/>
        <w:numPr>
          <w:ilvl w:val="0"/>
          <w:numId w:val="8"/>
        </w:numPr>
        <w:tabs>
          <w:tab w:pos="876" w:val="left" w:leader="none"/>
        </w:tabs>
        <w:spacing w:line="240" w:lineRule="auto" w:before="139" w:after="0"/>
        <w:ind w:left="875" w:right="0" w:hanging="272"/>
        <w:jc w:val="left"/>
        <w:rPr>
          <w:rFonts w:ascii="Gill Sans MT" w:hAnsi="Gill Sans MT"/>
          <w:sz w:val="28"/>
        </w:rPr>
      </w:pPr>
      <w:r>
        <w:rPr>
          <w:rFonts w:ascii="Gill Sans MT" w:hAnsi="Gill Sans MT"/>
          <w:w w:val="115"/>
          <w:sz w:val="28"/>
        </w:rPr>
        <w:t>Smaller</w:t>
      </w:r>
      <w:r>
        <w:rPr>
          <w:rFonts w:ascii="Gill Sans MT" w:hAnsi="Gill Sans MT"/>
          <w:spacing w:val="-32"/>
          <w:w w:val="115"/>
          <w:sz w:val="28"/>
        </w:rPr>
        <w:t> </w:t>
      </w:r>
      <w:r>
        <w:rPr>
          <w:rFonts w:ascii="Gill Sans MT" w:hAnsi="Gill Sans MT"/>
          <w:w w:val="115"/>
          <w:sz w:val="28"/>
        </w:rPr>
        <w:t>companies</w:t>
      </w:r>
      <w:r>
        <w:rPr>
          <w:rFonts w:ascii="Gill Sans MT" w:hAnsi="Gill Sans MT"/>
          <w:spacing w:val="-34"/>
          <w:w w:val="115"/>
          <w:sz w:val="28"/>
        </w:rPr>
        <w:t> </w:t>
      </w:r>
      <w:r>
        <w:rPr>
          <w:rFonts w:ascii="Gill Sans MT" w:hAnsi="Gill Sans MT"/>
          <w:w w:val="115"/>
          <w:sz w:val="28"/>
        </w:rPr>
        <w:t>are</w:t>
      </w:r>
      <w:r>
        <w:rPr>
          <w:rFonts w:ascii="Gill Sans MT" w:hAnsi="Gill Sans MT"/>
          <w:spacing w:val="-30"/>
          <w:w w:val="115"/>
          <w:sz w:val="28"/>
        </w:rPr>
        <w:t> </w:t>
      </w:r>
      <w:r>
        <w:rPr>
          <w:rFonts w:ascii="Gill Sans MT" w:hAnsi="Gill Sans MT"/>
          <w:w w:val="115"/>
          <w:sz w:val="28"/>
        </w:rPr>
        <w:t>priced</w:t>
      </w:r>
      <w:r>
        <w:rPr>
          <w:rFonts w:ascii="Gill Sans MT" w:hAnsi="Gill Sans MT"/>
          <w:spacing w:val="-30"/>
          <w:w w:val="115"/>
          <w:sz w:val="28"/>
        </w:rPr>
        <w:t> </w:t>
      </w:r>
      <w:r>
        <w:rPr>
          <w:rFonts w:ascii="Gill Sans MT" w:hAnsi="Gill Sans MT"/>
          <w:w w:val="115"/>
          <w:sz w:val="28"/>
        </w:rPr>
        <w:t>at</w:t>
      </w:r>
      <w:r>
        <w:rPr>
          <w:rFonts w:ascii="Gill Sans MT" w:hAnsi="Gill Sans MT"/>
          <w:spacing w:val="-27"/>
          <w:w w:val="115"/>
          <w:sz w:val="28"/>
        </w:rPr>
        <w:t> </w:t>
      </w:r>
      <w:r>
        <w:rPr>
          <w:rFonts w:ascii="Gill Sans MT" w:hAnsi="Gill Sans MT"/>
          <w:w w:val="115"/>
          <w:sz w:val="28"/>
        </w:rPr>
        <w:t>the</w:t>
      </w:r>
      <w:r>
        <w:rPr>
          <w:rFonts w:ascii="Gill Sans MT" w:hAnsi="Gill Sans MT"/>
          <w:spacing w:val="-27"/>
          <w:w w:val="115"/>
          <w:sz w:val="28"/>
        </w:rPr>
        <w:t> </w:t>
      </w:r>
      <w:r>
        <w:rPr>
          <w:rFonts w:ascii="Gill Sans MT" w:hAnsi="Gill Sans MT"/>
          <w:w w:val="115"/>
          <w:sz w:val="28"/>
        </w:rPr>
        <w:t>lower</w:t>
      </w:r>
      <w:r>
        <w:rPr>
          <w:rFonts w:ascii="Gill Sans MT" w:hAnsi="Gill Sans MT"/>
          <w:spacing w:val="-31"/>
          <w:w w:val="115"/>
          <w:sz w:val="28"/>
        </w:rPr>
        <w:t> </w:t>
      </w:r>
      <w:r>
        <w:rPr>
          <w:rFonts w:ascii="Gill Sans MT" w:hAnsi="Gill Sans MT"/>
          <w:w w:val="115"/>
          <w:sz w:val="28"/>
        </w:rPr>
        <w:t>end</w:t>
      </w:r>
      <w:r>
        <w:rPr>
          <w:rFonts w:ascii="Gill Sans MT" w:hAnsi="Gill Sans MT"/>
          <w:spacing w:val="-30"/>
          <w:w w:val="115"/>
          <w:sz w:val="28"/>
        </w:rPr>
        <w:t> </w:t>
      </w:r>
      <w:r>
        <w:rPr>
          <w:rFonts w:ascii="Gill Sans MT" w:hAnsi="Gill Sans MT"/>
          <w:w w:val="115"/>
          <w:sz w:val="28"/>
        </w:rPr>
        <w:t>of</w:t>
      </w:r>
      <w:r>
        <w:rPr>
          <w:rFonts w:ascii="Gill Sans MT" w:hAnsi="Gill Sans MT"/>
          <w:spacing w:val="-27"/>
          <w:w w:val="115"/>
          <w:sz w:val="28"/>
        </w:rPr>
        <w:t> </w:t>
      </w:r>
      <w:r>
        <w:rPr>
          <w:rFonts w:ascii="Gill Sans MT" w:hAnsi="Gill Sans MT"/>
          <w:w w:val="115"/>
          <w:sz w:val="28"/>
        </w:rPr>
        <w:t>their</w:t>
      </w:r>
      <w:r>
        <w:rPr>
          <w:rFonts w:ascii="Gill Sans MT" w:hAnsi="Gill Sans MT"/>
          <w:spacing w:val="-27"/>
          <w:w w:val="115"/>
          <w:sz w:val="28"/>
        </w:rPr>
        <w:t> </w:t>
      </w:r>
      <w:r>
        <w:rPr>
          <w:rFonts w:ascii="Gill Sans MT" w:hAnsi="Gill Sans MT"/>
          <w:w w:val="115"/>
          <w:sz w:val="28"/>
        </w:rPr>
        <w:t>historic</w:t>
      </w:r>
      <w:r>
        <w:rPr>
          <w:rFonts w:ascii="Gill Sans MT" w:hAnsi="Gill Sans MT"/>
          <w:spacing w:val="-25"/>
          <w:w w:val="115"/>
          <w:sz w:val="28"/>
        </w:rPr>
        <w:t> </w:t>
      </w:r>
      <w:r>
        <w:rPr>
          <w:rFonts w:ascii="Gill Sans MT" w:hAnsi="Gill Sans MT"/>
          <w:w w:val="115"/>
          <w:sz w:val="28"/>
        </w:rPr>
        <w:t>ranges</w:t>
      </w:r>
      <w:r>
        <w:rPr>
          <w:rFonts w:ascii="Gill Sans MT" w:hAnsi="Gill Sans MT"/>
          <w:spacing w:val="-32"/>
          <w:w w:val="115"/>
          <w:sz w:val="28"/>
        </w:rPr>
        <w:t> </w:t>
      </w:r>
      <w:r>
        <w:rPr>
          <w:rFonts w:ascii="Gill Sans MT" w:hAnsi="Gill Sans MT"/>
          <w:w w:val="115"/>
          <w:sz w:val="28"/>
        </w:rPr>
        <w:t>across</w:t>
      </w:r>
      <w:r>
        <w:rPr>
          <w:rFonts w:ascii="Gill Sans MT" w:hAnsi="Gill Sans MT"/>
          <w:spacing w:val="-30"/>
          <w:w w:val="115"/>
          <w:sz w:val="28"/>
        </w:rPr>
        <w:t> </w:t>
      </w:r>
      <w:r>
        <w:rPr>
          <w:rFonts w:ascii="Gill Sans MT" w:hAnsi="Gill Sans MT"/>
          <w:w w:val="115"/>
          <w:sz w:val="28"/>
        </w:rPr>
        <w:t>global</w:t>
      </w:r>
      <w:r>
        <w:rPr>
          <w:rFonts w:ascii="Gill Sans MT" w:hAnsi="Gill Sans MT"/>
          <w:spacing w:val="-30"/>
          <w:w w:val="115"/>
          <w:sz w:val="28"/>
        </w:rPr>
        <w:t> </w:t>
      </w:r>
      <w:r>
        <w:rPr>
          <w:rFonts w:ascii="Gill Sans MT" w:hAnsi="Gill Sans MT"/>
          <w:w w:val="115"/>
          <w:sz w:val="28"/>
        </w:rPr>
        <w:t>markets</w:t>
      </w:r>
    </w:p>
    <w:p>
      <w:pPr>
        <w:spacing w:before="259"/>
        <w:ind w:left="1558" w:right="1417" w:firstLine="0"/>
        <w:jc w:val="center"/>
        <w:rPr>
          <w:rFonts w:ascii="Gill Sans MT"/>
          <w:sz w:val="35"/>
        </w:rPr>
      </w:pPr>
      <w:r>
        <w:rPr>
          <w:rFonts w:ascii="Gill Sans MT"/>
          <w:w w:val="105"/>
          <w:sz w:val="35"/>
        </w:rPr>
        <w:t>Forward Price-to-Earnings</w:t>
      </w:r>
    </w:p>
    <w:p>
      <w:pPr>
        <w:pStyle w:val="BodyText"/>
        <w:spacing w:before="17"/>
        <w:ind w:left="1558" w:right="1422"/>
        <w:jc w:val="center"/>
        <w:rPr>
          <w:rFonts w:ascii="Gill Sans MT"/>
        </w:rPr>
      </w:pPr>
      <w:r>
        <w:rPr>
          <w:rFonts w:ascii="Gill Sans MT"/>
          <w:w w:val="115"/>
        </w:rPr>
        <w:t>(15-year range, median, and recent values)</w:t>
      </w:r>
    </w:p>
    <w:p>
      <w:pPr>
        <w:pStyle w:val="BodyText"/>
        <w:rPr>
          <w:rFonts w:ascii="Gill Sans MT"/>
          <w:sz w:val="20"/>
        </w:rPr>
      </w:pPr>
    </w:p>
    <w:p>
      <w:pPr>
        <w:pStyle w:val="BodyText"/>
        <w:spacing w:before="1"/>
        <w:rPr>
          <w:rFonts w:ascii="Gill Sans MT"/>
          <w:sz w:val="19"/>
        </w:rPr>
      </w:pPr>
    </w:p>
    <w:p>
      <w:pPr>
        <w:spacing w:before="56"/>
        <w:ind w:left="3378" w:right="0" w:firstLine="0"/>
        <w:jc w:val="left"/>
        <w:rPr>
          <w:sz w:val="23"/>
        </w:rPr>
      </w:pPr>
      <w:r>
        <w:rPr/>
        <w:pict>
          <v:group style="position:absolute;margin-left:192.643265pt;margin-top:-7.37204pt;width:305.850pt;height:150.050pt;mso-position-horizontal-relative:page;mso-position-vertical-relative:paragraph;z-index:-266956800" coordorigin="3853,-147" coordsize="6117,3001">
            <v:shape style="position:absolute;left:3852;top:1632;width:6117;height:713" coordorigin="3853,1632" coordsize="6117,713" path="m9919,2345l9969,2345m9046,2345l9582,2345m8608,2345l8706,2345m7735,2345l8271,2345m7297,2345l7395,2345m6862,2345l6960,2345m6424,2345l6522,2345m5551,2345l6087,2345m5113,2345l5211,2345m4678,2345l4776,2345m4240,2345l4338,2345m3853,2345l3903,2345m4240,1632l4338,1632m3853,1632l3903,1632e" filled="false" stroked="true" strokeweight=".877174pt" strokecolor="#aeabab">
              <v:path arrowok="t"/>
              <v:stroke dashstyle="solid"/>
            </v:shape>
            <v:rect style="position:absolute;left:3903;top:1387;width:337;height:1216" filled="true" fillcolor="#014612" stroked="false">
              <v:fill type="solid"/>
            </v:rect>
            <v:shape style="position:absolute;left:3852;top:919;width:1359;height:713" coordorigin="3853,919" coordsize="1359,713" path="m4678,1632l4776,1632m4678,919l5211,919m3853,919l4338,919e" filled="false" stroked="true" strokeweight=".877174pt" strokecolor="#aeabab">
              <v:path arrowok="t"/>
              <v:stroke dashstyle="solid"/>
            </v:shape>
            <v:line style="position:absolute" from="4678,209" to="8706,209" stroked="true" strokeweight=".877174pt" strokecolor="#aeabab">
              <v:stroke dashstyle="solid"/>
            </v:line>
            <v:line style="position:absolute" from="3853,209" to="4338,209" stroked="true" strokeweight=".877174pt" strokecolor="#aeabab">
              <v:stroke dashstyle="solid"/>
            </v:line>
            <v:rect style="position:absolute;left:4338;top:-148;width:340;height:2732" filled="true" fillcolor="#3c6c48" stroked="false">
              <v:fill type="solid"/>
            </v:rect>
            <v:line style="position:absolute" from="5113,1632" to="5211,1632" stroked="true" strokeweight=".877174pt" strokecolor="#aeabab">
              <v:stroke dashstyle="solid"/>
            </v:line>
            <v:rect style="position:absolute;left:4776;top:1604;width:337;height:1045" filled="true" fillcolor="#6d9276" stroked="false">
              <v:fill type="solid"/>
            </v:rect>
            <v:shape style="position:absolute;left:5551;top:919;width:972;height:713" coordorigin="5551,919" coordsize="972,713" path="m5551,1632l6522,1632m5551,919l6522,919e" filled="false" stroked="true" strokeweight=".877174pt" strokecolor="#aeabab">
              <v:path arrowok="t"/>
              <v:stroke dashstyle="solid"/>
            </v:shape>
            <v:rect style="position:absolute;left:5211;top:562;width:340;height:1878" filled="true" fillcolor="#9eb6a3" stroked="false">
              <v:fill type="solid"/>
            </v:rect>
            <v:rect style="position:absolute;left:6087;top:1654;width:337;height:1017" filled="true" fillcolor="#09847d" stroked="false">
              <v:fill type="solid"/>
            </v:rect>
            <v:shape style="position:absolute;left:6861;top:919;width:534;height:713" coordorigin="6862,919" coordsize="534,713" path="m6862,1632l7395,1632m6862,919l7395,919e" filled="false" stroked="true" strokeweight=".877174pt" strokecolor="#aeabab">
              <v:path arrowok="t"/>
              <v:stroke dashstyle="solid"/>
            </v:shape>
            <v:rect style="position:absolute;left:6522;top:826;width:340;height:2024" filled="true" fillcolor="#3a9d97" stroked="false">
              <v:fill type="solid"/>
            </v:rect>
            <v:rect style="position:absolute;left:6960;top:2089;width:337;height:742" filled="true" fillcolor="#6cb5b1" stroked="false">
              <v:fill type="solid"/>
            </v:rect>
            <v:shape style="position:absolute;left:7734;top:919;width:972;height:713" coordorigin="7735,919" coordsize="972,713" path="m7735,1632l8706,1632m7735,919l8706,919e" filled="false" stroked="true" strokeweight=".877174pt" strokecolor="#aeabab">
              <v:path arrowok="t"/>
              <v:stroke dashstyle="solid"/>
            </v:shape>
            <v:rect style="position:absolute;left:7395;top:792;width:340;height:1746" filled="true" fillcolor="#9dceca" stroked="false">
              <v:fill type="solid"/>
            </v:rect>
            <v:rect style="position:absolute;left:8270;top:1966;width:337;height:795" filled="true" fillcolor="#432a8d" stroked="false">
              <v:fill type="solid"/>
            </v:rect>
            <v:shape style="position:absolute;left:9045;top:919;width:537;height:713" coordorigin="9046,919" coordsize="537,713" path="m9046,1632l9582,1632m9046,919l9582,919e" filled="false" stroked="true" strokeweight=".877174pt" strokecolor="#aeabab">
              <v:path arrowok="t"/>
              <v:stroke dashstyle="solid"/>
            </v:shape>
            <v:line style="position:absolute" from="9046,209" to="9969,209" stroked="true" strokeweight=".877174pt" strokecolor="#aeabab">
              <v:stroke dashstyle="solid"/>
            </v:line>
            <v:rect style="position:absolute;left:8705;top:-148;width:340;height:2824" filled="true" fillcolor="#6954a3" stroked="false">
              <v:fill type="solid"/>
            </v:rect>
            <v:rect style="position:absolute;left:9143;top:2446;width:340;height:407" filled="true" fillcolor="#8e7eba" stroked="false">
              <v:fill type="solid"/>
            </v:rect>
            <v:shape style="position:absolute;left:9918;top:919;width:51;height:713" coordorigin="9919,919" coordsize="51,713" path="m9919,1632l9969,1632m9919,919l9969,919e" filled="false" stroked="true" strokeweight=".877174pt" strokecolor="#aeabab">
              <v:path arrowok="t"/>
              <v:stroke dashstyle="solid"/>
            </v:shape>
            <v:rect style="position:absolute;left:9581;top:750;width:337;height:1923" filled="true" fillcolor="#b4aad1" stroked="false">
              <v:fill type="solid"/>
            </v:rect>
            <v:line style="position:absolute" from="3955,2141" to="4188,2141" stroked="true" strokeweight="2.385846pt" strokecolor="#000000">
              <v:stroke dashstyle="solid"/>
            </v:line>
            <v:rect style="position:absolute;left:3954;top:2117;width:233;height:48" filled="false" stroked="true" strokeweight=".87715pt" strokecolor="#000000">
              <v:stroke dashstyle="solid"/>
            </v:rect>
            <v:line style="position:absolute" from="4392,2009" to="4625,2009" stroked="true" strokeweight="2.385846pt" strokecolor="#000000">
              <v:stroke dashstyle="solid"/>
            </v:line>
            <v:rect style="position:absolute;left:4392;top:1985;width:233;height:48" filled="false" stroked="true" strokeweight=".87715pt" strokecolor="#000000">
              <v:stroke dashstyle="solid"/>
            </v:rect>
            <v:line style="position:absolute" from="4828,2290" to="5061,2290" stroked="true" strokeweight="2.385846pt" strokecolor="#000000">
              <v:stroke dashstyle="solid"/>
            </v:line>
            <v:rect style="position:absolute;left:4827;top:2265;width:233;height:48" filled="false" stroked="true" strokeweight=".87715pt" strokecolor="#000000">
              <v:stroke dashstyle="solid"/>
            </v:rect>
            <v:line style="position:absolute" from="5265,1863" to="5498,1863" stroked="true" strokeweight="2.385846pt" strokecolor="#000000">
              <v:stroke dashstyle="solid"/>
            </v:line>
            <v:rect style="position:absolute;left:5265;top:1839;width:233;height:48" filled="false" stroked="true" strokeweight=".87715pt" strokecolor="#000000">
              <v:stroke dashstyle="solid"/>
            </v:rect>
            <v:line style="position:absolute" from="6138,2365" to="6371,2365" stroked="true" strokeweight="2.385846pt" strokecolor="#000000">
              <v:stroke dashstyle="solid"/>
            </v:line>
            <v:rect style="position:absolute;left:6138;top:2341;width:233;height:48" filled="false" stroked="true" strokeweight=".87715pt" strokecolor="#000000">
              <v:stroke dashstyle="solid"/>
            </v:rect>
            <v:line style="position:absolute" from="6576,2211" to="6809,2211" stroked="true" strokeweight="2.385846pt" strokecolor="#000000">
              <v:stroke dashstyle="solid"/>
            </v:line>
            <v:rect style="position:absolute;left:6576;top:2187;width:233;height:48" filled="false" stroked="true" strokeweight=".87715pt" strokecolor="#000000">
              <v:stroke dashstyle="solid"/>
            </v:rect>
            <v:line style="position:absolute" from="7011,2587" to="7244,2587" stroked="true" strokeweight="2.385846pt" strokecolor="#000000">
              <v:stroke dashstyle="solid"/>
            </v:line>
            <v:rect style="position:absolute;left:7011;top:2563;width:233;height:48" filled="false" stroked="true" strokeweight=".87715pt" strokecolor="#000000">
              <v:stroke dashstyle="solid"/>
            </v:rect>
            <v:line style="position:absolute" from="7449,2043" to="7682,2043" stroked="true" strokeweight="2.385846pt" strokecolor="#000000">
              <v:stroke dashstyle="solid"/>
            </v:line>
            <v:rect style="position:absolute;left:7449;top:2018;width:233;height:48" filled="false" stroked="true" strokeweight=".87715pt" strokecolor="#000000">
              <v:stroke dashstyle="solid"/>
            </v:rect>
            <v:line style="position:absolute" from="8322,2537" to="8555,2537" stroked="true" strokeweight="2.385846pt" strokecolor="#000000">
              <v:stroke dashstyle="solid"/>
            </v:line>
            <v:rect style="position:absolute;left:8322;top:2512;width:233;height:48" filled="false" stroked="true" strokeweight=".87715pt" strokecolor="#000000">
              <v:stroke dashstyle="solid"/>
            </v:rect>
            <v:line style="position:absolute" from="8760,2116" to="8993,2116" stroked="true" strokeweight="2.385846pt" strokecolor="#000000">
              <v:stroke dashstyle="solid"/>
            </v:line>
            <v:rect style="position:absolute;left:8759;top:2091;width:233;height:48" filled="false" stroked="true" strokeweight=".87715pt" strokecolor="#000000">
              <v:stroke dashstyle="solid"/>
            </v:rect>
            <v:line style="position:absolute" from="9195,2730" to="9428,2730" stroked="true" strokeweight="2.385846pt" strokecolor="#000000">
              <v:stroke dashstyle="solid"/>
            </v:line>
            <v:rect style="position:absolute;left:9195;top:2706;width:233;height:48" filled="false" stroked="true" strokeweight=".87715pt" strokecolor="#000000">
              <v:stroke dashstyle="solid"/>
            </v:rect>
            <v:line style="position:absolute" from="9633,2189" to="9866,2189" stroked="true" strokeweight="2.385846pt" strokecolor="#000000">
              <v:stroke dashstyle="solid"/>
            </v:line>
            <v:rect style="position:absolute;left:9632;top:2164;width:233;height:48" filled="false" stroked="true" strokeweight=".87715pt" strokecolor="#000000">
              <v:stroke dashstyle="solid"/>
            </v:rect>
            <v:shape style="position:absolute;left:4013;top:1861;width:118;height:118" coordorigin="4014,1862" coordsize="118,118" path="m4073,1862l4050,1866,4031,1879,4018,1898,4014,1921,4018,1943,4031,1962,4050,1975,4073,1979,4095,1975,4114,1962,4127,1943,4131,1921,4127,1898,4114,1879,4095,1866,4073,1862xe" filled="true" fillcolor="#ffffff" stroked="false">
              <v:path arrowok="t"/>
              <v:fill type="solid"/>
            </v:shape>
            <v:shape style="position:absolute;left:4013;top:1861;width:118;height:118" coordorigin="4014,1862" coordsize="118,118" path="m4131,1921l4127,1943,4114,1962,4095,1975,4073,1979,4050,1975,4031,1962,4018,1943,4014,1921,4018,1898,4031,1879,4050,1866,4073,1862,4095,1866,4114,1879,4127,1898,4131,1921xe" filled="false" stroked="true" strokeweight="1.461928pt" strokecolor="#767070">
              <v:path arrowok="t"/>
              <v:stroke dashstyle="solid"/>
            </v:shape>
            <v:shape style="position:absolute;left:4451;top:2279;width:118;height:118" coordorigin="4451,2280" coordsize="118,118" path="m4510,2280l4487,2284,4469,2297,4456,2316,4451,2339,4456,2362,4469,2380,4487,2393,4510,2398,4533,2393,4552,2380,4565,2362,4569,2339,4565,2316,4552,2297,4533,2284,4510,2280xe" filled="true" fillcolor="#ffffff" stroked="false">
              <v:path arrowok="t"/>
              <v:fill type="solid"/>
            </v:shape>
            <v:shape style="position:absolute;left:4451;top:2279;width:118;height:118" coordorigin="4451,2280" coordsize="118,118" path="m4569,2339l4565,2362,4552,2380,4533,2393,4510,2398,4487,2393,4469,2380,4456,2362,4451,2339,4456,2316,4469,2297,4487,2284,4510,2280,4533,2284,4552,2297,4565,2316,4569,2339xe" filled="false" stroked="true" strokeweight="1.461928pt" strokecolor="#767070">
              <v:path arrowok="t"/>
              <v:stroke dashstyle="solid"/>
            </v:shape>
            <v:shape style="position:absolute;left:4886;top:2119;width:118;height:118" coordorigin="4887,2120" coordsize="118,118" path="m4945,2120l4923,2124,4904,2137,4891,2156,4887,2179,4891,2202,4904,2220,4923,2233,4945,2238,4968,2233,4987,2220,5000,2202,5004,2179,5000,2156,4987,2137,4968,2124,4945,2120xe" filled="true" fillcolor="#ffffff" stroked="false">
              <v:path arrowok="t"/>
              <v:fill type="solid"/>
            </v:shape>
            <v:shape style="position:absolute;left:4886;top:2119;width:118;height:118" coordorigin="4887,2120" coordsize="118,118" path="m5004,2179l5000,2202,4987,2220,4968,2233,4945,2238,4923,2233,4904,2220,4891,2202,4887,2179,4891,2156,4904,2137,4923,2124,4945,2120,4968,2124,4987,2137,5000,2156,5004,2179xe" filled="false" stroked="true" strokeweight="1.461928pt" strokecolor="#767070">
              <v:path arrowok="t"/>
              <v:stroke dashstyle="solid"/>
            </v:shape>
            <v:shape style="position:absolute;left:5309;top:1479;width:148;height:148" type="#_x0000_t75" stroked="false">
              <v:imagedata r:id="rId126" o:title=""/>
            </v:shape>
            <v:shape style="position:absolute;left:6197;top:2313;width:118;height:118" coordorigin="6197,2313" coordsize="118,118" path="m6256,2313l6233,2318,6215,2331,6202,2349,6197,2372,6202,2395,6215,2414,6233,2427,6256,2431,6279,2427,6298,2414,6311,2395,6315,2372,6311,2349,6298,2331,6279,2318,6256,2313xe" filled="true" fillcolor="#ffffff" stroked="false">
              <v:path arrowok="t"/>
              <v:fill type="solid"/>
            </v:shape>
            <v:shape style="position:absolute;left:6197;top:2313;width:118;height:118" coordorigin="6197,2313" coordsize="118,118" path="m6315,2372l6311,2395,6298,2414,6279,2427,6256,2431,6233,2427,6215,2414,6202,2395,6197,2372,6202,2349,6215,2331,6233,2318,6256,2313,6279,2318,6298,2331,6311,2349,6315,2372xe" filled="false" stroked="true" strokeweight="1.461928pt" strokecolor="#767070">
              <v:path arrowok="t"/>
              <v:stroke dashstyle="solid"/>
            </v:shape>
            <v:shape style="position:absolute;left:6635;top:2400;width:118;height:118" coordorigin="6635,2401" coordsize="118,118" path="m6694,2401l6671,2405,6652,2418,6640,2436,6635,2459,6640,2482,6652,2501,6671,2514,6694,2518,6717,2514,6736,2501,6748,2482,6753,2459,6748,2436,6736,2418,6717,2405,6694,2401xe" filled="true" fillcolor="#ffffff" stroked="false">
              <v:path arrowok="t"/>
              <v:fill type="solid"/>
            </v:shape>
            <v:shape style="position:absolute;left:6635;top:2400;width:118;height:118" coordorigin="6635,2401" coordsize="118,118" path="m6753,2459l6748,2482,6736,2501,6717,2514,6694,2518,6671,2514,6652,2501,6640,2482,6635,2459,6640,2436,6652,2418,6671,2405,6694,2401,6717,2405,6736,2418,6748,2436,6753,2459xe" filled="false" stroked="true" strokeweight="1.461928pt" strokecolor="#767070">
              <v:path arrowok="t"/>
              <v:stroke dashstyle="solid"/>
            </v:shape>
            <v:shape style="position:absolute;left:7070;top:2543;width:118;height:118" coordorigin="7070,2544" coordsize="118,118" path="m7129,2544l7106,2548,7087,2561,7075,2580,7070,2603,7075,2626,7087,2644,7106,2657,7129,2662,7152,2657,7171,2644,7183,2626,7188,2603,7183,2580,7171,2561,7152,2548,7129,2544xe" filled="true" fillcolor="#ffffff" stroked="false">
              <v:path arrowok="t"/>
              <v:fill type="solid"/>
            </v:shape>
            <v:shape style="position:absolute;left:7070;top:2543;width:118;height:118" coordorigin="7070,2544" coordsize="118,118" path="m7188,2603l7183,2626,7171,2644,7152,2657,7129,2662,7106,2657,7087,2644,7075,2626,7070,2603,7075,2580,7087,2561,7106,2548,7129,2544,7152,2548,7171,2561,7183,2580,7188,2603xe" filled="false" stroked="true" strokeweight="1.461928pt" strokecolor="#767070">
              <v:path arrowok="t"/>
              <v:stroke dashstyle="solid"/>
            </v:shape>
            <v:shape style="position:absolute;left:7508;top:1839;width:118;height:118" coordorigin="7508,1839" coordsize="118,118" path="m7567,1839l7544,1844,7525,1856,7513,1875,7508,1898,7513,1921,7525,1940,7544,1952,7567,1957,7590,1952,7609,1940,7621,1921,7626,1898,7621,1875,7609,1856,7590,1844,7567,1839xe" filled="true" fillcolor="#ffffff" stroked="false">
              <v:path arrowok="t"/>
              <v:fill type="solid"/>
            </v:shape>
            <v:shape style="position:absolute;left:7508;top:1839;width:118;height:118" coordorigin="7508,1839" coordsize="118,118" path="m7626,1898l7621,1921,7609,1940,7590,1952,7567,1957,7544,1952,7525,1940,7513,1921,7508,1898,7513,1875,7525,1856,7544,1844,7567,1839,7590,1844,7609,1856,7621,1875,7626,1898xe" filled="false" stroked="true" strokeweight="1.461928pt" strokecolor="#767070">
              <v:path arrowok="t"/>
              <v:stroke dashstyle="solid"/>
            </v:shape>
            <v:shape style="position:absolute;left:8381;top:2470;width:118;height:118" coordorigin="8381,2471" coordsize="118,118" path="m8440,2471l8417,2475,8398,2488,8386,2507,8381,2530,8386,2553,8398,2571,8417,2584,8440,2589,8463,2584,8482,2571,8494,2553,8499,2530,8494,2507,8482,2488,8463,2475,8440,2471xe" filled="true" fillcolor="#ffffff" stroked="false">
              <v:path arrowok="t"/>
              <v:fill type="solid"/>
            </v:shape>
            <v:shape style="position:absolute;left:8381;top:2470;width:118;height:118" coordorigin="8381,2471" coordsize="118,118" path="m8499,2530l8494,2553,8482,2571,8463,2584,8440,2589,8417,2584,8398,2571,8386,2553,8381,2530,8386,2507,8398,2488,8417,2475,8440,2471,8463,2475,8482,2488,8494,2507,8499,2530xe" filled="false" stroked="true" strokeweight="1.461928pt" strokecolor="#767070">
              <v:path arrowok="t"/>
              <v:stroke dashstyle="solid"/>
            </v:shape>
            <v:shape style="position:absolute;left:8818;top:2501;width:118;height:118" coordorigin="8819,2502" coordsize="118,118" path="m8878,2502l8855,2506,8836,2519,8824,2538,8819,2560,8824,2583,8836,2602,8855,2615,8878,2619,8901,2615,8920,2602,8932,2583,8937,2560,8932,2538,8920,2519,8901,2506,8878,2502xe" filled="true" fillcolor="#ffffff" stroked="false">
              <v:path arrowok="t"/>
              <v:fill type="solid"/>
            </v:shape>
            <v:shape style="position:absolute;left:8818;top:2501;width:118;height:118" coordorigin="8819,2502" coordsize="118,118" path="m8937,2560l8932,2583,8920,2602,8901,2615,8878,2619,8855,2615,8836,2602,8824,2583,8819,2560,8824,2538,8836,2519,8855,2506,8878,2502,8901,2506,8920,2519,8932,2538,8937,2560xe" filled="false" stroked="true" strokeweight="1.461928pt" strokecolor="#767070">
              <v:path arrowok="t"/>
              <v:stroke dashstyle="solid"/>
            </v:shape>
            <v:shape style="position:absolute;left:9253;top:2684;width:118;height:118" coordorigin="9254,2684" coordsize="118,118" path="m9313,2684l9290,2689,9271,2701,9259,2720,9254,2743,9259,2766,9271,2785,9290,2797,9313,2802,9336,2797,9355,2785,9367,2766,9372,2743,9367,2720,9355,2701,9336,2689,9313,2684xe" filled="true" fillcolor="#ffffff" stroked="false">
              <v:path arrowok="t"/>
              <v:fill type="solid"/>
            </v:shape>
            <v:shape style="position:absolute;left:9253;top:2684;width:118;height:118" coordorigin="9254,2684" coordsize="118,118" path="m9372,2743l9367,2766,9355,2785,9336,2797,9313,2802,9290,2797,9271,2785,9259,2766,9254,2743,9259,2720,9271,2701,9290,2689,9313,2684,9336,2689,9355,2701,9367,2720,9372,2743xe" filled="false" stroked="true" strokeweight="1.461928pt" strokecolor="#767070">
              <v:path arrowok="t"/>
              <v:stroke dashstyle="solid"/>
            </v:shape>
            <v:shape style="position:absolute;left:9691;top:2105;width:118;height:118" coordorigin="9692,2106" coordsize="118,118" path="m9751,2106l9728,2110,9709,2123,9696,2142,9692,2165,9696,2188,9709,2206,9728,2219,9751,2224,9774,2219,9793,2206,9805,2188,9810,2165,9805,2142,9793,2123,9774,2110,9751,2106xe" filled="true" fillcolor="#ffffff" stroked="false">
              <v:path arrowok="t"/>
              <v:fill type="solid"/>
            </v:shape>
            <v:shape style="position:absolute;left:9691;top:2105;width:118;height:118" coordorigin="9692,2106" coordsize="118,118" path="m9810,2165l9805,2188,9793,2206,9774,2219,9751,2224,9728,2219,9709,2206,9696,2188,9692,2165,9696,2142,9709,2123,9728,2110,9751,2106,9774,2110,9793,2123,9805,2142,9810,2165xe" filled="false" stroked="true" strokeweight="1.461928pt" strokecolor="#767070">
              <v:path arrowok="t"/>
              <v:stroke dashstyle="solid"/>
            </v:shape>
            <v:shape style="position:absolute;left:3989;top:1663;width:163;height:163" coordorigin="3990,1664" coordsize="163,163" path="m4071,1664l3990,1745,4071,1826,4153,1745,4071,1664xe" filled="true" fillcolor="#ffffff" stroked="false">
              <v:path arrowok="t"/>
              <v:fill type="solid"/>
            </v:shape>
            <v:shape style="position:absolute;left:3989;top:1663;width:163;height:163" coordorigin="3990,1664" coordsize="163,163" path="m4071,1664l4153,1745,4071,1826,3990,1745,4071,1664xe" filled="false" stroked="true" strokeweight="1.754314pt" strokecolor="#ec7c30">
              <v:path arrowok="t"/>
              <v:stroke dashstyle="solid"/>
            </v:shape>
            <v:shape style="position:absolute;left:4427;top:2095;width:163;height:163" coordorigin="4428,2096" coordsize="163,163" path="m4509,2096l4428,2177,4509,2259,4590,2177,4509,2096xe" filled="true" fillcolor="#ffffff" stroked="false">
              <v:path arrowok="t"/>
              <v:fill type="solid"/>
            </v:shape>
            <v:shape style="position:absolute;left:4427;top:2095;width:163;height:163" coordorigin="4428,2096" coordsize="163,163" path="m4509,2096l4590,2177,4509,2259,4428,2177,4509,2096xe" filled="false" stroked="true" strokeweight="1.754314pt" strokecolor="#ec7c30">
              <v:path arrowok="t"/>
              <v:stroke dashstyle="solid"/>
            </v:shape>
            <v:shape style="position:absolute;left:4865;top:2008;width:163;height:163" coordorigin="4865,2009" coordsize="163,163" path="m4947,2009l4865,2090,4947,2172,5028,2090,4947,2009xe" filled="true" fillcolor="#ffffff" stroked="false">
              <v:path arrowok="t"/>
              <v:fill type="solid"/>
            </v:shape>
            <v:shape style="position:absolute;left:4865;top:2008;width:163;height:163" coordorigin="4865,2009" coordsize="163,163" path="m4947,2009l5028,2090,4947,2172,4865,2090,4947,2009xe" filled="false" stroked="true" strokeweight="1.754314pt" strokecolor="#ec7c30">
              <v:path arrowok="t"/>
              <v:stroke dashstyle="solid"/>
            </v:shape>
            <v:shape style="position:absolute;left:5283;top:1000;width:198;height:198" type="#_x0000_t75" stroked="false">
              <v:imagedata r:id="rId127" o:title=""/>
            </v:shape>
            <v:shape style="position:absolute;left:6173;top:2197;width:163;height:163" coordorigin="6173,2197" coordsize="163,163" path="m6255,2197l6173,2278,6255,2360,6336,2278,6255,2197xe" filled="true" fillcolor="#ffffff" stroked="false">
              <v:path arrowok="t"/>
              <v:fill type="solid"/>
            </v:shape>
            <v:shape style="position:absolute;left:6173;top:2197;width:163;height:163" coordorigin="6173,2197" coordsize="163,163" path="m6255,2197l6336,2278,6255,2360,6173,2278,6255,2197xe" filled="false" stroked="true" strokeweight="1.754314pt" strokecolor="#ec7c30">
              <v:path arrowok="t"/>
              <v:stroke dashstyle="solid"/>
            </v:shape>
            <v:shape style="position:absolute;left:6611;top:2258;width:163;height:163" coordorigin="6611,2259" coordsize="163,163" path="m6693,2259l6611,2340,6693,2422,6774,2340,6693,2259xe" filled="true" fillcolor="#ffffff" stroked="false">
              <v:path arrowok="t"/>
              <v:fill type="solid"/>
            </v:shape>
            <v:shape style="position:absolute;left:6611;top:2258;width:163;height:163" coordorigin="6611,2259" coordsize="163,163" path="m6693,2259l6774,2340,6693,2422,6611,2340,6693,2259xe" filled="false" stroked="true" strokeweight="1.754314pt" strokecolor="#ec7c30">
              <v:path arrowok="t"/>
              <v:stroke dashstyle="solid"/>
            </v:shape>
            <v:shape style="position:absolute;left:7049;top:2472;width:163;height:163" coordorigin="7049,2472" coordsize="163,163" path="m7131,2472l7049,2553,7131,2635,7212,2553,7131,2472xe" filled="true" fillcolor="#ffffff" stroked="false">
              <v:path arrowok="t"/>
              <v:fill type="solid"/>
            </v:shape>
            <v:shape style="position:absolute;left:7049;top:2472;width:163;height:163" coordorigin="7049,2472" coordsize="163,163" path="m7131,2472l7212,2553,7131,2635,7049,2553,7131,2472xe" filled="false" stroked="true" strokeweight="1.754314pt" strokecolor="#ec7c30">
              <v:path arrowok="t"/>
              <v:stroke dashstyle="solid"/>
            </v:shape>
            <v:shape style="position:absolute;left:7484;top:1694;width:163;height:163" coordorigin="7484,1695" coordsize="163,163" path="m7566,1695l7484,1776,7566,1857,7647,1776,7566,1695xe" filled="true" fillcolor="#ffffff" stroked="false">
              <v:path arrowok="t"/>
              <v:fill type="solid"/>
            </v:shape>
            <v:shape style="position:absolute;left:7484;top:1694;width:163;height:163" coordorigin="7484,1695" coordsize="163,163" path="m7566,1695l7647,1776,7566,1857,7484,1776,7566,1695xe" filled="false" stroked="true" strokeweight="1.754314pt" strokecolor="#ec7c30">
              <v:path arrowok="t"/>
              <v:stroke dashstyle="solid"/>
            </v:shape>
            <v:shape style="position:absolute;left:8359;top:2368;width:163;height:163" coordorigin="8360,2368" coordsize="163,163" path="m8441,2368l8360,2450,8441,2531,8523,2450,8441,2368xe" filled="true" fillcolor="#ffffff" stroked="false">
              <v:path arrowok="t"/>
              <v:fill type="solid"/>
            </v:shape>
            <v:shape style="position:absolute;left:8359;top:2368;width:163;height:163" coordorigin="8360,2368" coordsize="163,163" path="m8441,2368l8523,2450,8441,2531,8360,2450,8441,2368xe" filled="false" stroked="true" strokeweight="1.754314pt" strokecolor="#ec7c30">
              <v:path arrowok="t"/>
              <v:stroke dashstyle="solid"/>
            </v:shape>
            <v:shape style="position:absolute;left:8795;top:2331;width:163;height:163" coordorigin="8795,2332" coordsize="163,163" path="m8876,2332l8795,2413,8876,2495,8958,2413,8876,2332xe" filled="true" fillcolor="#ffffff" stroked="false">
              <v:path arrowok="t"/>
              <v:fill type="solid"/>
            </v:shape>
            <v:shape style="position:absolute;left:8795;top:2331;width:163;height:163" coordorigin="8795,2332" coordsize="163,163" path="m8876,2332l8958,2413,8876,2495,8795,2413,8876,2332xe" filled="false" stroked="true" strokeweight="1.754314pt" strokecolor="#ec7c30">
              <v:path arrowok="t"/>
              <v:stroke dashstyle="solid"/>
            </v:shape>
            <v:shape style="position:absolute;left:9232;top:2595;width:163;height:163" coordorigin="9233,2596" coordsize="163,163" path="m9314,2596l9233,2677,9314,2758,9396,2677,9314,2596xe" filled="true" fillcolor="#ffffff" stroked="false">
              <v:path arrowok="t"/>
              <v:fill type="solid"/>
            </v:shape>
            <v:shape style="position:absolute;left:9232;top:2595;width:163;height:163" coordorigin="9233,2596" coordsize="163,163" path="m9314,2596l9396,2677,9314,2758,9233,2677,9314,2596xe" filled="false" stroked="true" strokeweight="1.754314pt" strokecolor="#ec7c30">
              <v:path arrowok="t"/>
              <v:stroke dashstyle="solid"/>
            </v:shape>
            <v:shape style="position:absolute;left:9668;top:2000;width:163;height:163" coordorigin="9668,2001" coordsize="163,163" path="m9749,2001l9668,2082,9749,2163,9831,2082,9749,2001xe" filled="true" fillcolor="#ffffff" stroked="false">
              <v:path arrowok="t"/>
              <v:fill type="solid"/>
            </v:shape>
            <v:shape style="position:absolute;left:9668;top:2000;width:163;height:163" coordorigin="9668,2001" coordsize="163,163" path="m9749,2001l9831,2082,9749,2163,9668,2082,9749,2001xe" filled="false" stroked="true" strokeweight="1.754314pt" strokecolor="#ec7c30">
              <v:path arrowok="t"/>
              <v:stroke dashstyle="solid"/>
            </v:shape>
            <w10:wrap type="none"/>
          </v:group>
        </w:pict>
      </w:r>
      <w:r>
        <w:rPr>
          <w:sz w:val="23"/>
        </w:rPr>
        <w:t>45</w:t>
      </w:r>
    </w:p>
    <w:p>
      <w:pPr>
        <w:spacing w:line="240" w:lineRule="auto" w:before="0"/>
        <w:rPr>
          <w:sz w:val="20"/>
        </w:rPr>
      </w:pPr>
    </w:p>
    <w:p>
      <w:pPr>
        <w:spacing w:before="188"/>
        <w:ind w:left="3378" w:right="0" w:firstLine="0"/>
        <w:jc w:val="left"/>
        <w:rPr>
          <w:sz w:val="23"/>
        </w:rPr>
      </w:pPr>
      <w:r>
        <w:rPr>
          <w:sz w:val="23"/>
        </w:rPr>
        <w:t>35</w:t>
      </w:r>
    </w:p>
    <w:p>
      <w:pPr>
        <w:spacing w:line="240" w:lineRule="auto" w:before="0"/>
        <w:rPr>
          <w:sz w:val="20"/>
        </w:rPr>
      </w:pPr>
    </w:p>
    <w:p>
      <w:pPr>
        <w:tabs>
          <w:tab w:pos="10478" w:val="left" w:leader="none"/>
        </w:tabs>
        <w:spacing w:before="184"/>
        <w:ind w:left="3378" w:right="0" w:firstLine="0"/>
        <w:jc w:val="left"/>
        <w:rPr>
          <w:rFonts w:ascii="Gill Sans MT"/>
          <w:sz w:val="21"/>
        </w:rPr>
      </w:pPr>
      <w:r>
        <w:rPr/>
        <w:pict>
          <v:group style="position:absolute;margin-left:516.118225pt;margin-top:21.968609pt;width:6.8pt;height:2pt;mso-position-horizontal-relative:page;mso-position-vertical-relative:paragraph;z-index:-266954752" coordorigin="10322,439" coordsize="136,40">
            <v:rect style="position:absolute;left:10331;top:448;width:118;height:23" filled="true" fillcolor="#000000" stroked="false">
              <v:fill type="solid"/>
            </v:rect>
            <v:rect style="position:absolute;left:10322;top:439;width:136;height:40" filled="true" fillcolor="#000000" stroked="false">
              <v:fill type="solid"/>
            </v:rect>
            <w10:wrap type="none"/>
          </v:group>
        </w:pict>
      </w:r>
      <w:r>
        <w:rPr>
          <w:w w:val="110"/>
          <w:position w:val="12"/>
          <w:sz w:val="23"/>
        </w:rPr>
        <w:t>25</w:t>
        <w:tab/>
      </w:r>
      <w:r>
        <w:rPr>
          <w:rFonts w:ascii="Gill Sans MT"/>
          <w:w w:val="110"/>
          <w:sz w:val="21"/>
        </w:rPr>
        <w:t>Median</w:t>
      </w:r>
    </w:p>
    <w:p>
      <w:pPr>
        <w:spacing w:line="212" w:lineRule="exact" w:before="147"/>
        <w:ind w:left="10478" w:right="0" w:firstLine="0"/>
        <w:jc w:val="left"/>
        <w:rPr>
          <w:rFonts w:ascii="Gill Sans MT"/>
          <w:sz w:val="21"/>
        </w:rPr>
      </w:pPr>
      <w:r>
        <w:rPr/>
        <w:drawing>
          <wp:anchor distT="0" distB="0" distL="0" distR="0" allowOverlap="1" layoutInCell="1" locked="0" behindDoc="0" simplePos="0" relativeHeight="251745280">
            <wp:simplePos x="0" y="0"/>
            <wp:positionH relativeFrom="page">
              <wp:posOffset>6550988</wp:posOffset>
            </wp:positionH>
            <wp:positionV relativeFrom="paragraph">
              <wp:posOffset>129739</wp:posOffset>
            </wp:positionV>
            <wp:extent cx="93427" cy="93425"/>
            <wp:effectExtent l="0" t="0" r="0" b="0"/>
            <wp:wrapNone/>
            <wp:docPr id="73" name="image46.png"/>
            <wp:cNvGraphicFramePr>
              <a:graphicFrameLocks noChangeAspect="1"/>
            </wp:cNvGraphicFramePr>
            <a:graphic>
              <a:graphicData uri="http://schemas.openxmlformats.org/drawingml/2006/picture">
                <pic:pic>
                  <pic:nvPicPr>
                    <pic:cNvPr id="74" name="image46.png"/>
                    <pic:cNvPicPr/>
                  </pic:nvPicPr>
                  <pic:blipFill>
                    <a:blip r:embed="rId128" cstate="print"/>
                    <a:stretch>
                      <a:fillRect/>
                    </a:stretch>
                  </pic:blipFill>
                  <pic:spPr>
                    <a:xfrm>
                      <a:off x="0" y="0"/>
                      <a:ext cx="93427" cy="93425"/>
                    </a:xfrm>
                    <a:prstGeom prst="rect">
                      <a:avLst/>
                    </a:prstGeom>
                  </pic:spPr>
                </pic:pic>
              </a:graphicData>
            </a:graphic>
          </wp:anchor>
        </w:drawing>
      </w:r>
      <w:r>
        <w:rPr>
          <w:rFonts w:ascii="Gill Sans MT"/>
          <w:w w:val="110"/>
          <w:sz w:val="21"/>
        </w:rPr>
        <w:t>Mar</w:t>
      </w:r>
      <w:r>
        <w:rPr>
          <w:rFonts w:ascii="Gill Sans MT"/>
          <w:spacing w:val="-14"/>
          <w:w w:val="110"/>
          <w:sz w:val="21"/>
        </w:rPr>
        <w:t> </w:t>
      </w:r>
      <w:r>
        <w:rPr>
          <w:rFonts w:ascii="Gill Sans MT"/>
          <w:w w:val="110"/>
          <w:sz w:val="21"/>
        </w:rPr>
        <w:t>'25</w:t>
      </w:r>
    </w:p>
    <w:p>
      <w:pPr>
        <w:spacing w:line="214" w:lineRule="exact" w:before="0"/>
        <w:ind w:left="3378" w:right="0" w:firstLine="0"/>
        <w:jc w:val="left"/>
        <w:rPr>
          <w:sz w:val="23"/>
        </w:rPr>
      </w:pPr>
      <w:r>
        <w:rPr>
          <w:sz w:val="23"/>
        </w:rPr>
        <w:t>15</w:t>
      </w:r>
    </w:p>
    <w:p>
      <w:pPr>
        <w:spacing w:line="209" w:lineRule="exact" w:before="0"/>
        <w:ind w:left="10478" w:right="0" w:firstLine="0"/>
        <w:jc w:val="left"/>
        <w:rPr>
          <w:rFonts w:ascii="Gill Sans MT"/>
          <w:sz w:val="21"/>
        </w:rPr>
      </w:pPr>
      <w:r>
        <w:rPr/>
        <w:pict>
          <v:shape style="position:absolute;margin-left:516.627014pt;margin-top:1.889746pt;width:5.9pt;height:5.9pt;mso-position-horizontal-relative:page;mso-position-vertical-relative:paragraph;z-index:251746304" coordorigin="10333,38" coordsize="118,118" path="m10391,38l10450,97,10391,156,10333,97,10391,38xe" filled="false" stroked="true" strokeweight="1.754314pt" strokecolor="#ec7c30">
            <v:path arrowok="t"/>
            <v:stroke dashstyle="solid"/>
            <w10:wrap type="none"/>
          </v:shape>
        </w:pict>
      </w:r>
      <w:r>
        <w:rPr>
          <w:rFonts w:ascii="Gill Sans MT"/>
          <w:spacing w:val="-1"/>
          <w:w w:val="221"/>
          <w:sz w:val="21"/>
        </w:rPr>
        <w:t>J</w:t>
      </w:r>
      <w:r>
        <w:rPr>
          <w:rFonts w:ascii="Gill Sans MT"/>
          <w:spacing w:val="1"/>
          <w:w w:val="110"/>
          <w:sz w:val="21"/>
        </w:rPr>
        <w:t>u</w:t>
      </w:r>
      <w:r>
        <w:rPr>
          <w:rFonts w:ascii="Gill Sans MT"/>
          <w:w w:val="110"/>
          <w:sz w:val="21"/>
        </w:rPr>
        <w:t>n</w:t>
      </w:r>
      <w:r>
        <w:rPr>
          <w:rFonts w:ascii="Gill Sans MT"/>
          <w:spacing w:val="-7"/>
          <w:sz w:val="21"/>
        </w:rPr>
        <w:t> </w:t>
      </w:r>
      <w:r>
        <w:rPr>
          <w:rFonts w:ascii="Gill Sans MT"/>
          <w:spacing w:val="-1"/>
          <w:w w:val="109"/>
          <w:sz w:val="21"/>
        </w:rPr>
        <w:t>'25</w:t>
      </w:r>
    </w:p>
    <w:p>
      <w:pPr>
        <w:pStyle w:val="BodyText"/>
        <w:spacing w:before="5"/>
        <w:rPr>
          <w:rFonts w:ascii="Gill Sans MT"/>
          <w:sz w:val="17"/>
        </w:rPr>
      </w:pPr>
    </w:p>
    <w:p>
      <w:pPr>
        <w:spacing w:before="56"/>
        <w:ind w:left="3497" w:right="0" w:firstLine="0"/>
        <w:jc w:val="left"/>
        <w:rPr>
          <w:sz w:val="23"/>
        </w:rPr>
      </w:pPr>
      <w:r>
        <w:rPr/>
        <w:pict>
          <v:group style="position:absolute;margin-left:163.695206pt;margin-top:20.150490pt;width:216.9pt;height:41.45pt;mso-position-horizontal-relative:page;mso-position-vertical-relative:paragraph;z-index:-251576320;mso-wrap-distance-left:0;mso-wrap-distance-right:0" coordorigin="3274,403" coordsize="4338,829">
            <v:shape style="position:absolute;left:3273;top:403;width:2154;height:828" type="#_x0000_t75" stroked="false">
              <v:imagedata r:id="rId129" o:title=""/>
            </v:shape>
            <v:shape style="position:absolute;left:5476;top:403;width:2135;height:829" type="#_x0000_t75" stroked="false">
              <v:imagedata r:id="rId130" o:title=""/>
            </v:shape>
            <w10:wrap type="topAndBottom"/>
          </v:group>
        </w:pict>
      </w:r>
      <w:r>
        <w:rPr/>
        <w:drawing>
          <wp:anchor distT="0" distB="0" distL="0" distR="0" allowOverlap="1" layoutInCell="1" locked="0" behindDoc="0" simplePos="0" relativeHeight="81">
            <wp:simplePos x="0" y="0"/>
            <wp:positionH relativeFrom="page">
              <wp:posOffset>4888381</wp:posOffset>
            </wp:positionH>
            <wp:positionV relativeFrom="paragraph">
              <wp:posOffset>255911</wp:posOffset>
            </wp:positionV>
            <wp:extent cx="1326222" cy="500062"/>
            <wp:effectExtent l="0" t="0" r="0" b="0"/>
            <wp:wrapTopAndBottom/>
            <wp:docPr id="75" name="image49.png"/>
            <wp:cNvGraphicFramePr>
              <a:graphicFrameLocks noChangeAspect="1"/>
            </wp:cNvGraphicFramePr>
            <a:graphic>
              <a:graphicData uri="http://schemas.openxmlformats.org/drawingml/2006/picture">
                <pic:pic>
                  <pic:nvPicPr>
                    <pic:cNvPr id="76" name="image49.png"/>
                    <pic:cNvPicPr/>
                  </pic:nvPicPr>
                  <pic:blipFill>
                    <a:blip r:embed="rId131" cstate="print"/>
                    <a:stretch>
                      <a:fillRect/>
                    </a:stretch>
                  </pic:blipFill>
                  <pic:spPr>
                    <a:xfrm>
                      <a:off x="0" y="0"/>
                      <a:ext cx="1326222" cy="500062"/>
                    </a:xfrm>
                    <a:prstGeom prst="rect">
                      <a:avLst/>
                    </a:prstGeom>
                  </pic:spPr>
                </pic:pic>
              </a:graphicData>
            </a:graphic>
          </wp:anchor>
        </w:drawing>
      </w:r>
      <w:r>
        <w:rPr/>
        <w:pict>
          <v:line style="position:absolute;mso-position-horizontal-relative:page;mso-position-vertical-relative:paragraph;z-index:251743232" from="192.64328pt,10.340524pt" to="498.452162pt,10.340549pt" stroked="true" strokeweight=".877149pt" strokecolor="#aeabab">
            <v:stroke dashstyle="solid"/>
            <w10:wrap type="none"/>
          </v:line>
        </w:pict>
      </w:r>
      <w:r>
        <w:rPr>
          <w:w w:val="101"/>
          <w:sz w:val="23"/>
        </w:rPr>
        <w:t>5</w:t>
      </w:r>
    </w:p>
    <w:p>
      <w:pPr>
        <w:spacing w:line="240" w:lineRule="auto" w:before="3"/>
        <w:rPr>
          <w:sz w:val="22"/>
        </w:rPr>
      </w:pPr>
    </w:p>
    <w:p>
      <w:pPr>
        <w:spacing w:line="247" w:lineRule="auto" w:before="0"/>
        <w:ind w:left="1684" w:right="1346" w:firstLine="0"/>
        <w:jc w:val="left"/>
        <w:rPr>
          <w:rFonts w:ascii="Gill Sans MT"/>
          <w:sz w:val="14"/>
        </w:rPr>
      </w:pPr>
      <w:r>
        <w:rPr>
          <w:rFonts w:ascii="Gill Sans MT"/>
          <w:w w:val="110"/>
          <w:sz w:val="14"/>
        </w:rPr>
        <w:t>Source:</w:t>
      </w:r>
      <w:r>
        <w:rPr>
          <w:rFonts w:ascii="Gill Sans MT"/>
          <w:spacing w:val="-9"/>
          <w:w w:val="110"/>
          <w:sz w:val="14"/>
        </w:rPr>
        <w:t> </w:t>
      </w:r>
      <w:r>
        <w:rPr>
          <w:rFonts w:ascii="Gill Sans MT"/>
          <w:w w:val="110"/>
          <w:sz w:val="14"/>
        </w:rPr>
        <w:t>Bloomberg.</w:t>
      </w:r>
      <w:r>
        <w:rPr>
          <w:rFonts w:ascii="Gill Sans MT"/>
          <w:spacing w:val="-9"/>
          <w:w w:val="110"/>
          <w:sz w:val="14"/>
        </w:rPr>
        <w:t> </w:t>
      </w:r>
      <w:r>
        <w:rPr>
          <w:rFonts w:ascii="Gill Sans MT"/>
          <w:w w:val="110"/>
          <w:sz w:val="14"/>
        </w:rPr>
        <w:t>Indices</w:t>
      </w:r>
      <w:r>
        <w:rPr>
          <w:rFonts w:ascii="Gill Sans MT"/>
          <w:spacing w:val="-9"/>
          <w:w w:val="110"/>
          <w:sz w:val="14"/>
        </w:rPr>
        <w:t> </w:t>
      </w:r>
      <w:r>
        <w:rPr>
          <w:rFonts w:ascii="Gill Sans MT"/>
          <w:w w:val="110"/>
          <w:sz w:val="14"/>
        </w:rPr>
        <w:t>used:</w:t>
      </w:r>
      <w:r>
        <w:rPr>
          <w:rFonts w:ascii="Gill Sans MT"/>
          <w:spacing w:val="-8"/>
          <w:w w:val="110"/>
          <w:sz w:val="14"/>
        </w:rPr>
        <w:t> </w:t>
      </w:r>
      <w:r>
        <w:rPr>
          <w:rFonts w:ascii="Gill Sans MT"/>
          <w:w w:val="110"/>
          <w:sz w:val="14"/>
        </w:rPr>
        <w:t>S&amp;P</w:t>
      </w:r>
      <w:r>
        <w:rPr>
          <w:rFonts w:ascii="Gill Sans MT"/>
          <w:spacing w:val="-11"/>
          <w:w w:val="110"/>
          <w:sz w:val="14"/>
        </w:rPr>
        <w:t> </w:t>
      </w:r>
      <w:r>
        <w:rPr>
          <w:rFonts w:ascii="Gill Sans MT"/>
          <w:w w:val="110"/>
          <w:sz w:val="14"/>
        </w:rPr>
        <w:t>500,</w:t>
      </w:r>
      <w:r>
        <w:rPr>
          <w:rFonts w:ascii="Gill Sans MT"/>
          <w:spacing w:val="-16"/>
          <w:w w:val="110"/>
          <w:sz w:val="14"/>
        </w:rPr>
        <w:t> </w:t>
      </w:r>
      <w:r>
        <w:rPr>
          <w:rFonts w:ascii="Gill Sans MT"/>
          <w:w w:val="110"/>
          <w:sz w:val="14"/>
        </w:rPr>
        <w:t>S&amp;P</w:t>
      </w:r>
      <w:r>
        <w:rPr>
          <w:rFonts w:ascii="Gill Sans MT"/>
          <w:spacing w:val="-10"/>
          <w:w w:val="110"/>
          <w:sz w:val="14"/>
        </w:rPr>
        <w:t> </w:t>
      </w:r>
      <w:r>
        <w:rPr>
          <w:rFonts w:ascii="Gill Sans MT"/>
          <w:w w:val="110"/>
          <w:sz w:val="14"/>
        </w:rPr>
        <w:t>600,</w:t>
      </w:r>
      <w:r>
        <w:rPr>
          <w:rFonts w:ascii="Gill Sans MT"/>
          <w:spacing w:val="-16"/>
          <w:w w:val="110"/>
          <w:sz w:val="14"/>
        </w:rPr>
        <w:t> </w:t>
      </w:r>
      <w:r>
        <w:rPr>
          <w:rFonts w:ascii="Gill Sans MT"/>
          <w:w w:val="110"/>
          <w:sz w:val="14"/>
        </w:rPr>
        <w:t>Russell</w:t>
      </w:r>
      <w:r>
        <w:rPr>
          <w:rFonts w:ascii="Gill Sans MT"/>
          <w:spacing w:val="-9"/>
          <w:w w:val="110"/>
          <w:sz w:val="14"/>
        </w:rPr>
        <w:t> </w:t>
      </w:r>
      <w:r>
        <w:rPr>
          <w:rFonts w:ascii="Gill Sans MT"/>
          <w:w w:val="110"/>
          <w:sz w:val="14"/>
        </w:rPr>
        <w:t>3000</w:t>
      </w:r>
      <w:r>
        <w:rPr>
          <w:rFonts w:ascii="Gill Sans MT"/>
          <w:spacing w:val="-17"/>
          <w:w w:val="110"/>
          <w:sz w:val="14"/>
        </w:rPr>
        <w:t> </w:t>
      </w:r>
      <w:r>
        <w:rPr>
          <w:rFonts w:ascii="Gill Sans MT"/>
          <w:w w:val="110"/>
          <w:sz w:val="14"/>
        </w:rPr>
        <w:t>Value,</w:t>
      </w:r>
      <w:r>
        <w:rPr>
          <w:rFonts w:ascii="Gill Sans MT"/>
          <w:spacing w:val="-10"/>
          <w:w w:val="110"/>
          <w:sz w:val="14"/>
        </w:rPr>
        <w:t> </w:t>
      </w:r>
      <w:r>
        <w:rPr>
          <w:rFonts w:ascii="Gill Sans MT"/>
          <w:w w:val="110"/>
          <w:sz w:val="14"/>
        </w:rPr>
        <w:t>Russell</w:t>
      </w:r>
      <w:r>
        <w:rPr>
          <w:rFonts w:ascii="Gill Sans MT"/>
          <w:spacing w:val="-9"/>
          <w:w w:val="110"/>
          <w:sz w:val="14"/>
        </w:rPr>
        <w:t> </w:t>
      </w:r>
      <w:r>
        <w:rPr>
          <w:rFonts w:ascii="Gill Sans MT"/>
          <w:w w:val="110"/>
          <w:sz w:val="14"/>
        </w:rPr>
        <w:t>3000</w:t>
      </w:r>
      <w:r>
        <w:rPr>
          <w:rFonts w:ascii="Gill Sans MT"/>
          <w:spacing w:val="-17"/>
          <w:w w:val="110"/>
          <w:sz w:val="14"/>
        </w:rPr>
        <w:t> </w:t>
      </w:r>
      <w:r>
        <w:rPr>
          <w:rFonts w:ascii="Gill Sans MT"/>
          <w:w w:val="110"/>
          <w:sz w:val="14"/>
        </w:rPr>
        <w:t>Growth,</w:t>
      </w:r>
      <w:r>
        <w:rPr>
          <w:rFonts w:ascii="Gill Sans MT"/>
          <w:spacing w:val="-13"/>
          <w:w w:val="110"/>
          <w:sz w:val="14"/>
        </w:rPr>
        <w:t> </w:t>
      </w:r>
      <w:r>
        <w:rPr>
          <w:rFonts w:ascii="Gill Sans MT"/>
          <w:w w:val="110"/>
          <w:sz w:val="14"/>
        </w:rPr>
        <w:t>MSCI</w:t>
      </w:r>
      <w:r>
        <w:rPr>
          <w:rFonts w:ascii="Gill Sans MT"/>
          <w:spacing w:val="-12"/>
          <w:w w:val="110"/>
          <w:sz w:val="14"/>
        </w:rPr>
        <w:t> </w:t>
      </w:r>
      <w:r>
        <w:rPr>
          <w:rFonts w:ascii="Gill Sans MT"/>
          <w:w w:val="110"/>
          <w:sz w:val="14"/>
        </w:rPr>
        <w:t>EAFE,</w:t>
      </w:r>
      <w:r>
        <w:rPr>
          <w:rFonts w:ascii="Gill Sans MT"/>
          <w:spacing w:val="-8"/>
          <w:w w:val="110"/>
          <w:sz w:val="14"/>
        </w:rPr>
        <w:t> </w:t>
      </w:r>
      <w:r>
        <w:rPr>
          <w:rFonts w:ascii="Gill Sans MT"/>
          <w:w w:val="110"/>
          <w:sz w:val="14"/>
        </w:rPr>
        <w:t>MSCI</w:t>
      </w:r>
      <w:r>
        <w:rPr>
          <w:rFonts w:ascii="Gill Sans MT"/>
          <w:spacing w:val="-13"/>
          <w:w w:val="110"/>
          <w:sz w:val="14"/>
        </w:rPr>
        <w:t> </w:t>
      </w:r>
      <w:r>
        <w:rPr>
          <w:rFonts w:ascii="Gill Sans MT"/>
          <w:w w:val="110"/>
          <w:sz w:val="14"/>
        </w:rPr>
        <w:t>EAFE</w:t>
      </w:r>
      <w:r>
        <w:rPr>
          <w:rFonts w:ascii="Gill Sans MT"/>
          <w:spacing w:val="-9"/>
          <w:w w:val="110"/>
          <w:sz w:val="14"/>
        </w:rPr>
        <w:t> </w:t>
      </w:r>
      <w:r>
        <w:rPr>
          <w:rFonts w:ascii="Gill Sans MT"/>
          <w:w w:val="110"/>
          <w:sz w:val="14"/>
        </w:rPr>
        <w:t>Small</w:t>
      </w:r>
      <w:r>
        <w:rPr>
          <w:rFonts w:ascii="Gill Sans MT"/>
          <w:spacing w:val="-11"/>
          <w:w w:val="110"/>
          <w:sz w:val="14"/>
        </w:rPr>
        <w:t> </w:t>
      </w:r>
      <w:r>
        <w:rPr>
          <w:rFonts w:ascii="Gill Sans MT"/>
          <w:w w:val="110"/>
          <w:sz w:val="14"/>
        </w:rPr>
        <w:t>Cap,</w:t>
      </w:r>
      <w:r>
        <w:rPr>
          <w:rFonts w:ascii="Gill Sans MT"/>
          <w:spacing w:val="-14"/>
          <w:w w:val="110"/>
          <w:sz w:val="14"/>
        </w:rPr>
        <w:t> </w:t>
      </w:r>
      <w:r>
        <w:rPr>
          <w:rFonts w:ascii="Gill Sans MT"/>
          <w:w w:val="110"/>
          <w:sz w:val="14"/>
        </w:rPr>
        <w:t>MSCI</w:t>
      </w:r>
      <w:r>
        <w:rPr>
          <w:rFonts w:ascii="Gill Sans MT"/>
          <w:spacing w:val="-13"/>
          <w:w w:val="110"/>
          <w:sz w:val="14"/>
        </w:rPr>
        <w:t> </w:t>
      </w:r>
      <w:r>
        <w:rPr>
          <w:rFonts w:ascii="Gill Sans MT"/>
          <w:w w:val="110"/>
          <w:sz w:val="14"/>
        </w:rPr>
        <w:t>EAFE</w:t>
      </w:r>
      <w:r>
        <w:rPr>
          <w:rFonts w:ascii="Gill Sans MT"/>
          <w:spacing w:val="-9"/>
          <w:w w:val="110"/>
          <w:sz w:val="14"/>
        </w:rPr>
        <w:t> </w:t>
      </w:r>
      <w:r>
        <w:rPr>
          <w:rFonts w:ascii="Gill Sans MT"/>
          <w:w w:val="110"/>
          <w:sz w:val="14"/>
        </w:rPr>
        <w:t>Value,</w:t>
      </w:r>
      <w:r>
        <w:rPr>
          <w:rFonts w:ascii="Gill Sans MT"/>
          <w:spacing w:val="-9"/>
          <w:w w:val="110"/>
          <w:sz w:val="14"/>
        </w:rPr>
        <w:t> </w:t>
      </w:r>
      <w:r>
        <w:rPr>
          <w:rFonts w:ascii="Gill Sans MT"/>
          <w:w w:val="110"/>
          <w:sz w:val="14"/>
        </w:rPr>
        <w:t>MSCI</w:t>
      </w:r>
      <w:r>
        <w:rPr>
          <w:rFonts w:ascii="Gill Sans MT"/>
          <w:spacing w:val="-13"/>
          <w:w w:val="110"/>
          <w:sz w:val="14"/>
        </w:rPr>
        <w:t> </w:t>
      </w:r>
      <w:r>
        <w:rPr>
          <w:rFonts w:ascii="Gill Sans MT"/>
          <w:w w:val="110"/>
          <w:sz w:val="14"/>
        </w:rPr>
        <w:t>EAFE</w:t>
      </w:r>
      <w:r>
        <w:rPr>
          <w:rFonts w:ascii="Gill Sans MT"/>
          <w:spacing w:val="-9"/>
          <w:w w:val="110"/>
          <w:sz w:val="14"/>
        </w:rPr>
        <w:t> </w:t>
      </w:r>
      <w:r>
        <w:rPr>
          <w:rFonts w:ascii="Gill Sans MT"/>
          <w:w w:val="110"/>
          <w:sz w:val="14"/>
        </w:rPr>
        <w:t>Growth,</w:t>
      </w:r>
      <w:r>
        <w:rPr>
          <w:rFonts w:ascii="Gill Sans MT"/>
          <w:spacing w:val="-5"/>
          <w:w w:val="110"/>
          <w:sz w:val="14"/>
        </w:rPr>
        <w:t> </w:t>
      </w:r>
      <w:r>
        <w:rPr>
          <w:rFonts w:ascii="Gill Sans MT"/>
          <w:w w:val="110"/>
          <w:sz w:val="14"/>
        </w:rPr>
        <w:t>MSCI</w:t>
      </w:r>
      <w:r>
        <w:rPr>
          <w:rFonts w:ascii="Gill Sans MT"/>
          <w:spacing w:val="-11"/>
          <w:w w:val="110"/>
          <w:sz w:val="14"/>
        </w:rPr>
        <w:t> </w:t>
      </w:r>
      <w:r>
        <w:rPr>
          <w:rFonts w:ascii="Gill Sans MT"/>
          <w:w w:val="110"/>
          <w:sz w:val="14"/>
        </w:rPr>
        <w:t>EM, MSCI</w:t>
      </w:r>
      <w:r>
        <w:rPr>
          <w:rFonts w:ascii="Gill Sans MT"/>
          <w:spacing w:val="-10"/>
          <w:w w:val="110"/>
          <w:sz w:val="14"/>
        </w:rPr>
        <w:t> </w:t>
      </w:r>
      <w:r>
        <w:rPr>
          <w:rFonts w:ascii="Gill Sans MT"/>
          <w:w w:val="110"/>
          <w:sz w:val="14"/>
        </w:rPr>
        <w:t>EM</w:t>
      </w:r>
      <w:r>
        <w:rPr>
          <w:rFonts w:ascii="Gill Sans MT"/>
          <w:spacing w:val="-7"/>
          <w:w w:val="110"/>
          <w:sz w:val="14"/>
        </w:rPr>
        <w:t> </w:t>
      </w:r>
      <w:r>
        <w:rPr>
          <w:rFonts w:ascii="Gill Sans MT"/>
          <w:w w:val="110"/>
          <w:sz w:val="14"/>
        </w:rPr>
        <w:t>Small</w:t>
      </w:r>
      <w:r>
        <w:rPr>
          <w:rFonts w:ascii="Gill Sans MT"/>
          <w:spacing w:val="-8"/>
          <w:w w:val="110"/>
          <w:sz w:val="14"/>
        </w:rPr>
        <w:t> </w:t>
      </w:r>
      <w:r>
        <w:rPr>
          <w:rFonts w:ascii="Gill Sans MT"/>
          <w:w w:val="110"/>
          <w:sz w:val="14"/>
        </w:rPr>
        <w:t>Cap,</w:t>
      </w:r>
      <w:r>
        <w:rPr>
          <w:rFonts w:ascii="Gill Sans MT"/>
          <w:spacing w:val="-11"/>
          <w:w w:val="110"/>
          <w:sz w:val="14"/>
        </w:rPr>
        <w:t> </w:t>
      </w:r>
      <w:r>
        <w:rPr>
          <w:rFonts w:ascii="Gill Sans MT"/>
          <w:w w:val="110"/>
          <w:sz w:val="14"/>
        </w:rPr>
        <w:t>MSCI</w:t>
      </w:r>
      <w:r>
        <w:rPr>
          <w:rFonts w:ascii="Gill Sans MT"/>
          <w:spacing w:val="-9"/>
          <w:w w:val="110"/>
          <w:sz w:val="14"/>
        </w:rPr>
        <w:t> </w:t>
      </w:r>
      <w:r>
        <w:rPr>
          <w:rFonts w:ascii="Gill Sans MT"/>
          <w:w w:val="110"/>
          <w:sz w:val="14"/>
        </w:rPr>
        <w:t>EM</w:t>
      </w:r>
      <w:r>
        <w:rPr>
          <w:rFonts w:ascii="Gill Sans MT"/>
          <w:spacing w:val="-7"/>
          <w:w w:val="110"/>
          <w:sz w:val="14"/>
        </w:rPr>
        <w:t> </w:t>
      </w:r>
      <w:r>
        <w:rPr>
          <w:rFonts w:ascii="Gill Sans MT"/>
          <w:w w:val="110"/>
          <w:sz w:val="14"/>
        </w:rPr>
        <w:t>Value,</w:t>
      </w:r>
      <w:r>
        <w:rPr>
          <w:rFonts w:ascii="Gill Sans MT"/>
          <w:spacing w:val="-6"/>
          <w:w w:val="110"/>
          <w:sz w:val="14"/>
        </w:rPr>
        <w:t> </w:t>
      </w:r>
      <w:r>
        <w:rPr>
          <w:rFonts w:ascii="Gill Sans MT"/>
          <w:w w:val="110"/>
          <w:sz w:val="14"/>
        </w:rPr>
        <w:t>MSCI</w:t>
      </w:r>
      <w:r>
        <w:rPr>
          <w:rFonts w:ascii="Gill Sans MT"/>
          <w:spacing w:val="-10"/>
          <w:w w:val="110"/>
          <w:sz w:val="14"/>
        </w:rPr>
        <w:t> </w:t>
      </w:r>
      <w:r>
        <w:rPr>
          <w:rFonts w:ascii="Gill Sans MT"/>
          <w:w w:val="110"/>
          <w:sz w:val="14"/>
        </w:rPr>
        <w:t>EM</w:t>
      </w:r>
      <w:r>
        <w:rPr>
          <w:rFonts w:ascii="Gill Sans MT"/>
          <w:spacing w:val="-7"/>
          <w:w w:val="110"/>
          <w:sz w:val="14"/>
        </w:rPr>
        <w:t> </w:t>
      </w:r>
      <w:r>
        <w:rPr>
          <w:rFonts w:ascii="Gill Sans MT"/>
          <w:w w:val="110"/>
          <w:sz w:val="14"/>
        </w:rPr>
        <w:t>Growth.</w:t>
      </w:r>
    </w:p>
    <w:p>
      <w:pPr>
        <w:spacing w:after="0" w:line="247" w:lineRule="auto"/>
        <w:jc w:val="left"/>
        <w:rPr>
          <w:rFonts w:ascii="Gill Sans MT"/>
          <w:sz w:val="14"/>
        </w:rPr>
        <w:sectPr>
          <w:headerReference w:type="default" r:id="rId124"/>
          <w:footerReference w:type="default" r:id="rId125"/>
          <w:pgSz w:w="14400" w:h="10800" w:orient="landscape"/>
          <w:pgMar w:header="650" w:footer="997" w:top="1480" w:bottom="1180" w:left="20" w:right="40"/>
          <w:pgNumType w:start="34"/>
        </w:sectPr>
      </w:pPr>
    </w:p>
    <w:p>
      <w:pPr>
        <w:pStyle w:val="BodyText"/>
        <w:rPr>
          <w:rFonts w:ascii="Gill Sans MT"/>
          <w:sz w:val="20"/>
        </w:rPr>
      </w:pPr>
    </w:p>
    <w:p>
      <w:pPr>
        <w:pStyle w:val="BodyText"/>
        <w:spacing w:before="1"/>
        <w:rPr>
          <w:rFonts w:ascii="Gill Sans MT"/>
          <w:sz w:val="27"/>
        </w:rPr>
      </w:pPr>
    </w:p>
    <w:p>
      <w:pPr>
        <w:pStyle w:val="Heading5"/>
        <w:numPr>
          <w:ilvl w:val="1"/>
          <w:numId w:val="8"/>
        </w:numPr>
        <w:tabs>
          <w:tab w:pos="1116" w:val="left" w:leader="none"/>
        </w:tabs>
        <w:spacing w:line="240" w:lineRule="auto" w:before="98" w:after="0"/>
        <w:ind w:left="1115" w:right="0" w:hanging="272"/>
        <w:jc w:val="left"/>
      </w:pPr>
      <w:bookmarkStart w:name="Slide 35: Diversification Benefits" w:id="44"/>
      <w:bookmarkEnd w:id="44"/>
      <w:r>
        <w:rPr/>
      </w:r>
      <w:bookmarkStart w:name="Slide 35: Diversification Benefits" w:id="45"/>
      <w:bookmarkEnd w:id="45"/>
      <w:r>
        <w:rPr>
          <w:w w:val="115"/>
        </w:rPr>
        <w:t>N</w:t>
      </w:r>
      <w:r>
        <w:rPr>
          <w:w w:val="115"/>
        </w:rPr>
        <w:t>o</w:t>
      </w:r>
      <w:r>
        <w:rPr>
          <w:spacing w:val="-25"/>
          <w:w w:val="115"/>
        </w:rPr>
        <w:t> </w:t>
      </w:r>
      <w:r>
        <w:rPr>
          <w:w w:val="115"/>
        </w:rPr>
        <w:t>single</w:t>
      </w:r>
      <w:r>
        <w:rPr>
          <w:spacing w:val="-25"/>
          <w:w w:val="115"/>
        </w:rPr>
        <w:t> </w:t>
      </w:r>
      <w:r>
        <w:rPr>
          <w:w w:val="115"/>
        </w:rPr>
        <w:t>asset</w:t>
      </w:r>
      <w:r>
        <w:rPr>
          <w:spacing w:val="-25"/>
          <w:w w:val="115"/>
        </w:rPr>
        <w:t> </w:t>
      </w:r>
      <w:r>
        <w:rPr>
          <w:w w:val="115"/>
        </w:rPr>
        <w:t>class</w:t>
      </w:r>
      <w:r>
        <w:rPr>
          <w:spacing w:val="-22"/>
          <w:w w:val="115"/>
        </w:rPr>
        <w:t> </w:t>
      </w:r>
      <w:r>
        <w:rPr>
          <w:w w:val="115"/>
        </w:rPr>
        <w:t>consistently</w:t>
      </w:r>
      <w:r>
        <w:rPr>
          <w:spacing w:val="-21"/>
          <w:w w:val="115"/>
        </w:rPr>
        <w:t> </w:t>
      </w:r>
      <w:r>
        <w:rPr>
          <w:w w:val="115"/>
        </w:rPr>
        <w:t>outperforms,</w:t>
      </w:r>
      <w:r>
        <w:rPr>
          <w:spacing w:val="-30"/>
          <w:w w:val="115"/>
        </w:rPr>
        <w:t> </w:t>
      </w:r>
      <w:r>
        <w:rPr>
          <w:w w:val="115"/>
        </w:rPr>
        <w:t>with</w:t>
      </w:r>
      <w:r>
        <w:rPr>
          <w:spacing w:val="-25"/>
          <w:w w:val="115"/>
        </w:rPr>
        <w:t> </w:t>
      </w:r>
      <w:r>
        <w:rPr>
          <w:w w:val="115"/>
        </w:rPr>
        <w:t>rankings</w:t>
      </w:r>
      <w:r>
        <w:rPr>
          <w:spacing w:val="-28"/>
          <w:w w:val="115"/>
        </w:rPr>
        <w:t> </w:t>
      </w:r>
      <w:r>
        <w:rPr>
          <w:w w:val="115"/>
        </w:rPr>
        <w:t>shifting</w:t>
      </w:r>
      <w:r>
        <w:rPr>
          <w:spacing w:val="-22"/>
          <w:w w:val="115"/>
        </w:rPr>
        <w:t> </w:t>
      </w:r>
      <w:r>
        <w:rPr>
          <w:w w:val="115"/>
        </w:rPr>
        <w:t>each</w:t>
      </w:r>
      <w:r>
        <w:rPr>
          <w:spacing w:val="-25"/>
          <w:w w:val="115"/>
        </w:rPr>
        <w:t> </w:t>
      </w:r>
      <w:r>
        <w:rPr>
          <w:w w:val="115"/>
        </w:rPr>
        <w:t>quarter</w:t>
      </w:r>
    </w:p>
    <w:p>
      <w:pPr>
        <w:pStyle w:val="BodyText"/>
        <w:rPr>
          <w:rFonts w:ascii="Gill Sans MT"/>
          <w:sz w:val="20"/>
        </w:rPr>
      </w:pPr>
    </w:p>
    <w:p>
      <w:pPr>
        <w:pStyle w:val="BodyText"/>
        <w:rPr>
          <w:rFonts w:ascii="Gill Sans MT"/>
          <w:sz w:val="20"/>
        </w:rPr>
      </w:pPr>
    </w:p>
    <w:p>
      <w:pPr>
        <w:pStyle w:val="BodyText"/>
        <w:spacing w:before="6"/>
        <w:rPr>
          <w:rFonts w:ascii="Gill Sans MT"/>
          <w:sz w:val="19"/>
        </w:rPr>
      </w:pPr>
    </w:p>
    <w:tbl>
      <w:tblPr>
        <w:tblW w:w="0" w:type="auto"/>
        <w:jc w:val="left"/>
        <w:tblInd w:w="2100"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top w:w="0" w:type="dxa"/>
          <w:left w:w="0" w:type="dxa"/>
          <w:bottom w:w="0" w:type="dxa"/>
          <w:right w:w="0" w:type="dxa"/>
        </w:tblCellMar>
        <w:tblLook w:val="01E0"/>
      </w:tblPr>
      <w:tblGrid>
        <w:gridCol w:w="1239"/>
        <w:gridCol w:w="1278"/>
        <w:gridCol w:w="1278"/>
        <w:gridCol w:w="1278"/>
        <w:gridCol w:w="1278"/>
        <w:gridCol w:w="1277"/>
        <w:gridCol w:w="1278"/>
        <w:gridCol w:w="1270"/>
      </w:tblGrid>
      <w:tr>
        <w:trPr>
          <w:trHeight w:val="308" w:hRule="atLeast"/>
        </w:trPr>
        <w:tc>
          <w:tcPr>
            <w:tcW w:w="1239" w:type="dxa"/>
            <w:tcBorders>
              <w:top w:val="nil"/>
              <w:left w:val="nil"/>
              <w:right w:val="nil"/>
            </w:tcBorders>
            <w:shd w:val="clear" w:color="auto" w:fill="808080"/>
          </w:tcPr>
          <w:p>
            <w:pPr>
              <w:pStyle w:val="TableParagraph"/>
              <w:spacing w:before="29"/>
              <w:ind w:left="319"/>
              <w:rPr>
                <w:sz w:val="22"/>
              </w:rPr>
            </w:pPr>
            <w:r>
              <w:rPr>
                <w:color w:val="FFFFFF"/>
                <w:sz w:val="22"/>
              </w:rPr>
              <w:t>Q3 '23</w:t>
            </w:r>
          </w:p>
        </w:tc>
        <w:tc>
          <w:tcPr>
            <w:tcW w:w="1278" w:type="dxa"/>
            <w:tcBorders>
              <w:top w:val="nil"/>
              <w:left w:val="nil"/>
              <w:right w:val="nil"/>
            </w:tcBorders>
            <w:shd w:val="clear" w:color="auto" w:fill="808080"/>
          </w:tcPr>
          <w:p>
            <w:pPr>
              <w:pStyle w:val="TableParagraph"/>
              <w:spacing w:before="29"/>
              <w:ind w:left="358"/>
              <w:rPr>
                <w:sz w:val="22"/>
              </w:rPr>
            </w:pPr>
            <w:r>
              <w:rPr>
                <w:color w:val="FFFFFF"/>
                <w:sz w:val="22"/>
              </w:rPr>
              <w:t>Q4 '23</w:t>
            </w:r>
          </w:p>
        </w:tc>
        <w:tc>
          <w:tcPr>
            <w:tcW w:w="1278" w:type="dxa"/>
            <w:tcBorders>
              <w:top w:val="nil"/>
              <w:left w:val="nil"/>
              <w:right w:val="nil"/>
            </w:tcBorders>
            <w:shd w:val="clear" w:color="auto" w:fill="808080"/>
          </w:tcPr>
          <w:p>
            <w:pPr>
              <w:pStyle w:val="TableParagraph"/>
              <w:spacing w:before="29"/>
              <w:ind w:left="357"/>
              <w:rPr>
                <w:sz w:val="22"/>
              </w:rPr>
            </w:pPr>
            <w:r>
              <w:rPr>
                <w:color w:val="FFFFFF"/>
                <w:sz w:val="22"/>
              </w:rPr>
              <w:t>Q1 '24</w:t>
            </w:r>
          </w:p>
        </w:tc>
        <w:tc>
          <w:tcPr>
            <w:tcW w:w="1278" w:type="dxa"/>
            <w:tcBorders>
              <w:top w:val="nil"/>
              <w:left w:val="nil"/>
              <w:right w:val="nil"/>
            </w:tcBorders>
            <w:shd w:val="clear" w:color="auto" w:fill="808080"/>
          </w:tcPr>
          <w:p>
            <w:pPr>
              <w:pStyle w:val="TableParagraph"/>
              <w:spacing w:before="29"/>
              <w:ind w:left="356"/>
              <w:rPr>
                <w:sz w:val="22"/>
              </w:rPr>
            </w:pPr>
            <w:r>
              <w:rPr>
                <w:color w:val="FFFFFF"/>
                <w:sz w:val="22"/>
              </w:rPr>
              <w:t>Q2 '24</w:t>
            </w:r>
          </w:p>
        </w:tc>
        <w:tc>
          <w:tcPr>
            <w:tcW w:w="1278" w:type="dxa"/>
            <w:tcBorders>
              <w:top w:val="nil"/>
              <w:left w:val="nil"/>
              <w:right w:val="nil"/>
            </w:tcBorders>
            <w:shd w:val="clear" w:color="auto" w:fill="808080"/>
          </w:tcPr>
          <w:p>
            <w:pPr>
              <w:pStyle w:val="TableParagraph"/>
              <w:spacing w:before="29"/>
              <w:ind w:left="356"/>
              <w:rPr>
                <w:sz w:val="22"/>
              </w:rPr>
            </w:pPr>
            <w:r>
              <w:rPr>
                <w:color w:val="FFFFFF"/>
                <w:sz w:val="22"/>
              </w:rPr>
              <w:t>Q3 '24</w:t>
            </w:r>
          </w:p>
        </w:tc>
        <w:tc>
          <w:tcPr>
            <w:tcW w:w="1277" w:type="dxa"/>
            <w:tcBorders>
              <w:top w:val="nil"/>
              <w:left w:val="nil"/>
              <w:right w:val="nil"/>
            </w:tcBorders>
            <w:shd w:val="clear" w:color="auto" w:fill="808080"/>
          </w:tcPr>
          <w:p>
            <w:pPr>
              <w:pStyle w:val="TableParagraph"/>
              <w:spacing w:before="29"/>
              <w:ind w:left="356"/>
              <w:rPr>
                <w:sz w:val="22"/>
              </w:rPr>
            </w:pPr>
            <w:r>
              <w:rPr>
                <w:color w:val="FFFFFF"/>
                <w:sz w:val="22"/>
              </w:rPr>
              <w:t>Q4 '24</w:t>
            </w:r>
          </w:p>
        </w:tc>
        <w:tc>
          <w:tcPr>
            <w:tcW w:w="1278" w:type="dxa"/>
            <w:tcBorders>
              <w:top w:val="nil"/>
              <w:left w:val="nil"/>
              <w:right w:val="nil"/>
            </w:tcBorders>
            <w:shd w:val="clear" w:color="auto" w:fill="808080"/>
          </w:tcPr>
          <w:p>
            <w:pPr>
              <w:pStyle w:val="TableParagraph"/>
              <w:spacing w:before="29"/>
              <w:ind w:left="356"/>
              <w:rPr>
                <w:sz w:val="22"/>
              </w:rPr>
            </w:pPr>
            <w:r>
              <w:rPr>
                <w:color w:val="FFFFFF"/>
                <w:sz w:val="22"/>
              </w:rPr>
              <w:t>Q1 '25</w:t>
            </w:r>
          </w:p>
        </w:tc>
        <w:tc>
          <w:tcPr>
            <w:tcW w:w="1270" w:type="dxa"/>
            <w:tcBorders>
              <w:top w:val="nil"/>
              <w:left w:val="nil"/>
              <w:right w:val="nil"/>
            </w:tcBorders>
            <w:shd w:val="clear" w:color="auto" w:fill="808080"/>
          </w:tcPr>
          <w:p>
            <w:pPr>
              <w:pStyle w:val="TableParagraph"/>
              <w:spacing w:before="29"/>
              <w:ind w:left="356"/>
              <w:rPr>
                <w:sz w:val="22"/>
              </w:rPr>
            </w:pPr>
            <w:r>
              <w:rPr>
                <w:color w:val="FFFFFF"/>
                <w:sz w:val="22"/>
              </w:rPr>
              <w:t>Q2 '25</w:t>
            </w:r>
          </w:p>
        </w:tc>
      </w:tr>
      <w:tr>
        <w:trPr>
          <w:trHeight w:val="816" w:hRule="atLeast"/>
        </w:trPr>
        <w:tc>
          <w:tcPr>
            <w:tcW w:w="1239" w:type="dxa"/>
            <w:tcBorders>
              <w:left w:val="nil"/>
              <w:bottom w:val="single" w:sz="24" w:space="0" w:color="FFFFFF"/>
              <w:right w:val="nil"/>
            </w:tcBorders>
            <w:shd w:val="clear" w:color="auto" w:fill="6CB5B1"/>
          </w:tcPr>
          <w:p>
            <w:pPr>
              <w:pStyle w:val="TableParagraph"/>
              <w:spacing w:before="135"/>
              <w:ind w:left="381"/>
              <w:rPr>
                <w:sz w:val="22"/>
              </w:rPr>
            </w:pPr>
            <w:r>
              <w:rPr>
                <w:color w:val="FFFFFF"/>
                <w:w w:val="115"/>
                <w:sz w:val="22"/>
              </w:rPr>
              <w:t>TIPS</w:t>
            </w:r>
          </w:p>
          <w:p>
            <w:pPr>
              <w:pStyle w:val="TableParagraph"/>
              <w:spacing w:before="41"/>
              <w:ind w:left="334"/>
              <w:rPr>
                <w:sz w:val="22"/>
              </w:rPr>
            </w:pPr>
            <w:r>
              <w:rPr>
                <w:color w:val="FFFFFF"/>
                <w:w w:val="105"/>
                <w:sz w:val="22"/>
              </w:rPr>
              <w:t>- 0.8%</w:t>
            </w:r>
          </w:p>
        </w:tc>
        <w:tc>
          <w:tcPr>
            <w:tcW w:w="1278" w:type="dxa"/>
            <w:tcBorders>
              <w:left w:val="nil"/>
              <w:bottom w:val="single" w:sz="24" w:space="0" w:color="FFFFFF"/>
              <w:right w:val="nil"/>
            </w:tcBorders>
            <w:shd w:val="clear" w:color="auto" w:fill="66799F"/>
          </w:tcPr>
          <w:p>
            <w:pPr>
              <w:pStyle w:val="TableParagraph"/>
              <w:spacing w:line="278" w:lineRule="auto" w:before="135"/>
              <w:ind w:left="358" w:hanging="219"/>
              <w:rPr>
                <w:sz w:val="22"/>
              </w:rPr>
            </w:pPr>
            <w:r>
              <w:rPr>
                <w:color w:val="FFFFFF"/>
                <w:w w:val="115"/>
                <w:sz w:val="22"/>
              </w:rPr>
              <w:t>Small Cap 15.1%</w:t>
            </w:r>
          </w:p>
        </w:tc>
        <w:tc>
          <w:tcPr>
            <w:tcW w:w="1278" w:type="dxa"/>
            <w:tcBorders>
              <w:left w:val="nil"/>
              <w:bottom w:val="single" w:sz="24" w:space="0" w:color="FFFFFF"/>
              <w:right w:val="nil"/>
            </w:tcBorders>
            <w:shd w:val="clear" w:color="auto" w:fill="001F5F"/>
          </w:tcPr>
          <w:p>
            <w:pPr>
              <w:pStyle w:val="TableParagraph"/>
              <w:spacing w:line="278" w:lineRule="auto" w:before="135"/>
              <w:ind w:left="357" w:right="119" w:hanging="218"/>
              <w:rPr>
                <w:sz w:val="22"/>
              </w:rPr>
            </w:pPr>
            <w:r>
              <w:rPr>
                <w:color w:val="FFFFFF"/>
                <w:w w:val="110"/>
                <w:sz w:val="22"/>
              </w:rPr>
              <w:t>Large Cap 10.6%</w:t>
            </w:r>
          </w:p>
        </w:tc>
        <w:tc>
          <w:tcPr>
            <w:tcW w:w="1278" w:type="dxa"/>
            <w:tcBorders>
              <w:left w:val="nil"/>
              <w:bottom w:val="single" w:sz="24" w:space="0" w:color="FFFFFF"/>
              <w:right w:val="nil"/>
            </w:tcBorders>
            <w:shd w:val="clear" w:color="auto" w:fill="8E7EBA"/>
          </w:tcPr>
          <w:p>
            <w:pPr>
              <w:pStyle w:val="TableParagraph"/>
              <w:spacing w:line="278" w:lineRule="auto" w:before="135"/>
              <w:ind w:left="419" w:hanging="249"/>
              <w:rPr>
                <w:sz w:val="22"/>
              </w:rPr>
            </w:pPr>
            <w:r>
              <w:rPr>
                <w:color w:val="FFFFFF"/>
                <w:w w:val="110"/>
                <w:sz w:val="22"/>
              </w:rPr>
              <w:t>Emerging 5.0%</w:t>
            </w:r>
          </w:p>
        </w:tc>
        <w:tc>
          <w:tcPr>
            <w:tcW w:w="1278" w:type="dxa"/>
            <w:tcBorders>
              <w:left w:val="nil"/>
              <w:bottom w:val="single" w:sz="24" w:space="0" w:color="FFFFFF"/>
              <w:right w:val="nil"/>
            </w:tcBorders>
            <w:shd w:val="clear" w:color="auto" w:fill="66799F"/>
          </w:tcPr>
          <w:p>
            <w:pPr>
              <w:pStyle w:val="TableParagraph"/>
              <w:spacing w:line="278" w:lineRule="auto" w:before="135"/>
              <w:ind w:left="356" w:hanging="219"/>
              <w:rPr>
                <w:sz w:val="22"/>
              </w:rPr>
            </w:pPr>
            <w:r>
              <w:rPr>
                <w:color w:val="FFFFFF"/>
                <w:w w:val="115"/>
                <w:sz w:val="22"/>
              </w:rPr>
              <w:t>Small Cap 10.1%</w:t>
            </w:r>
          </w:p>
        </w:tc>
        <w:tc>
          <w:tcPr>
            <w:tcW w:w="1277" w:type="dxa"/>
            <w:tcBorders>
              <w:left w:val="nil"/>
              <w:bottom w:val="single" w:sz="24" w:space="0" w:color="FFFFFF"/>
              <w:right w:val="single" w:sz="24" w:space="0" w:color="FFFFFF"/>
            </w:tcBorders>
            <w:shd w:val="clear" w:color="auto" w:fill="001F5F"/>
          </w:tcPr>
          <w:p>
            <w:pPr>
              <w:pStyle w:val="TableParagraph"/>
              <w:spacing w:line="278" w:lineRule="auto" w:before="135"/>
              <w:ind w:left="418" w:right="90" w:hanging="281"/>
              <w:rPr>
                <w:sz w:val="22"/>
              </w:rPr>
            </w:pPr>
            <w:r>
              <w:rPr>
                <w:color w:val="FFFFFF"/>
                <w:w w:val="110"/>
                <w:sz w:val="22"/>
              </w:rPr>
              <w:t>Large Cap 2.4%</w:t>
            </w:r>
          </w:p>
        </w:tc>
        <w:tc>
          <w:tcPr>
            <w:tcW w:w="1278" w:type="dxa"/>
            <w:tcBorders>
              <w:left w:val="single" w:sz="24" w:space="0" w:color="FFFFFF"/>
              <w:bottom w:val="single" w:sz="24" w:space="0" w:color="FFFFFF"/>
              <w:right w:val="single" w:sz="24" w:space="0" w:color="FFFFFF"/>
            </w:tcBorders>
            <w:shd w:val="clear" w:color="auto" w:fill="432A8D"/>
          </w:tcPr>
          <w:p>
            <w:pPr>
              <w:pStyle w:val="TableParagraph"/>
              <w:spacing w:line="278" w:lineRule="auto" w:before="135"/>
              <w:ind w:left="389" w:hanging="296"/>
              <w:rPr>
                <w:sz w:val="22"/>
              </w:rPr>
            </w:pPr>
            <w:r>
              <w:rPr>
                <w:color w:val="FFFFFF"/>
                <w:w w:val="105"/>
                <w:sz w:val="22"/>
              </w:rPr>
              <w:t>Developed </w:t>
            </w:r>
            <w:r>
              <w:rPr>
                <w:color w:val="FFFFFF"/>
                <w:w w:val="110"/>
                <w:sz w:val="22"/>
              </w:rPr>
              <w:t>6.2%</w:t>
            </w:r>
          </w:p>
        </w:tc>
        <w:tc>
          <w:tcPr>
            <w:tcW w:w="1270" w:type="dxa"/>
            <w:tcBorders>
              <w:left w:val="single" w:sz="24" w:space="0" w:color="FFFFFF"/>
              <w:bottom w:val="single" w:sz="24" w:space="0" w:color="FFFFFF"/>
              <w:right w:val="nil"/>
            </w:tcBorders>
            <w:shd w:val="clear" w:color="auto" w:fill="8E7EBA"/>
          </w:tcPr>
          <w:p>
            <w:pPr>
              <w:pStyle w:val="TableParagraph"/>
              <w:spacing w:line="278" w:lineRule="auto" w:before="135"/>
              <w:ind w:left="326" w:hanging="187"/>
              <w:rPr>
                <w:sz w:val="22"/>
              </w:rPr>
            </w:pPr>
            <w:r>
              <w:rPr>
                <w:color w:val="FFFFFF"/>
                <w:w w:val="110"/>
                <w:sz w:val="22"/>
              </w:rPr>
              <w:t>Emerging 12.0%</w:t>
            </w:r>
          </w:p>
        </w:tc>
      </w:tr>
      <w:tr>
        <w:trPr>
          <w:trHeight w:val="813" w:hRule="atLeast"/>
        </w:trPr>
        <w:tc>
          <w:tcPr>
            <w:tcW w:w="1239" w:type="dxa"/>
            <w:tcBorders>
              <w:top w:val="single" w:sz="24" w:space="0" w:color="FFFFFF"/>
              <w:left w:val="nil"/>
              <w:bottom w:val="single" w:sz="24" w:space="0" w:color="FFFFFF"/>
              <w:right w:val="nil"/>
            </w:tcBorders>
            <w:shd w:val="clear" w:color="auto" w:fill="8E7EBA"/>
          </w:tcPr>
          <w:p>
            <w:pPr>
              <w:pStyle w:val="TableParagraph"/>
              <w:spacing w:before="132"/>
              <w:ind w:left="69" w:right="95"/>
              <w:jc w:val="center"/>
              <w:rPr>
                <w:sz w:val="22"/>
              </w:rPr>
            </w:pPr>
            <w:r>
              <w:rPr>
                <w:color w:val="FFFFFF"/>
                <w:w w:val="115"/>
                <w:sz w:val="22"/>
              </w:rPr>
              <w:t>Emerging</w:t>
            </w:r>
          </w:p>
          <w:p>
            <w:pPr>
              <w:pStyle w:val="TableParagraph"/>
              <w:spacing w:before="41"/>
              <w:ind w:left="79" w:right="82"/>
              <w:jc w:val="center"/>
              <w:rPr>
                <w:sz w:val="22"/>
              </w:rPr>
            </w:pPr>
            <w:r>
              <w:rPr>
                <w:color w:val="FFFFFF"/>
                <w:w w:val="105"/>
                <w:sz w:val="22"/>
              </w:rPr>
              <w:t>- 2.9%</w:t>
            </w:r>
          </w:p>
        </w:tc>
        <w:tc>
          <w:tcPr>
            <w:tcW w:w="1278" w:type="dxa"/>
            <w:tcBorders>
              <w:top w:val="single" w:sz="24" w:space="0" w:color="FFFFFF"/>
              <w:left w:val="nil"/>
              <w:bottom w:val="single" w:sz="24" w:space="0" w:color="FFFFFF"/>
              <w:right w:val="nil"/>
            </w:tcBorders>
            <w:shd w:val="clear" w:color="auto" w:fill="001F5F"/>
          </w:tcPr>
          <w:p>
            <w:pPr>
              <w:pStyle w:val="TableParagraph"/>
              <w:spacing w:line="278" w:lineRule="auto" w:before="132"/>
              <w:ind w:left="358" w:right="119" w:hanging="219"/>
              <w:rPr>
                <w:sz w:val="22"/>
              </w:rPr>
            </w:pPr>
            <w:r>
              <w:rPr>
                <w:color w:val="FFFFFF"/>
                <w:w w:val="110"/>
                <w:sz w:val="22"/>
              </w:rPr>
              <w:t>Large Cap 11.7%</w:t>
            </w:r>
          </w:p>
        </w:tc>
        <w:tc>
          <w:tcPr>
            <w:tcW w:w="1278" w:type="dxa"/>
            <w:tcBorders>
              <w:top w:val="single" w:sz="24" w:space="0" w:color="FFFFFF"/>
              <w:left w:val="nil"/>
              <w:bottom w:val="single" w:sz="24" w:space="0" w:color="FFFFFF"/>
              <w:right w:val="nil"/>
            </w:tcBorders>
            <w:shd w:val="clear" w:color="auto" w:fill="432A8D"/>
          </w:tcPr>
          <w:p>
            <w:pPr>
              <w:pStyle w:val="TableParagraph"/>
              <w:spacing w:line="278" w:lineRule="auto" w:before="132"/>
              <w:ind w:left="419" w:hanging="296"/>
              <w:rPr>
                <w:sz w:val="22"/>
              </w:rPr>
            </w:pPr>
            <w:r>
              <w:rPr>
                <w:color w:val="FFFFFF"/>
                <w:w w:val="105"/>
                <w:sz w:val="22"/>
              </w:rPr>
              <w:t>Developed </w:t>
            </w:r>
            <w:r>
              <w:rPr>
                <w:color w:val="FFFFFF"/>
                <w:w w:val="110"/>
                <w:sz w:val="22"/>
              </w:rPr>
              <w:t>5.6%</w:t>
            </w:r>
          </w:p>
        </w:tc>
        <w:tc>
          <w:tcPr>
            <w:tcW w:w="1278" w:type="dxa"/>
            <w:tcBorders>
              <w:top w:val="single" w:sz="24" w:space="0" w:color="FFFFFF"/>
              <w:left w:val="nil"/>
              <w:bottom w:val="single" w:sz="24" w:space="0" w:color="FFFFFF"/>
              <w:right w:val="nil"/>
            </w:tcBorders>
            <w:shd w:val="clear" w:color="auto" w:fill="001F5F"/>
          </w:tcPr>
          <w:p>
            <w:pPr>
              <w:pStyle w:val="TableParagraph"/>
              <w:spacing w:line="278" w:lineRule="auto" w:before="132"/>
              <w:ind w:left="419" w:right="120" w:hanging="281"/>
              <w:rPr>
                <w:sz w:val="22"/>
              </w:rPr>
            </w:pPr>
            <w:r>
              <w:rPr>
                <w:color w:val="FFFFFF"/>
                <w:w w:val="110"/>
                <w:sz w:val="22"/>
              </w:rPr>
              <w:t>Large Cap 4.3%</w:t>
            </w:r>
          </w:p>
        </w:tc>
        <w:tc>
          <w:tcPr>
            <w:tcW w:w="1278" w:type="dxa"/>
            <w:tcBorders>
              <w:top w:val="single" w:sz="24" w:space="0" w:color="FFFFFF"/>
              <w:left w:val="nil"/>
              <w:bottom w:val="single" w:sz="24" w:space="0" w:color="FFFFFF"/>
              <w:right w:val="nil"/>
            </w:tcBorders>
            <w:shd w:val="clear" w:color="auto" w:fill="8E7EBA"/>
          </w:tcPr>
          <w:p>
            <w:pPr>
              <w:pStyle w:val="TableParagraph"/>
              <w:spacing w:line="278" w:lineRule="auto" w:before="132"/>
              <w:ind w:left="418" w:hanging="250"/>
              <w:rPr>
                <w:sz w:val="22"/>
              </w:rPr>
            </w:pPr>
            <w:r>
              <w:rPr>
                <w:color w:val="FFFFFF"/>
                <w:w w:val="110"/>
                <w:sz w:val="22"/>
              </w:rPr>
              <w:t>Emerging 8.7%</w:t>
            </w:r>
          </w:p>
        </w:tc>
        <w:tc>
          <w:tcPr>
            <w:tcW w:w="1277" w:type="dxa"/>
            <w:tcBorders>
              <w:top w:val="single" w:sz="24" w:space="0" w:color="FFFFFF"/>
              <w:left w:val="nil"/>
              <w:bottom w:val="single" w:sz="24" w:space="0" w:color="FFFFFF"/>
              <w:right w:val="single" w:sz="24" w:space="0" w:color="FFFFFF"/>
            </w:tcBorders>
            <w:shd w:val="clear" w:color="auto" w:fill="66799F"/>
          </w:tcPr>
          <w:p>
            <w:pPr>
              <w:pStyle w:val="TableParagraph"/>
              <w:spacing w:before="132"/>
              <w:ind w:left="105" w:right="68"/>
              <w:jc w:val="center"/>
              <w:rPr>
                <w:sz w:val="22"/>
              </w:rPr>
            </w:pPr>
            <w:r>
              <w:rPr>
                <w:color w:val="FFFFFF"/>
                <w:w w:val="115"/>
                <w:sz w:val="22"/>
              </w:rPr>
              <w:t>Small Cap</w:t>
            </w:r>
          </w:p>
          <w:p>
            <w:pPr>
              <w:pStyle w:val="TableParagraph"/>
              <w:spacing w:before="41"/>
              <w:ind w:left="115" w:right="55"/>
              <w:jc w:val="center"/>
              <w:rPr>
                <w:sz w:val="22"/>
              </w:rPr>
            </w:pPr>
            <w:r>
              <w:rPr>
                <w:color w:val="FFFFFF"/>
                <w:w w:val="105"/>
                <w:sz w:val="22"/>
              </w:rPr>
              <w:t>- 0.6%</w:t>
            </w:r>
          </w:p>
        </w:tc>
        <w:tc>
          <w:tcPr>
            <w:tcW w:w="1278" w:type="dxa"/>
            <w:tcBorders>
              <w:top w:val="single" w:sz="24" w:space="0" w:color="FFFFFF"/>
              <w:left w:val="single" w:sz="24" w:space="0" w:color="FFFFFF"/>
              <w:bottom w:val="single" w:sz="24" w:space="0" w:color="FFFFFF"/>
              <w:right w:val="single" w:sz="24" w:space="0" w:color="FFFFFF"/>
            </w:tcBorders>
            <w:shd w:val="clear" w:color="auto" w:fill="6CB5B1"/>
          </w:tcPr>
          <w:p>
            <w:pPr>
              <w:pStyle w:val="TableParagraph"/>
              <w:spacing w:line="278" w:lineRule="auto" w:before="132"/>
              <w:ind w:left="389" w:right="350" w:hanging="16"/>
              <w:rPr>
                <w:sz w:val="22"/>
              </w:rPr>
            </w:pPr>
            <w:r>
              <w:rPr>
                <w:color w:val="FFFFFF"/>
                <w:w w:val="115"/>
                <w:sz w:val="22"/>
              </w:rPr>
              <w:t>TIPS </w:t>
            </w:r>
            <w:r>
              <w:rPr>
                <w:color w:val="FFFFFF"/>
                <w:w w:val="110"/>
                <w:sz w:val="22"/>
              </w:rPr>
              <w:t>4.2%</w:t>
            </w:r>
          </w:p>
        </w:tc>
        <w:tc>
          <w:tcPr>
            <w:tcW w:w="1270" w:type="dxa"/>
            <w:tcBorders>
              <w:top w:val="single" w:sz="24" w:space="0" w:color="FFFFFF"/>
              <w:left w:val="single" w:sz="24" w:space="0" w:color="FFFFFF"/>
              <w:bottom w:val="single" w:sz="24" w:space="0" w:color="FFFFFF"/>
              <w:right w:val="nil"/>
            </w:tcBorders>
            <w:shd w:val="clear" w:color="auto" w:fill="432A8D"/>
          </w:tcPr>
          <w:p>
            <w:pPr>
              <w:pStyle w:val="TableParagraph"/>
              <w:spacing w:line="278" w:lineRule="auto" w:before="132"/>
              <w:ind w:left="326" w:hanging="234"/>
              <w:rPr>
                <w:sz w:val="22"/>
              </w:rPr>
            </w:pPr>
            <w:r>
              <w:rPr>
                <w:color w:val="FFFFFF"/>
                <w:w w:val="105"/>
                <w:sz w:val="22"/>
              </w:rPr>
              <w:t>Developed </w:t>
            </w:r>
            <w:r>
              <w:rPr>
                <w:color w:val="FFFFFF"/>
                <w:w w:val="110"/>
                <w:sz w:val="22"/>
              </w:rPr>
              <w:t>11.8%</w:t>
            </w:r>
          </w:p>
        </w:tc>
      </w:tr>
      <w:tr>
        <w:trPr>
          <w:trHeight w:val="809" w:hRule="atLeast"/>
        </w:trPr>
        <w:tc>
          <w:tcPr>
            <w:tcW w:w="1239" w:type="dxa"/>
            <w:tcBorders>
              <w:top w:val="single" w:sz="24" w:space="0" w:color="FFFFFF"/>
              <w:left w:val="nil"/>
              <w:right w:val="nil"/>
            </w:tcBorders>
            <w:shd w:val="clear" w:color="auto" w:fill="09847D"/>
          </w:tcPr>
          <w:p>
            <w:pPr>
              <w:pStyle w:val="TableParagraph"/>
              <w:spacing w:before="132"/>
              <w:ind w:left="303"/>
              <w:rPr>
                <w:sz w:val="22"/>
              </w:rPr>
            </w:pPr>
            <w:r>
              <w:rPr>
                <w:color w:val="FFFFFF"/>
                <w:w w:val="115"/>
                <w:sz w:val="22"/>
              </w:rPr>
              <w:t>Bonds</w:t>
            </w:r>
          </w:p>
          <w:p>
            <w:pPr>
              <w:pStyle w:val="TableParagraph"/>
              <w:spacing w:before="41"/>
              <w:ind w:left="334"/>
              <w:rPr>
                <w:sz w:val="22"/>
              </w:rPr>
            </w:pPr>
            <w:r>
              <w:rPr>
                <w:color w:val="FFFFFF"/>
                <w:w w:val="105"/>
                <w:sz w:val="22"/>
              </w:rPr>
              <w:t>-</w:t>
            </w:r>
            <w:r>
              <w:rPr>
                <w:color w:val="FFFFFF"/>
                <w:spacing w:val="-16"/>
                <w:w w:val="105"/>
                <w:sz w:val="22"/>
              </w:rPr>
              <w:t> </w:t>
            </w:r>
            <w:r>
              <w:rPr>
                <w:color w:val="FFFFFF"/>
                <w:w w:val="105"/>
                <w:sz w:val="22"/>
              </w:rPr>
              <w:t>3.2%</w:t>
            </w:r>
          </w:p>
        </w:tc>
        <w:tc>
          <w:tcPr>
            <w:tcW w:w="1278" w:type="dxa"/>
            <w:tcBorders>
              <w:top w:val="single" w:sz="24" w:space="0" w:color="FFFFFF"/>
              <w:left w:val="nil"/>
              <w:right w:val="nil"/>
            </w:tcBorders>
            <w:shd w:val="clear" w:color="auto" w:fill="432A8D"/>
          </w:tcPr>
          <w:p>
            <w:pPr>
              <w:pStyle w:val="TableParagraph"/>
              <w:spacing w:line="278" w:lineRule="auto" w:before="132"/>
              <w:ind w:left="358" w:hanging="234"/>
              <w:rPr>
                <w:sz w:val="22"/>
              </w:rPr>
            </w:pPr>
            <w:r>
              <w:rPr>
                <w:color w:val="FFFFFF"/>
                <w:w w:val="105"/>
                <w:sz w:val="22"/>
              </w:rPr>
              <w:t>Developed </w:t>
            </w:r>
            <w:r>
              <w:rPr>
                <w:color w:val="FFFFFF"/>
                <w:w w:val="110"/>
                <w:sz w:val="22"/>
              </w:rPr>
              <w:t>10.5%</w:t>
            </w:r>
          </w:p>
        </w:tc>
        <w:tc>
          <w:tcPr>
            <w:tcW w:w="1278" w:type="dxa"/>
            <w:tcBorders>
              <w:top w:val="single" w:sz="24" w:space="0" w:color="FFFFFF"/>
              <w:left w:val="nil"/>
              <w:right w:val="nil"/>
            </w:tcBorders>
            <w:shd w:val="clear" w:color="auto" w:fill="66799F"/>
          </w:tcPr>
          <w:p>
            <w:pPr>
              <w:pStyle w:val="TableParagraph"/>
              <w:spacing w:line="278" w:lineRule="auto" w:before="132"/>
              <w:ind w:left="419" w:hanging="281"/>
              <w:rPr>
                <w:sz w:val="22"/>
              </w:rPr>
            </w:pPr>
            <w:r>
              <w:rPr>
                <w:color w:val="FFFFFF"/>
                <w:w w:val="115"/>
                <w:sz w:val="22"/>
              </w:rPr>
              <w:t>Small Cap 2.5%</w:t>
            </w:r>
          </w:p>
        </w:tc>
        <w:tc>
          <w:tcPr>
            <w:tcW w:w="1278" w:type="dxa"/>
            <w:tcBorders>
              <w:top w:val="single" w:sz="24" w:space="0" w:color="FFFFFF"/>
              <w:left w:val="nil"/>
              <w:bottom w:val="nil"/>
              <w:right w:val="nil"/>
            </w:tcBorders>
            <w:shd w:val="clear" w:color="auto" w:fill="6CB5B1"/>
          </w:tcPr>
          <w:p>
            <w:pPr>
              <w:pStyle w:val="TableParagraph"/>
              <w:spacing w:line="278" w:lineRule="auto" w:before="132"/>
              <w:ind w:left="419" w:right="380" w:hanging="16"/>
              <w:rPr>
                <w:sz w:val="22"/>
              </w:rPr>
            </w:pPr>
            <w:r>
              <w:rPr>
                <w:color w:val="FFFFFF"/>
                <w:w w:val="115"/>
                <w:sz w:val="22"/>
              </w:rPr>
              <w:t>TIPS </w:t>
            </w:r>
            <w:r>
              <w:rPr>
                <w:color w:val="FFFFFF"/>
                <w:w w:val="110"/>
                <w:sz w:val="22"/>
              </w:rPr>
              <w:t>0.8%</w:t>
            </w:r>
          </w:p>
        </w:tc>
        <w:tc>
          <w:tcPr>
            <w:tcW w:w="1278" w:type="dxa"/>
            <w:tcBorders>
              <w:top w:val="single" w:sz="24" w:space="0" w:color="FFFFFF"/>
              <w:left w:val="nil"/>
              <w:right w:val="nil"/>
            </w:tcBorders>
            <w:shd w:val="clear" w:color="auto" w:fill="432A8D"/>
          </w:tcPr>
          <w:p>
            <w:pPr>
              <w:pStyle w:val="TableParagraph"/>
              <w:spacing w:line="278" w:lineRule="auto" w:before="132"/>
              <w:ind w:left="418" w:hanging="296"/>
              <w:rPr>
                <w:sz w:val="22"/>
              </w:rPr>
            </w:pPr>
            <w:r>
              <w:rPr>
                <w:color w:val="FFFFFF"/>
                <w:w w:val="105"/>
                <w:sz w:val="22"/>
              </w:rPr>
              <w:t>Developed </w:t>
            </w:r>
            <w:r>
              <w:rPr>
                <w:color w:val="FFFFFF"/>
                <w:w w:val="110"/>
                <w:sz w:val="22"/>
              </w:rPr>
              <w:t>7.8%</w:t>
            </w:r>
          </w:p>
        </w:tc>
        <w:tc>
          <w:tcPr>
            <w:tcW w:w="1277" w:type="dxa"/>
            <w:tcBorders>
              <w:top w:val="single" w:sz="24" w:space="0" w:color="FFFFFF"/>
              <w:left w:val="nil"/>
              <w:bottom w:val="nil"/>
              <w:right w:val="single" w:sz="24" w:space="0" w:color="FFFFFF"/>
            </w:tcBorders>
            <w:shd w:val="clear" w:color="auto" w:fill="6CB5B1"/>
          </w:tcPr>
          <w:p>
            <w:pPr>
              <w:pStyle w:val="TableParagraph"/>
              <w:spacing w:before="132"/>
              <w:ind w:left="418"/>
              <w:rPr>
                <w:sz w:val="22"/>
              </w:rPr>
            </w:pPr>
            <w:r>
              <w:rPr>
                <w:color w:val="FFFFFF"/>
                <w:w w:val="115"/>
                <w:sz w:val="22"/>
              </w:rPr>
              <w:t>TIPS</w:t>
            </w:r>
          </w:p>
          <w:p>
            <w:pPr>
              <w:pStyle w:val="TableParagraph"/>
              <w:spacing w:before="41"/>
              <w:ind w:left="371"/>
              <w:rPr>
                <w:sz w:val="22"/>
              </w:rPr>
            </w:pPr>
            <w:r>
              <w:rPr>
                <w:color w:val="FFFFFF"/>
                <w:w w:val="105"/>
                <w:sz w:val="22"/>
              </w:rPr>
              <w:t>- 2.9%</w:t>
            </w:r>
          </w:p>
        </w:tc>
        <w:tc>
          <w:tcPr>
            <w:tcW w:w="1278" w:type="dxa"/>
            <w:tcBorders>
              <w:top w:val="single" w:sz="24" w:space="0" w:color="FFFFFF"/>
              <w:left w:val="single" w:sz="24" w:space="0" w:color="FFFFFF"/>
              <w:bottom w:val="nil"/>
              <w:right w:val="single" w:sz="24" w:space="0" w:color="FFFFFF"/>
            </w:tcBorders>
            <w:shd w:val="clear" w:color="auto" w:fill="8E7EBA"/>
          </w:tcPr>
          <w:p>
            <w:pPr>
              <w:pStyle w:val="TableParagraph"/>
              <w:spacing w:line="278" w:lineRule="auto" w:before="132"/>
              <w:ind w:left="389" w:hanging="250"/>
              <w:rPr>
                <w:sz w:val="22"/>
              </w:rPr>
            </w:pPr>
            <w:r>
              <w:rPr>
                <w:color w:val="FFFFFF"/>
                <w:w w:val="110"/>
                <w:sz w:val="22"/>
              </w:rPr>
              <w:t>Emerging 2.9%</w:t>
            </w:r>
          </w:p>
        </w:tc>
        <w:tc>
          <w:tcPr>
            <w:tcW w:w="1270" w:type="dxa"/>
            <w:tcBorders>
              <w:top w:val="single" w:sz="24" w:space="0" w:color="FFFFFF"/>
              <w:left w:val="single" w:sz="24" w:space="0" w:color="FFFFFF"/>
              <w:bottom w:val="nil"/>
              <w:right w:val="nil"/>
            </w:tcBorders>
            <w:shd w:val="clear" w:color="auto" w:fill="001F5F"/>
          </w:tcPr>
          <w:p>
            <w:pPr>
              <w:pStyle w:val="TableParagraph"/>
              <w:spacing w:line="278" w:lineRule="auto" w:before="132"/>
              <w:ind w:left="326" w:right="112" w:hanging="218"/>
              <w:rPr>
                <w:sz w:val="22"/>
              </w:rPr>
            </w:pPr>
            <w:r>
              <w:rPr>
                <w:color w:val="FFFFFF"/>
                <w:w w:val="110"/>
                <w:sz w:val="22"/>
              </w:rPr>
              <w:t>Large Cap 10.9%</w:t>
            </w:r>
          </w:p>
        </w:tc>
      </w:tr>
      <w:tr>
        <w:trPr>
          <w:trHeight w:val="793" w:hRule="atLeast"/>
        </w:trPr>
        <w:tc>
          <w:tcPr>
            <w:tcW w:w="1239" w:type="dxa"/>
            <w:tcBorders>
              <w:left w:val="nil"/>
              <w:bottom w:val="single" w:sz="24" w:space="0" w:color="FFFFFF"/>
              <w:right w:val="single" w:sz="24" w:space="0" w:color="FFFFFF"/>
            </w:tcBorders>
            <w:shd w:val="clear" w:color="auto" w:fill="001F5F"/>
          </w:tcPr>
          <w:p>
            <w:pPr>
              <w:pStyle w:val="TableParagraph"/>
              <w:spacing w:before="112"/>
              <w:ind w:left="84" w:right="84"/>
              <w:jc w:val="center"/>
              <w:rPr>
                <w:sz w:val="22"/>
              </w:rPr>
            </w:pPr>
            <w:r>
              <w:rPr>
                <w:color w:val="FFFFFF"/>
                <w:w w:val="110"/>
                <w:sz w:val="22"/>
              </w:rPr>
              <w:t>Large Cap</w:t>
            </w:r>
          </w:p>
          <w:p>
            <w:pPr>
              <w:pStyle w:val="TableParagraph"/>
              <w:spacing w:before="41"/>
              <w:ind w:left="84" w:right="60"/>
              <w:jc w:val="center"/>
              <w:rPr>
                <w:sz w:val="22"/>
              </w:rPr>
            </w:pPr>
            <w:r>
              <w:rPr>
                <w:color w:val="FFFFFF"/>
                <w:w w:val="105"/>
                <w:sz w:val="22"/>
              </w:rPr>
              <w:t>- 3.3%</w:t>
            </w:r>
          </w:p>
        </w:tc>
        <w:tc>
          <w:tcPr>
            <w:tcW w:w="1278" w:type="dxa"/>
            <w:tcBorders>
              <w:left w:val="single" w:sz="24" w:space="0" w:color="FFFFFF"/>
              <w:bottom w:val="single" w:sz="24" w:space="0" w:color="FFFFFF"/>
              <w:right w:val="single" w:sz="24" w:space="0" w:color="FFFFFF"/>
            </w:tcBorders>
            <w:shd w:val="clear" w:color="auto" w:fill="8E7EBA"/>
          </w:tcPr>
          <w:p>
            <w:pPr>
              <w:pStyle w:val="TableParagraph"/>
              <w:spacing w:line="278" w:lineRule="auto" w:before="112"/>
              <w:ind w:left="390" w:hanging="250"/>
              <w:rPr>
                <w:sz w:val="22"/>
              </w:rPr>
            </w:pPr>
            <w:r>
              <w:rPr>
                <w:color w:val="FFFFFF"/>
                <w:w w:val="110"/>
                <w:sz w:val="22"/>
              </w:rPr>
              <w:t>Emerging 7.9%</w:t>
            </w:r>
          </w:p>
        </w:tc>
        <w:tc>
          <w:tcPr>
            <w:tcW w:w="1278" w:type="dxa"/>
            <w:tcBorders>
              <w:left w:val="single" w:sz="24" w:space="0" w:color="FFFFFF"/>
              <w:bottom w:val="single" w:sz="24" w:space="0" w:color="FFFFFF"/>
              <w:right w:val="single" w:sz="24" w:space="0" w:color="FFFFFF"/>
            </w:tcBorders>
            <w:shd w:val="clear" w:color="auto" w:fill="8E7EBA"/>
          </w:tcPr>
          <w:p>
            <w:pPr>
              <w:pStyle w:val="TableParagraph"/>
              <w:spacing w:line="278" w:lineRule="auto" w:before="112"/>
              <w:ind w:left="389" w:hanging="250"/>
              <w:rPr>
                <w:sz w:val="22"/>
              </w:rPr>
            </w:pPr>
            <w:r>
              <w:rPr>
                <w:color w:val="FFFFFF"/>
                <w:w w:val="110"/>
                <w:sz w:val="22"/>
              </w:rPr>
              <w:t>Emerging 2.4%</w:t>
            </w:r>
          </w:p>
        </w:tc>
        <w:tc>
          <w:tcPr>
            <w:tcW w:w="1278" w:type="dxa"/>
            <w:tcBorders>
              <w:top w:val="nil"/>
              <w:left w:val="single" w:sz="24" w:space="0" w:color="FFFFFF"/>
              <w:bottom w:val="single" w:sz="24" w:space="0" w:color="FFFFFF"/>
              <w:right w:val="single" w:sz="24" w:space="0" w:color="FFFFFF"/>
            </w:tcBorders>
            <w:shd w:val="clear" w:color="auto" w:fill="09847D"/>
          </w:tcPr>
          <w:p>
            <w:pPr>
              <w:pStyle w:val="TableParagraph"/>
              <w:spacing w:line="278" w:lineRule="auto" w:before="112"/>
              <w:ind w:left="389" w:hanging="78"/>
              <w:rPr>
                <w:sz w:val="22"/>
              </w:rPr>
            </w:pPr>
            <w:r>
              <w:rPr>
                <w:color w:val="FFFFFF"/>
                <w:w w:val="110"/>
                <w:sz w:val="22"/>
              </w:rPr>
              <w:t>Bonds </w:t>
            </w:r>
            <w:r>
              <w:rPr>
                <w:color w:val="FFFFFF"/>
                <w:w w:val="115"/>
                <w:sz w:val="22"/>
              </w:rPr>
              <w:t>0.1%</w:t>
            </w:r>
          </w:p>
        </w:tc>
        <w:tc>
          <w:tcPr>
            <w:tcW w:w="1278" w:type="dxa"/>
            <w:tcBorders>
              <w:left w:val="single" w:sz="24" w:space="0" w:color="FFFFFF"/>
              <w:bottom w:val="single" w:sz="24" w:space="0" w:color="FFFFFF"/>
              <w:right w:val="single" w:sz="24" w:space="0" w:color="FFFFFF"/>
            </w:tcBorders>
            <w:shd w:val="clear" w:color="auto" w:fill="001F5F"/>
          </w:tcPr>
          <w:p>
            <w:pPr>
              <w:pStyle w:val="TableParagraph"/>
              <w:spacing w:line="278" w:lineRule="auto" w:before="112"/>
              <w:ind w:left="388" w:right="91" w:hanging="281"/>
              <w:rPr>
                <w:sz w:val="22"/>
              </w:rPr>
            </w:pPr>
            <w:r>
              <w:rPr>
                <w:color w:val="FFFFFF"/>
                <w:w w:val="110"/>
                <w:sz w:val="22"/>
              </w:rPr>
              <w:t>Large Cap 5.9%</w:t>
            </w:r>
          </w:p>
        </w:tc>
        <w:tc>
          <w:tcPr>
            <w:tcW w:w="1277" w:type="dxa"/>
            <w:tcBorders>
              <w:top w:val="nil"/>
              <w:left w:val="single" w:sz="24" w:space="0" w:color="FFFFFF"/>
              <w:bottom w:val="single" w:sz="24" w:space="0" w:color="FFFFFF"/>
              <w:right w:val="single" w:sz="24" w:space="0" w:color="FFFFFF"/>
            </w:tcBorders>
            <w:shd w:val="clear" w:color="auto" w:fill="09847D"/>
          </w:tcPr>
          <w:p>
            <w:pPr>
              <w:pStyle w:val="TableParagraph"/>
              <w:spacing w:before="112"/>
              <w:ind w:left="310"/>
              <w:rPr>
                <w:sz w:val="22"/>
              </w:rPr>
            </w:pPr>
            <w:r>
              <w:rPr>
                <w:color w:val="FFFFFF"/>
                <w:w w:val="115"/>
                <w:sz w:val="22"/>
              </w:rPr>
              <w:t>Bonds</w:t>
            </w:r>
          </w:p>
          <w:p>
            <w:pPr>
              <w:pStyle w:val="TableParagraph"/>
              <w:spacing w:before="41"/>
              <w:ind w:left="341"/>
              <w:rPr>
                <w:sz w:val="22"/>
              </w:rPr>
            </w:pPr>
            <w:r>
              <w:rPr>
                <w:color w:val="FFFFFF"/>
                <w:w w:val="105"/>
                <w:sz w:val="22"/>
              </w:rPr>
              <w:t>-</w:t>
            </w:r>
            <w:r>
              <w:rPr>
                <w:color w:val="FFFFFF"/>
                <w:spacing w:val="-16"/>
                <w:w w:val="105"/>
                <w:sz w:val="22"/>
              </w:rPr>
              <w:t> </w:t>
            </w:r>
            <w:r>
              <w:rPr>
                <w:color w:val="FFFFFF"/>
                <w:w w:val="105"/>
                <w:sz w:val="22"/>
              </w:rPr>
              <w:t>3.1%</w:t>
            </w:r>
          </w:p>
        </w:tc>
        <w:tc>
          <w:tcPr>
            <w:tcW w:w="1278" w:type="dxa"/>
            <w:tcBorders>
              <w:top w:val="nil"/>
              <w:left w:val="single" w:sz="24" w:space="0" w:color="FFFFFF"/>
              <w:bottom w:val="single" w:sz="24" w:space="0" w:color="FFFFFF"/>
              <w:right w:val="single" w:sz="24" w:space="0" w:color="FFFFFF"/>
            </w:tcBorders>
            <w:shd w:val="clear" w:color="auto" w:fill="09847D"/>
          </w:tcPr>
          <w:p>
            <w:pPr>
              <w:pStyle w:val="TableParagraph"/>
              <w:spacing w:line="278" w:lineRule="auto" w:before="112"/>
              <w:ind w:left="389" w:hanging="79"/>
              <w:rPr>
                <w:sz w:val="22"/>
              </w:rPr>
            </w:pPr>
            <w:r>
              <w:rPr>
                <w:color w:val="FFFFFF"/>
                <w:w w:val="110"/>
                <w:sz w:val="22"/>
              </w:rPr>
              <w:t>Bonds </w:t>
            </w:r>
            <w:r>
              <w:rPr>
                <w:color w:val="FFFFFF"/>
                <w:w w:val="115"/>
                <w:sz w:val="22"/>
              </w:rPr>
              <w:t>2.8%</w:t>
            </w:r>
          </w:p>
        </w:tc>
        <w:tc>
          <w:tcPr>
            <w:tcW w:w="1270" w:type="dxa"/>
            <w:tcBorders>
              <w:top w:val="nil"/>
              <w:left w:val="single" w:sz="24" w:space="0" w:color="FFFFFF"/>
              <w:bottom w:val="single" w:sz="24" w:space="0" w:color="FFFFFF"/>
              <w:right w:val="nil"/>
            </w:tcBorders>
            <w:shd w:val="clear" w:color="auto" w:fill="66799F"/>
          </w:tcPr>
          <w:p>
            <w:pPr>
              <w:pStyle w:val="TableParagraph"/>
              <w:spacing w:line="278" w:lineRule="auto" w:before="112"/>
              <w:ind w:left="388" w:hanging="281"/>
              <w:rPr>
                <w:sz w:val="22"/>
              </w:rPr>
            </w:pPr>
            <w:r>
              <w:rPr>
                <w:color w:val="FFFFFF"/>
                <w:w w:val="115"/>
                <w:sz w:val="22"/>
              </w:rPr>
              <w:t>Small Cap 4.9%</w:t>
            </w:r>
          </w:p>
        </w:tc>
      </w:tr>
      <w:tr>
        <w:trPr>
          <w:trHeight w:val="813" w:hRule="atLeast"/>
        </w:trPr>
        <w:tc>
          <w:tcPr>
            <w:tcW w:w="1239" w:type="dxa"/>
            <w:tcBorders>
              <w:top w:val="single" w:sz="24" w:space="0" w:color="FFFFFF"/>
              <w:left w:val="nil"/>
              <w:bottom w:val="single" w:sz="24" w:space="0" w:color="FFFFFF"/>
              <w:right w:val="nil"/>
            </w:tcBorders>
            <w:shd w:val="clear" w:color="auto" w:fill="432A8D"/>
          </w:tcPr>
          <w:p>
            <w:pPr>
              <w:pStyle w:val="TableParagraph"/>
              <w:spacing w:before="132"/>
              <w:ind w:left="79" w:right="89"/>
              <w:jc w:val="center"/>
              <w:rPr>
                <w:sz w:val="22"/>
              </w:rPr>
            </w:pPr>
            <w:r>
              <w:rPr>
                <w:color w:val="FFFFFF"/>
                <w:w w:val="105"/>
                <w:sz w:val="22"/>
              </w:rPr>
              <w:t>Developed</w:t>
            </w:r>
          </w:p>
          <w:p>
            <w:pPr>
              <w:pStyle w:val="TableParagraph"/>
              <w:spacing w:before="41"/>
              <w:ind w:left="79" w:right="82"/>
              <w:jc w:val="center"/>
              <w:rPr>
                <w:sz w:val="22"/>
              </w:rPr>
            </w:pPr>
            <w:r>
              <w:rPr>
                <w:color w:val="FFFFFF"/>
                <w:w w:val="105"/>
                <w:sz w:val="22"/>
              </w:rPr>
              <w:t>- 4.1%</w:t>
            </w:r>
          </w:p>
        </w:tc>
        <w:tc>
          <w:tcPr>
            <w:tcW w:w="1278" w:type="dxa"/>
            <w:tcBorders>
              <w:top w:val="single" w:sz="24" w:space="0" w:color="FFFFFF"/>
              <w:left w:val="nil"/>
              <w:bottom w:val="single" w:sz="24" w:space="0" w:color="FFFFFF"/>
              <w:right w:val="nil"/>
            </w:tcBorders>
            <w:shd w:val="clear" w:color="auto" w:fill="09847D"/>
          </w:tcPr>
          <w:p>
            <w:pPr>
              <w:pStyle w:val="TableParagraph"/>
              <w:spacing w:line="278" w:lineRule="auto" w:before="132"/>
              <w:ind w:left="420" w:hanging="78"/>
              <w:rPr>
                <w:sz w:val="22"/>
              </w:rPr>
            </w:pPr>
            <w:r>
              <w:rPr>
                <w:color w:val="FFFFFF"/>
                <w:w w:val="110"/>
                <w:sz w:val="22"/>
              </w:rPr>
              <w:t>Bonds </w:t>
            </w:r>
            <w:r>
              <w:rPr>
                <w:color w:val="FFFFFF"/>
                <w:w w:val="115"/>
                <w:sz w:val="22"/>
              </w:rPr>
              <w:t>6.8%</w:t>
            </w:r>
          </w:p>
        </w:tc>
        <w:tc>
          <w:tcPr>
            <w:tcW w:w="1278" w:type="dxa"/>
            <w:tcBorders>
              <w:top w:val="single" w:sz="24" w:space="0" w:color="FFFFFF"/>
              <w:left w:val="nil"/>
              <w:bottom w:val="single" w:sz="24" w:space="0" w:color="FFFFFF"/>
              <w:right w:val="nil"/>
            </w:tcBorders>
            <w:shd w:val="clear" w:color="auto" w:fill="09847D"/>
          </w:tcPr>
          <w:p>
            <w:pPr>
              <w:pStyle w:val="TableParagraph"/>
              <w:spacing w:before="132"/>
              <w:ind w:left="341"/>
              <w:rPr>
                <w:sz w:val="22"/>
              </w:rPr>
            </w:pPr>
            <w:r>
              <w:rPr>
                <w:color w:val="FFFFFF"/>
                <w:w w:val="115"/>
                <w:sz w:val="22"/>
              </w:rPr>
              <w:t>Bonds</w:t>
            </w:r>
          </w:p>
          <w:p>
            <w:pPr>
              <w:pStyle w:val="TableParagraph"/>
              <w:spacing w:before="41"/>
              <w:ind w:left="373"/>
              <w:rPr>
                <w:sz w:val="22"/>
              </w:rPr>
            </w:pPr>
            <w:r>
              <w:rPr>
                <w:color w:val="FFFFFF"/>
                <w:w w:val="105"/>
                <w:sz w:val="22"/>
              </w:rPr>
              <w:t>-</w:t>
            </w:r>
            <w:r>
              <w:rPr>
                <w:color w:val="FFFFFF"/>
                <w:spacing w:val="-16"/>
                <w:w w:val="105"/>
                <w:sz w:val="22"/>
              </w:rPr>
              <w:t> </w:t>
            </w:r>
            <w:r>
              <w:rPr>
                <w:color w:val="FFFFFF"/>
                <w:w w:val="105"/>
                <w:sz w:val="22"/>
              </w:rPr>
              <w:t>0.8%</w:t>
            </w:r>
          </w:p>
        </w:tc>
        <w:tc>
          <w:tcPr>
            <w:tcW w:w="1278" w:type="dxa"/>
            <w:tcBorders>
              <w:top w:val="single" w:sz="24" w:space="0" w:color="FFFFFF"/>
              <w:left w:val="nil"/>
              <w:bottom w:val="single" w:sz="24" w:space="0" w:color="FFFFFF"/>
              <w:right w:val="nil"/>
            </w:tcBorders>
            <w:shd w:val="clear" w:color="auto" w:fill="432A8D"/>
          </w:tcPr>
          <w:p>
            <w:pPr>
              <w:pStyle w:val="TableParagraph"/>
              <w:spacing w:before="132"/>
              <w:ind w:left="116" w:right="92"/>
              <w:jc w:val="center"/>
              <w:rPr>
                <w:sz w:val="22"/>
              </w:rPr>
            </w:pPr>
            <w:r>
              <w:rPr>
                <w:color w:val="FFFFFF"/>
                <w:w w:val="105"/>
                <w:sz w:val="22"/>
              </w:rPr>
              <w:t>Developed</w:t>
            </w:r>
          </w:p>
          <w:p>
            <w:pPr>
              <w:pStyle w:val="TableParagraph"/>
              <w:spacing w:before="41"/>
              <w:ind w:left="116" w:right="86"/>
              <w:jc w:val="center"/>
              <w:rPr>
                <w:sz w:val="22"/>
              </w:rPr>
            </w:pPr>
            <w:r>
              <w:rPr>
                <w:color w:val="FFFFFF"/>
                <w:w w:val="105"/>
                <w:sz w:val="22"/>
              </w:rPr>
              <w:t>- 0.6%</w:t>
            </w:r>
          </w:p>
        </w:tc>
        <w:tc>
          <w:tcPr>
            <w:tcW w:w="1278" w:type="dxa"/>
            <w:tcBorders>
              <w:top w:val="single" w:sz="24" w:space="0" w:color="FFFFFF"/>
              <w:left w:val="nil"/>
              <w:bottom w:val="single" w:sz="24" w:space="0" w:color="FFFFFF"/>
              <w:right w:val="nil"/>
            </w:tcBorders>
            <w:shd w:val="clear" w:color="auto" w:fill="09847D"/>
          </w:tcPr>
          <w:p>
            <w:pPr>
              <w:pStyle w:val="TableParagraph"/>
              <w:spacing w:line="278" w:lineRule="auto" w:before="132"/>
              <w:ind w:left="418" w:hanging="78"/>
              <w:rPr>
                <w:sz w:val="22"/>
              </w:rPr>
            </w:pPr>
            <w:r>
              <w:rPr>
                <w:color w:val="FFFFFF"/>
                <w:w w:val="110"/>
                <w:sz w:val="22"/>
              </w:rPr>
              <w:t>Bonds </w:t>
            </w:r>
            <w:r>
              <w:rPr>
                <w:color w:val="FFFFFF"/>
                <w:w w:val="115"/>
                <w:sz w:val="22"/>
              </w:rPr>
              <w:t>5.2%</w:t>
            </w:r>
          </w:p>
        </w:tc>
        <w:tc>
          <w:tcPr>
            <w:tcW w:w="1277" w:type="dxa"/>
            <w:tcBorders>
              <w:top w:val="single" w:sz="24" w:space="0" w:color="FFFFFF"/>
              <w:left w:val="nil"/>
              <w:bottom w:val="single" w:sz="24" w:space="0" w:color="FFFFFF"/>
              <w:right w:val="single" w:sz="24" w:space="0" w:color="FFFFFF"/>
            </w:tcBorders>
            <w:shd w:val="clear" w:color="auto" w:fill="432A8D"/>
          </w:tcPr>
          <w:p>
            <w:pPr>
              <w:pStyle w:val="TableParagraph"/>
              <w:spacing w:before="132"/>
              <w:ind w:left="115" w:right="62"/>
              <w:jc w:val="center"/>
              <w:rPr>
                <w:sz w:val="22"/>
              </w:rPr>
            </w:pPr>
            <w:r>
              <w:rPr>
                <w:color w:val="FFFFFF"/>
                <w:w w:val="105"/>
                <w:sz w:val="22"/>
              </w:rPr>
              <w:t>Developed</w:t>
            </w:r>
          </w:p>
          <w:p>
            <w:pPr>
              <w:pStyle w:val="TableParagraph"/>
              <w:spacing w:before="41"/>
              <w:ind w:left="115" w:right="55"/>
              <w:jc w:val="center"/>
              <w:rPr>
                <w:sz w:val="22"/>
              </w:rPr>
            </w:pPr>
            <w:r>
              <w:rPr>
                <w:color w:val="FFFFFF"/>
                <w:w w:val="105"/>
                <w:sz w:val="22"/>
              </w:rPr>
              <w:t>- 7.4%</w:t>
            </w:r>
          </w:p>
        </w:tc>
        <w:tc>
          <w:tcPr>
            <w:tcW w:w="1278" w:type="dxa"/>
            <w:tcBorders>
              <w:top w:val="single" w:sz="24" w:space="0" w:color="FFFFFF"/>
              <w:left w:val="single" w:sz="24" w:space="0" w:color="FFFFFF"/>
              <w:bottom w:val="single" w:sz="24" w:space="0" w:color="FFFFFF"/>
              <w:right w:val="single" w:sz="24" w:space="0" w:color="FFFFFF"/>
            </w:tcBorders>
            <w:shd w:val="clear" w:color="auto" w:fill="001F5F"/>
          </w:tcPr>
          <w:p>
            <w:pPr>
              <w:pStyle w:val="TableParagraph"/>
              <w:spacing w:before="132"/>
              <w:ind w:left="85" w:right="78"/>
              <w:jc w:val="center"/>
              <w:rPr>
                <w:sz w:val="22"/>
              </w:rPr>
            </w:pPr>
            <w:r>
              <w:rPr>
                <w:color w:val="FFFFFF"/>
                <w:w w:val="110"/>
                <w:sz w:val="22"/>
              </w:rPr>
              <w:t>Large Cap</w:t>
            </w:r>
          </w:p>
          <w:p>
            <w:pPr>
              <w:pStyle w:val="TableParagraph"/>
              <w:spacing w:before="41"/>
              <w:ind w:left="85" w:right="56"/>
              <w:jc w:val="center"/>
              <w:rPr>
                <w:sz w:val="22"/>
              </w:rPr>
            </w:pPr>
            <w:r>
              <w:rPr>
                <w:color w:val="FFFFFF"/>
                <w:w w:val="105"/>
                <w:sz w:val="22"/>
              </w:rPr>
              <w:t>- 4.3%</w:t>
            </w:r>
          </w:p>
        </w:tc>
        <w:tc>
          <w:tcPr>
            <w:tcW w:w="1270" w:type="dxa"/>
            <w:tcBorders>
              <w:top w:val="single" w:sz="24" w:space="0" w:color="FFFFFF"/>
              <w:left w:val="single" w:sz="24" w:space="0" w:color="FFFFFF"/>
              <w:bottom w:val="single" w:sz="24" w:space="0" w:color="FFFFFF"/>
              <w:right w:val="nil"/>
            </w:tcBorders>
            <w:shd w:val="clear" w:color="auto" w:fill="09847D"/>
          </w:tcPr>
          <w:p>
            <w:pPr>
              <w:pStyle w:val="TableParagraph"/>
              <w:spacing w:line="278" w:lineRule="auto" w:before="132"/>
              <w:ind w:left="388" w:hanging="78"/>
              <w:rPr>
                <w:sz w:val="22"/>
              </w:rPr>
            </w:pPr>
            <w:r>
              <w:rPr>
                <w:color w:val="FFFFFF"/>
                <w:w w:val="110"/>
                <w:sz w:val="22"/>
              </w:rPr>
              <w:t>Bonds </w:t>
            </w:r>
            <w:r>
              <w:rPr>
                <w:color w:val="FFFFFF"/>
                <w:w w:val="115"/>
                <w:sz w:val="22"/>
              </w:rPr>
              <w:t>1.2%</w:t>
            </w:r>
          </w:p>
        </w:tc>
      </w:tr>
      <w:tr>
        <w:trPr>
          <w:trHeight w:val="818" w:hRule="atLeast"/>
        </w:trPr>
        <w:tc>
          <w:tcPr>
            <w:tcW w:w="1239" w:type="dxa"/>
            <w:tcBorders>
              <w:top w:val="single" w:sz="24" w:space="0" w:color="FFFFFF"/>
              <w:left w:val="nil"/>
              <w:bottom w:val="single" w:sz="8" w:space="0" w:color="FFFFFF"/>
              <w:right w:val="nil"/>
            </w:tcBorders>
            <w:shd w:val="clear" w:color="auto" w:fill="66799F"/>
          </w:tcPr>
          <w:p>
            <w:pPr>
              <w:pStyle w:val="TableParagraph"/>
              <w:spacing w:before="132"/>
              <w:ind w:left="69" w:right="95"/>
              <w:jc w:val="center"/>
              <w:rPr>
                <w:sz w:val="22"/>
              </w:rPr>
            </w:pPr>
            <w:r>
              <w:rPr>
                <w:color w:val="FFFFFF"/>
                <w:w w:val="115"/>
                <w:sz w:val="22"/>
              </w:rPr>
              <w:t>Small Cap</w:t>
            </w:r>
          </w:p>
          <w:p>
            <w:pPr>
              <w:pStyle w:val="TableParagraph"/>
              <w:spacing w:before="41"/>
              <w:ind w:left="79" w:right="82"/>
              <w:jc w:val="center"/>
              <w:rPr>
                <w:sz w:val="22"/>
              </w:rPr>
            </w:pPr>
            <w:r>
              <w:rPr>
                <w:color w:val="FFFFFF"/>
                <w:w w:val="105"/>
                <w:sz w:val="22"/>
              </w:rPr>
              <w:t>- 4.9%</w:t>
            </w:r>
          </w:p>
        </w:tc>
        <w:tc>
          <w:tcPr>
            <w:tcW w:w="1278" w:type="dxa"/>
            <w:tcBorders>
              <w:top w:val="single" w:sz="24" w:space="0" w:color="FFFFFF"/>
              <w:left w:val="nil"/>
              <w:bottom w:val="single" w:sz="8" w:space="0" w:color="FFFFFF"/>
              <w:right w:val="nil"/>
            </w:tcBorders>
            <w:shd w:val="clear" w:color="auto" w:fill="6CB5B1"/>
          </w:tcPr>
          <w:p>
            <w:pPr>
              <w:pStyle w:val="TableParagraph"/>
              <w:spacing w:line="278" w:lineRule="auto" w:before="132"/>
              <w:ind w:left="420" w:right="379" w:hanging="16"/>
              <w:rPr>
                <w:sz w:val="22"/>
              </w:rPr>
            </w:pPr>
            <w:r>
              <w:rPr>
                <w:color w:val="FFFFFF"/>
                <w:w w:val="115"/>
                <w:sz w:val="22"/>
              </w:rPr>
              <w:t>TIPS </w:t>
            </w:r>
            <w:r>
              <w:rPr>
                <w:color w:val="FFFFFF"/>
                <w:w w:val="110"/>
                <w:sz w:val="22"/>
              </w:rPr>
              <w:t>4.7%</w:t>
            </w:r>
          </w:p>
        </w:tc>
        <w:tc>
          <w:tcPr>
            <w:tcW w:w="1278" w:type="dxa"/>
            <w:tcBorders>
              <w:top w:val="single" w:sz="24" w:space="0" w:color="FFFFFF"/>
              <w:left w:val="nil"/>
              <w:bottom w:val="single" w:sz="8" w:space="0" w:color="FFFFFF"/>
              <w:right w:val="nil"/>
            </w:tcBorders>
            <w:shd w:val="clear" w:color="auto" w:fill="6CB5B1"/>
          </w:tcPr>
          <w:p>
            <w:pPr>
              <w:pStyle w:val="TableParagraph"/>
              <w:spacing w:before="132"/>
              <w:ind w:left="419"/>
              <w:rPr>
                <w:sz w:val="22"/>
              </w:rPr>
            </w:pPr>
            <w:r>
              <w:rPr>
                <w:color w:val="FFFFFF"/>
                <w:w w:val="115"/>
                <w:sz w:val="22"/>
              </w:rPr>
              <w:t>TIPS</w:t>
            </w:r>
          </w:p>
          <w:p>
            <w:pPr>
              <w:pStyle w:val="TableParagraph"/>
              <w:spacing w:before="41"/>
              <w:ind w:left="373"/>
              <w:rPr>
                <w:sz w:val="22"/>
              </w:rPr>
            </w:pPr>
            <w:r>
              <w:rPr>
                <w:color w:val="FFFFFF"/>
                <w:w w:val="105"/>
                <w:sz w:val="22"/>
              </w:rPr>
              <w:t>- 0.1%</w:t>
            </w:r>
          </w:p>
        </w:tc>
        <w:tc>
          <w:tcPr>
            <w:tcW w:w="1278" w:type="dxa"/>
            <w:tcBorders>
              <w:top w:val="single" w:sz="24" w:space="0" w:color="FFFFFF"/>
              <w:left w:val="nil"/>
              <w:bottom w:val="single" w:sz="8" w:space="0" w:color="FFFFFF"/>
              <w:right w:val="nil"/>
            </w:tcBorders>
            <w:shd w:val="clear" w:color="auto" w:fill="66799F"/>
          </w:tcPr>
          <w:p>
            <w:pPr>
              <w:pStyle w:val="TableParagraph"/>
              <w:spacing w:before="132"/>
              <w:ind w:left="106" w:right="98"/>
              <w:jc w:val="center"/>
              <w:rPr>
                <w:sz w:val="22"/>
              </w:rPr>
            </w:pPr>
            <w:r>
              <w:rPr>
                <w:color w:val="FFFFFF"/>
                <w:w w:val="115"/>
                <w:sz w:val="22"/>
              </w:rPr>
              <w:t>Small Cap</w:t>
            </w:r>
          </w:p>
          <w:p>
            <w:pPr>
              <w:pStyle w:val="TableParagraph"/>
              <w:spacing w:before="41"/>
              <w:ind w:left="116" w:right="86"/>
              <w:jc w:val="center"/>
              <w:rPr>
                <w:sz w:val="22"/>
              </w:rPr>
            </w:pPr>
            <w:r>
              <w:rPr>
                <w:color w:val="FFFFFF"/>
                <w:w w:val="105"/>
                <w:sz w:val="22"/>
              </w:rPr>
              <w:t>- 3.1%</w:t>
            </w:r>
          </w:p>
        </w:tc>
        <w:tc>
          <w:tcPr>
            <w:tcW w:w="1278" w:type="dxa"/>
            <w:tcBorders>
              <w:top w:val="single" w:sz="24" w:space="0" w:color="FFFFFF"/>
              <w:left w:val="nil"/>
              <w:bottom w:val="single" w:sz="8" w:space="0" w:color="FFFFFF"/>
              <w:right w:val="nil"/>
            </w:tcBorders>
            <w:shd w:val="clear" w:color="auto" w:fill="6CB5B1"/>
          </w:tcPr>
          <w:p>
            <w:pPr>
              <w:pStyle w:val="TableParagraph"/>
              <w:spacing w:line="278" w:lineRule="auto" w:before="132"/>
              <w:ind w:left="418" w:right="381" w:hanging="16"/>
              <w:rPr>
                <w:sz w:val="22"/>
              </w:rPr>
            </w:pPr>
            <w:r>
              <w:rPr>
                <w:color w:val="FFFFFF"/>
                <w:w w:val="115"/>
                <w:sz w:val="22"/>
              </w:rPr>
              <w:t>TIPS </w:t>
            </w:r>
            <w:r>
              <w:rPr>
                <w:color w:val="FFFFFF"/>
                <w:w w:val="110"/>
                <w:sz w:val="22"/>
              </w:rPr>
              <w:t>4.1%</w:t>
            </w:r>
          </w:p>
        </w:tc>
        <w:tc>
          <w:tcPr>
            <w:tcW w:w="1277" w:type="dxa"/>
            <w:tcBorders>
              <w:top w:val="single" w:sz="24" w:space="0" w:color="FFFFFF"/>
              <w:left w:val="nil"/>
              <w:bottom w:val="single" w:sz="8" w:space="0" w:color="FFFFFF"/>
              <w:right w:val="single" w:sz="24" w:space="0" w:color="FFFFFF"/>
            </w:tcBorders>
            <w:shd w:val="clear" w:color="auto" w:fill="8E7EBA"/>
          </w:tcPr>
          <w:p>
            <w:pPr>
              <w:pStyle w:val="TableParagraph"/>
              <w:spacing w:before="132"/>
              <w:ind w:left="105" w:right="68"/>
              <w:jc w:val="center"/>
              <w:rPr>
                <w:sz w:val="22"/>
              </w:rPr>
            </w:pPr>
            <w:r>
              <w:rPr>
                <w:color w:val="FFFFFF"/>
                <w:w w:val="115"/>
                <w:sz w:val="22"/>
              </w:rPr>
              <w:t>Emerging</w:t>
            </w:r>
          </w:p>
          <w:p>
            <w:pPr>
              <w:pStyle w:val="TableParagraph"/>
              <w:spacing w:before="41"/>
              <w:ind w:left="115" w:right="55"/>
              <w:jc w:val="center"/>
              <w:rPr>
                <w:sz w:val="22"/>
              </w:rPr>
            </w:pPr>
            <w:r>
              <w:rPr>
                <w:color w:val="FFFFFF"/>
                <w:w w:val="105"/>
                <w:sz w:val="22"/>
              </w:rPr>
              <w:t>- 8.0%</w:t>
            </w:r>
          </w:p>
        </w:tc>
        <w:tc>
          <w:tcPr>
            <w:tcW w:w="1278" w:type="dxa"/>
            <w:tcBorders>
              <w:top w:val="single" w:sz="24" w:space="0" w:color="FFFFFF"/>
              <w:left w:val="single" w:sz="24" w:space="0" w:color="FFFFFF"/>
              <w:bottom w:val="single" w:sz="8" w:space="0" w:color="FFFFFF"/>
              <w:right w:val="single" w:sz="24" w:space="0" w:color="FFFFFF"/>
            </w:tcBorders>
            <w:shd w:val="clear" w:color="auto" w:fill="66799F"/>
          </w:tcPr>
          <w:p>
            <w:pPr>
              <w:pStyle w:val="TableParagraph"/>
              <w:spacing w:before="132"/>
              <w:ind w:left="85" w:right="78"/>
              <w:jc w:val="center"/>
              <w:rPr>
                <w:sz w:val="22"/>
              </w:rPr>
            </w:pPr>
            <w:r>
              <w:rPr>
                <w:color w:val="FFFFFF"/>
                <w:w w:val="115"/>
                <w:sz w:val="22"/>
              </w:rPr>
              <w:t>Small Cap</w:t>
            </w:r>
          </w:p>
          <w:p>
            <w:pPr>
              <w:pStyle w:val="TableParagraph"/>
              <w:spacing w:before="41"/>
              <w:ind w:left="85" w:right="56"/>
              <w:jc w:val="center"/>
              <w:rPr>
                <w:sz w:val="22"/>
              </w:rPr>
            </w:pPr>
            <w:r>
              <w:rPr>
                <w:color w:val="FFFFFF"/>
                <w:w w:val="105"/>
                <w:sz w:val="22"/>
              </w:rPr>
              <w:t>- 8.9%</w:t>
            </w:r>
          </w:p>
        </w:tc>
        <w:tc>
          <w:tcPr>
            <w:tcW w:w="1270" w:type="dxa"/>
            <w:tcBorders>
              <w:top w:val="single" w:sz="24" w:space="0" w:color="FFFFFF"/>
              <w:left w:val="single" w:sz="24" w:space="0" w:color="FFFFFF"/>
              <w:bottom w:val="single" w:sz="8" w:space="0" w:color="FFFFFF"/>
              <w:right w:val="nil"/>
            </w:tcBorders>
            <w:shd w:val="clear" w:color="auto" w:fill="6CB5B1"/>
          </w:tcPr>
          <w:p>
            <w:pPr>
              <w:pStyle w:val="TableParagraph"/>
              <w:spacing w:line="278" w:lineRule="auto" w:before="132"/>
              <w:ind w:left="388" w:right="373" w:hanging="16"/>
              <w:rPr>
                <w:sz w:val="22"/>
              </w:rPr>
            </w:pPr>
            <w:r>
              <w:rPr>
                <w:color w:val="FFFFFF"/>
                <w:w w:val="115"/>
                <w:sz w:val="22"/>
              </w:rPr>
              <w:t>TIPS </w:t>
            </w:r>
            <w:r>
              <w:rPr>
                <w:color w:val="FFFFFF"/>
                <w:w w:val="110"/>
                <w:sz w:val="22"/>
              </w:rPr>
              <w:t>0.5%</w:t>
            </w:r>
          </w:p>
        </w:tc>
      </w:tr>
    </w:tbl>
    <w:p>
      <w:pPr>
        <w:spacing w:before="76"/>
        <w:ind w:left="1416" w:right="1422" w:firstLine="0"/>
        <w:jc w:val="center"/>
        <w:rPr>
          <w:rFonts w:ascii="Gill Sans MT"/>
          <w:sz w:val="12"/>
        </w:rPr>
      </w:pPr>
      <w:r>
        <w:rPr>
          <w:rFonts w:ascii="Gill Sans MT"/>
          <w:w w:val="110"/>
          <w:sz w:val="12"/>
        </w:rPr>
        <w:t>Source: Dimensional Fund Advisors LP. Indices used: S&amp;P 500, S&amp;P 600, MSCI World ex USA, MSCI Emerging Markets, Bloomberg U.S. Aggregate Bond, Bloomberg U.S. TIPS Index.</w:t>
      </w:r>
    </w:p>
    <w:p>
      <w:pPr>
        <w:spacing w:after="0"/>
        <w:jc w:val="center"/>
        <w:rPr>
          <w:rFonts w:ascii="Gill Sans MT"/>
          <w:sz w:val="12"/>
        </w:rPr>
        <w:sectPr>
          <w:headerReference w:type="default" r:id="rId132"/>
          <w:footerReference w:type="default" r:id="rId133"/>
          <w:pgSz w:w="14400" w:h="10800" w:orient="landscape"/>
          <w:pgMar w:header="639" w:footer="1259" w:top="1480" w:bottom="1440" w:left="20" w:right="40"/>
          <w:pgNumType w:start="35"/>
        </w:sect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1"/>
        <w:rPr>
          <w:rFonts w:ascii="Gill Sans MT"/>
          <w:sz w:val="22"/>
        </w:rPr>
      </w:pPr>
    </w:p>
    <w:p>
      <w:pPr>
        <w:spacing w:before="0" w:after="4"/>
        <w:ind w:left="163" w:right="0" w:firstLine="0"/>
        <w:jc w:val="left"/>
        <w:rPr>
          <w:rFonts w:ascii="Gill Sans MT"/>
          <w:sz w:val="20"/>
        </w:rPr>
      </w:pPr>
      <w:bookmarkStart w:name="Slide 36: SPIVA Scorecard" w:id="46"/>
      <w:bookmarkEnd w:id="46"/>
      <w:r>
        <w:rPr/>
      </w:r>
      <w:r>
        <w:rPr>
          <w:rFonts w:ascii="Gill Sans MT"/>
          <w:w w:val="115"/>
          <w:sz w:val="20"/>
        </w:rPr>
        <w:t>Percent of Mutual Funds Outperformed by Benchmarks</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96"/>
        <w:gridCol w:w="3646"/>
        <w:gridCol w:w="1092"/>
        <w:gridCol w:w="1092"/>
        <w:gridCol w:w="1092"/>
        <w:gridCol w:w="1092"/>
        <w:gridCol w:w="1199"/>
        <w:gridCol w:w="1199"/>
      </w:tblGrid>
      <w:tr>
        <w:trPr>
          <w:trHeight w:val="438" w:hRule="atLeast"/>
        </w:trPr>
        <w:tc>
          <w:tcPr>
            <w:tcW w:w="3696" w:type="dxa"/>
            <w:shd w:val="clear" w:color="auto" w:fill="014612"/>
          </w:tcPr>
          <w:p>
            <w:pPr>
              <w:pStyle w:val="TableParagraph"/>
              <w:spacing w:before="116"/>
              <w:ind w:left="28"/>
              <w:rPr>
                <w:sz w:val="18"/>
              </w:rPr>
            </w:pPr>
            <w:r>
              <w:rPr>
                <w:color w:val="FFFFFF"/>
                <w:w w:val="110"/>
                <w:sz w:val="18"/>
              </w:rPr>
              <w:t>Fund Category</w:t>
            </w:r>
          </w:p>
        </w:tc>
        <w:tc>
          <w:tcPr>
            <w:tcW w:w="3646" w:type="dxa"/>
            <w:shd w:val="clear" w:color="auto" w:fill="014612"/>
          </w:tcPr>
          <w:p>
            <w:pPr>
              <w:pStyle w:val="TableParagraph"/>
              <w:spacing w:before="116"/>
              <w:ind w:left="28"/>
              <w:rPr>
                <w:sz w:val="18"/>
              </w:rPr>
            </w:pPr>
            <w:r>
              <w:rPr>
                <w:color w:val="FFFFFF"/>
                <w:w w:val="110"/>
                <w:sz w:val="18"/>
              </w:rPr>
              <w:t>Comparison Index</w:t>
            </w:r>
          </w:p>
        </w:tc>
        <w:tc>
          <w:tcPr>
            <w:tcW w:w="1092" w:type="dxa"/>
            <w:shd w:val="clear" w:color="auto" w:fill="014612"/>
          </w:tcPr>
          <w:p>
            <w:pPr>
              <w:pStyle w:val="TableParagraph"/>
              <w:spacing w:before="4"/>
              <w:ind w:left="76" w:right="82"/>
              <w:jc w:val="center"/>
              <w:rPr>
                <w:sz w:val="18"/>
              </w:rPr>
            </w:pPr>
            <w:r>
              <w:rPr>
                <w:color w:val="FFFFFF"/>
                <w:sz w:val="18"/>
              </w:rPr>
              <w:t>One Year</w:t>
            </w:r>
          </w:p>
          <w:p>
            <w:pPr>
              <w:pStyle w:val="TableParagraph"/>
              <w:spacing w:line="184" w:lineRule="exact" w:before="21"/>
              <w:ind w:left="82" w:right="77"/>
              <w:jc w:val="center"/>
              <w:rPr>
                <w:sz w:val="18"/>
              </w:rPr>
            </w:pPr>
            <w:r>
              <w:rPr>
                <w:color w:val="FFFFFF"/>
                <w:w w:val="105"/>
                <w:sz w:val="18"/>
              </w:rPr>
              <w:t>(%)</w:t>
            </w:r>
          </w:p>
        </w:tc>
        <w:tc>
          <w:tcPr>
            <w:tcW w:w="1092" w:type="dxa"/>
            <w:shd w:val="clear" w:color="auto" w:fill="014612"/>
          </w:tcPr>
          <w:p>
            <w:pPr>
              <w:pStyle w:val="TableParagraph"/>
              <w:spacing w:before="4"/>
              <w:ind w:left="82" w:right="82"/>
              <w:jc w:val="center"/>
              <w:rPr>
                <w:sz w:val="18"/>
              </w:rPr>
            </w:pPr>
            <w:r>
              <w:rPr>
                <w:color w:val="FFFFFF"/>
                <w:w w:val="105"/>
                <w:sz w:val="18"/>
              </w:rPr>
              <w:t>Three Year</w:t>
            </w:r>
          </w:p>
          <w:p>
            <w:pPr>
              <w:pStyle w:val="TableParagraph"/>
              <w:spacing w:line="184" w:lineRule="exact" w:before="21"/>
              <w:ind w:left="82" w:right="77"/>
              <w:jc w:val="center"/>
              <w:rPr>
                <w:sz w:val="18"/>
              </w:rPr>
            </w:pPr>
            <w:r>
              <w:rPr>
                <w:color w:val="FFFFFF"/>
                <w:w w:val="105"/>
                <w:sz w:val="18"/>
              </w:rPr>
              <w:t>(%)</w:t>
            </w:r>
          </w:p>
        </w:tc>
        <w:tc>
          <w:tcPr>
            <w:tcW w:w="1092" w:type="dxa"/>
            <w:shd w:val="clear" w:color="auto" w:fill="014612"/>
          </w:tcPr>
          <w:p>
            <w:pPr>
              <w:pStyle w:val="TableParagraph"/>
              <w:spacing w:before="4"/>
              <w:ind w:left="76" w:right="82"/>
              <w:jc w:val="center"/>
              <w:rPr>
                <w:sz w:val="18"/>
              </w:rPr>
            </w:pPr>
            <w:r>
              <w:rPr>
                <w:color w:val="FFFFFF"/>
                <w:w w:val="110"/>
                <w:sz w:val="18"/>
              </w:rPr>
              <w:t>Five Year</w:t>
            </w:r>
          </w:p>
          <w:p>
            <w:pPr>
              <w:pStyle w:val="TableParagraph"/>
              <w:spacing w:line="184" w:lineRule="exact" w:before="21"/>
              <w:ind w:left="82" w:right="77"/>
              <w:jc w:val="center"/>
              <w:rPr>
                <w:sz w:val="18"/>
              </w:rPr>
            </w:pPr>
            <w:r>
              <w:rPr>
                <w:color w:val="FFFFFF"/>
                <w:w w:val="105"/>
                <w:sz w:val="18"/>
              </w:rPr>
              <w:t>(%)</w:t>
            </w:r>
          </w:p>
        </w:tc>
        <w:tc>
          <w:tcPr>
            <w:tcW w:w="1092" w:type="dxa"/>
            <w:shd w:val="clear" w:color="auto" w:fill="014612"/>
          </w:tcPr>
          <w:p>
            <w:pPr>
              <w:pStyle w:val="TableParagraph"/>
              <w:spacing w:before="4"/>
              <w:ind w:left="76" w:right="82"/>
              <w:jc w:val="center"/>
              <w:rPr>
                <w:sz w:val="18"/>
              </w:rPr>
            </w:pPr>
            <w:r>
              <w:rPr>
                <w:color w:val="FFFFFF"/>
                <w:w w:val="105"/>
                <w:sz w:val="18"/>
              </w:rPr>
              <w:t>Ten Year</w:t>
            </w:r>
          </w:p>
          <w:p>
            <w:pPr>
              <w:pStyle w:val="TableParagraph"/>
              <w:spacing w:line="184" w:lineRule="exact" w:before="21"/>
              <w:ind w:left="82" w:right="77"/>
              <w:jc w:val="center"/>
              <w:rPr>
                <w:sz w:val="18"/>
              </w:rPr>
            </w:pPr>
            <w:r>
              <w:rPr>
                <w:color w:val="FFFFFF"/>
                <w:w w:val="105"/>
                <w:sz w:val="18"/>
              </w:rPr>
              <w:t>(%)</w:t>
            </w:r>
          </w:p>
        </w:tc>
        <w:tc>
          <w:tcPr>
            <w:tcW w:w="1199" w:type="dxa"/>
            <w:shd w:val="clear" w:color="auto" w:fill="014612"/>
          </w:tcPr>
          <w:p>
            <w:pPr>
              <w:pStyle w:val="TableParagraph"/>
              <w:spacing w:before="4"/>
              <w:ind w:left="73" w:right="79"/>
              <w:jc w:val="center"/>
              <w:rPr>
                <w:sz w:val="18"/>
              </w:rPr>
            </w:pPr>
            <w:r>
              <w:rPr>
                <w:color w:val="FFFFFF"/>
                <w:w w:val="110"/>
                <w:sz w:val="18"/>
              </w:rPr>
              <w:t>Fifteen Year</w:t>
            </w:r>
          </w:p>
          <w:p>
            <w:pPr>
              <w:pStyle w:val="TableParagraph"/>
              <w:spacing w:line="184" w:lineRule="exact" w:before="21"/>
              <w:ind w:left="73" w:right="73"/>
              <w:jc w:val="center"/>
              <w:rPr>
                <w:sz w:val="18"/>
              </w:rPr>
            </w:pPr>
            <w:r>
              <w:rPr>
                <w:color w:val="FFFFFF"/>
                <w:w w:val="105"/>
                <w:sz w:val="18"/>
              </w:rPr>
              <w:t>(%)</w:t>
            </w:r>
          </w:p>
        </w:tc>
        <w:tc>
          <w:tcPr>
            <w:tcW w:w="1199" w:type="dxa"/>
            <w:shd w:val="clear" w:color="auto" w:fill="014612"/>
          </w:tcPr>
          <w:p>
            <w:pPr>
              <w:pStyle w:val="TableParagraph"/>
              <w:spacing w:before="4"/>
              <w:ind w:left="73" w:right="81"/>
              <w:jc w:val="center"/>
              <w:rPr>
                <w:sz w:val="18"/>
              </w:rPr>
            </w:pPr>
            <w:r>
              <w:rPr>
                <w:color w:val="FFFFFF"/>
                <w:w w:val="105"/>
                <w:sz w:val="18"/>
              </w:rPr>
              <w:t>Twenty Year</w:t>
            </w:r>
          </w:p>
          <w:p>
            <w:pPr>
              <w:pStyle w:val="TableParagraph"/>
              <w:spacing w:line="184" w:lineRule="exact" w:before="21"/>
              <w:ind w:left="73" w:right="73"/>
              <w:jc w:val="center"/>
              <w:rPr>
                <w:sz w:val="18"/>
              </w:rPr>
            </w:pPr>
            <w:r>
              <w:rPr>
                <w:color w:val="FFFFFF"/>
                <w:w w:val="105"/>
                <w:sz w:val="18"/>
              </w:rPr>
              <w:t>(%)</w:t>
            </w:r>
          </w:p>
        </w:tc>
      </w:tr>
    </w:tbl>
    <w:p>
      <w:pPr>
        <w:pStyle w:val="BodyText"/>
        <w:spacing w:before="10" w:after="1"/>
        <w:rPr>
          <w:rFonts w:ascii="Gill Sans MT"/>
          <w:sz w:val="20"/>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7"/>
        <w:gridCol w:w="3995"/>
        <w:gridCol w:w="1052"/>
        <w:gridCol w:w="1093"/>
        <w:gridCol w:w="1093"/>
        <w:gridCol w:w="1121"/>
        <w:gridCol w:w="1174"/>
        <w:gridCol w:w="751"/>
      </w:tblGrid>
      <w:tr>
        <w:trPr>
          <w:trHeight w:val="219" w:hRule="atLeast"/>
        </w:trPr>
        <w:tc>
          <w:tcPr>
            <w:tcW w:w="3407" w:type="dxa"/>
          </w:tcPr>
          <w:p>
            <w:pPr>
              <w:pStyle w:val="TableParagraph"/>
              <w:spacing w:line="200" w:lineRule="exact"/>
              <w:ind w:left="50"/>
              <w:rPr>
                <w:sz w:val="18"/>
              </w:rPr>
            </w:pPr>
            <w:r>
              <w:rPr>
                <w:w w:val="110"/>
                <w:sz w:val="18"/>
              </w:rPr>
              <w:t>All Large Cap Funds</w:t>
            </w:r>
          </w:p>
        </w:tc>
        <w:tc>
          <w:tcPr>
            <w:tcW w:w="3995" w:type="dxa"/>
          </w:tcPr>
          <w:p>
            <w:pPr>
              <w:pStyle w:val="TableParagraph"/>
              <w:spacing w:line="200" w:lineRule="exact"/>
              <w:ind w:left="339"/>
              <w:rPr>
                <w:sz w:val="18"/>
              </w:rPr>
            </w:pPr>
            <w:r>
              <w:rPr>
                <w:w w:val="115"/>
                <w:sz w:val="18"/>
              </w:rPr>
              <w:t>S&amp;P 500</w:t>
            </w:r>
          </w:p>
        </w:tc>
        <w:tc>
          <w:tcPr>
            <w:tcW w:w="1052" w:type="dxa"/>
          </w:tcPr>
          <w:p>
            <w:pPr>
              <w:pStyle w:val="TableParagraph"/>
              <w:spacing w:line="200" w:lineRule="exact"/>
              <w:ind w:left="387" w:right="427"/>
              <w:jc w:val="center"/>
              <w:rPr>
                <w:sz w:val="18"/>
              </w:rPr>
            </w:pPr>
            <w:r>
              <w:rPr>
                <w:w w:val="110"/>
                <w:sz w:val="18"/>
              </w:rPr>
              <w:t>65</w:t>
            </w:r>
          </w:p>
        </w:tc>
        <w:tc>
          <w:tcPr>
            <w:tcW w:w="1093" w:type="dxa"/>
          </w:tcPr>
          <w:p>
            <w:pPr>
              <w:pStyle w:val="TableParagraph"/>
              <w:spacing w:line="200" w:lineRule="exact"/>
              <w:ind w:left="426" w:right="429"/>
              <w:jc w:val="center"/>
              <w:rPr>
                <w:sz w:val="18"/>
              </w:rPr>
            </w:pPr>
            <w:r>
              <w:rPr>
                <w:w w:val="110"/>
                <w:sz w:val="18"/>
              </w:rPr>
              <w:t>85</w:t>
            </w:r>
          </w:p>
        </w:tc>
        <w:tc>
          <w:tcPr>
            <w:tcW w:w="1093" w:type="dxa"/>
          </w:tcPr>
          <w:p>
            <w:pPr>
              <w:pStyle w:val="TableParagraph"/>
              <w:spacing w:line="200" w:lineRule="exact"/>
              <w:ind w:left="443"/>
              <w:rPr>
                <w:sz w:val="18"/>
              </w:rPr>
            </w:pPr>
            <w:r>
              <w:rPr>
                <w:w w:val="110"/>
                <w:sz w:val="18"/>
              </w:rPr>
              <w:t>76</w:t>
            </w:r>
          </w:p>
        </w:tc>
        <w:tc>
          <w:tcPr>
            <w:tcW w:w="1121" w:type="dxa"/>
          </w:tcPr>
          <w:p>
            <w:pPr>
              <w:pStyle w:val="TableParagraph"/>
              <w:spacing w:line="200" w:lineRule="exact"/>
              <w:ind w:left="442"/>
              <w:rPr>
                <w:sz w:val="18"/>
              </w:rPr>
            </w:pPr>
            <w:r>
              <w:rPr>
                <w:w w:val="110"/>
                <w:sz w:val="18"/>
              </w:rPr>
              <w:t>84</w:t>
            </w:r>
          </w:p>
        </w:tc>
        <w:tc>
          <w:tcPr>
            <w:tcW w:w="1174" w:type="dxa"/>
          </w:tcPr>
          <w:p>
            <w:pPr>
              <w:pStyle w:val="TableParagraph"/>
              <w:spacing w:line="200" w:lineRule="exact"/>
              <w:ind w:left="468"/>
              <w:rPr>
                <w:sz w:val="18"/>
              </w:rPr>
            </w:pPr>
            <w:r>
              <w:rPr>
                <w:w w:val="110"/>
                <w:sz w:val="18"/>
              </w:rPr>
              <w:t>90</w:t>
            </w:r>
          </w:p>
        </w:tc>
        <w:tc>
          <w:tcPr>
            <w:tcW w:w="751" w:type="dxa"/>
          </w:tcPr>
          <w:p>
            <w:pPr>
              <w:pStyle w:val="TableParagraph"/>
              <w:spacing w:line="200" w:lineRule="exact"/>
              <w:ind w:right="54"/>
              <w:jc w:val="right"/>
              <w:rPr>
                <w:sz w:val="18"/>
              </w:rPr>
            </w:pPr>
            <w:r>
              <w:rPr>
                <w:w w:val="110"/>
                <w:sz w:val="18"/>
              </w:rPr>
              <w:t>92</w:t>
            </w:r>
          </w:p>
        </w:tc>
      </w:tr>
      <w:tr>
        <w:trPr>
          <w:trHeight w:val="229" w:hRule="atLeast"/>
        </w:trPr>
        <w:tc>
          <w:tcPr>
            <w:tcW w:w="3407" w:type="dxa"/>
          </w:tcPr>
          <w:p>
            <w:pPr>
              <w:pStyle w:val="TableParagraph"/>
              <w:spacing w:line="201" w:lineRule="exact" w:before="9"/>
              <w:ind w:left="50"/>
              <w:rPr>
                <w:sz w:val="18"/>
              </w:rPr>
            </w:pPr>
            <w:r>
              <w:rPr>
                <w:w w:val="110"/>
                <w:sz w:val="18"/>
              </w:rPr>
              <w:t>All Mid Cap Funds</w:t>
            </w:r>
          </w:p>
        </w:tc>
        <w:tc>
          <w:tcPr>
            <w:tcW w:w="3995" w:type="dxa"/>
          </w:tcPr>
          <w:p>
            <w:pPr>
              <w:pStyle w:val="TableParagraph"/>
              <w:spacing w:line="201" w:lineRule="exact" w:before="9"/>
              <w:ind w:left="339"/>
              <w:rPr>
                <w:sz w:val="18"/>
              </w:rPr>
            </w:pPr>
            <w:r>
              <w:rPr>
                <w:w w:val="110"/>
                <w:sz w:val="18"/>
              </w:rPr>
              <w:t>S&amp;P MidCap 400</w:t>
            </w:r>
          </w:p>
        </w:tc>
        <w:tc>
          <w:tcPr>
            <w:tcW w:w="1052" w:type="dxa"/>
          </w:tcPr>
          <w:p>
            <w:pPr>
              <w:pStyle w:val="TableParagraph"/>
              <w:spacing w:line="201" w:lineRule="exact" w:before="9"/>
              <w:ind w:left="387" w:right="427"/>
              <w:jc w:val="center"/>
              <w:rPr>
                <w:sz w:val="18"/>
              </w:rPr>
            </w:pPr>
            <w:r>
              <w:rPr>
                <w:w w:val="110"/>
                <w:sz w:val="18"/>
              </w:rPr>
              <w:t>62</w:t>
            </w:r>
          </w:p>
        </w:tc>
        <w:tc>
          <w:tcPr>
            <w:tcW w:w="1093" w:type="dxa"/>
          </w:tcPr>
          <w:p>
            <w:pPr>
              <w:pStyle w:val="TableParagraph"/>
              <w:spacing w:line="201" w:lineRule="exact" w:before="9"/>
              <w:ind w:left="426" w:right="429"/>
              <w:jc w:val="center"/>
              <w:rPr>
                <w:sz w:val="18"/>
              </w:rPr>
            </w:pPr>
            <w:r>
              <w:rPr>
                <w:w w:val="110"/>
                <w:sz w:val="18"/>
              </w:rPr>
              <w:t>75</w:t>
            </w:r>
          </w:p>
        </w:tc>
        <w:tc>
          <w:tcPr>
            <w:tcW w:w="1093" w:type="dxa"/>
          </w:tcPr>
          <w:p>
            <w:pPr>
              <w:pStyle w:val="TableParagraph"/>
              <w:spacing w:line="201" w:lineRule="exact" w:before="9"/>
              <w:ind w:left="443"/>
              <w:rPr>
                <w:sz w:val="18"/>
              </w:rPr>
            </w:pPr>
            <w:r>
              <w:rPr>
                <w:w w:val="110"/>
                <w:sz w:val="18"/>
              </w:rPr>
              <w:t>80</w:t>
            </w:r>
          </w:p>
        </w:tc>
        <w:tc>
          <w:tcPr>
            <w:tcW w:w="1121" w:type="dxa"/>
          </w:tcPr>
          <w:p>
            <w:pPr>
              <w:pStyle w:val="TableParagraph"/>
              <w:spacing w:line="201" w:lineRule="exact" w:before="9"/>
              <w:ind w:left="442"/>
              <w:rPr>
                <w:sz w:val="18"/>
              </w:rPr>
            </w:pPr>
            <w:r>
              <w:rPr>
                <w:w w:val="110"/>
                <w:sz w:val="18"/>
              </w:rPr>
              <w:t>77</w:t>
            </w:r>
          </w:p>
        </w:tc>
        <w:tc>
          <w:tcPr>
            <w:tcW w:w="1174" w:type="dxa"/>
          </w:tcPr>
          <w:p>
            <w:pPr>
              <w:pStyle w:val="TableParagraph"/>
              <w:spacing w:line="201" w:lineRule="exact" w:before="9"/>
              <w:ind w:left="468"/>
              <w:rPr>
                <w:sz w:val="18"/>
              </w:rPr>
            </w:pPr>
            <w:r>
              <w:rPr>
                <w:w w:val="110"/>
                <w:sz w:val="18"/>
              </w:rPr>
              <w:t>88</w:t>
            </w:r>
          </w:p>
        </w:tc>
        <w:tc>
          <w:tcPr>
            <w:tcW w:w="751" w:type="dxa"/>
          </w:tcPr>
          <w:p>
            <w:pPr>
              <w:pStyle w:val="TableParagraph"/>
              <w:spacing w:line="201" w:lineRule="exact" w:before="9"/>
              <w:ind w:right="54"/>
              <w:jc w:val="right"/>
              <w:rPr>
                <w:sz w:val="18"/>
              </w:rPr>
            </w:pPr>
            <w:r>
              <w:rPr>
                <w:w w:val="110"/>
                <w:sz w:val="18"/>
              </w:rPr>
              <w:t>91</w:t>
            </w:r>
          </w:p>
        </w:tc>
      </w:tr>
      <w:tr>
        <w:trPr>
          <w:trHeight w:val="229" w:hRule="atLeast"/>
        </w:trPr>
        <w:tc>
          <w:tcPr>
            <w:tcW w:w="3407" w:type="dxa"/>
          </w:tcPr>
          <w:p>
            <w:pPr>
              <w:pStyle w:val="TableParagraph"/>
              <w:spacing w:line="201" w:lineRule="exact" w:before="9"/>
              <w:ind w:left="50"/>
              <w:rPr>
                <w:sz w:val="18"/>
              </w:rPr>
            </w:pPr>
            <w:r>
              <w:rPr>
                <w:w w:val="115"/>
                <w:sz w:val="18"/>
              </w:rPr>
              <w:t>All Small Cap Funds</w:t>
            </w:r>
          </w:p>
        </w:tc>
        <w:tc>
          <w:tcPr>
            <w:tcW w:w="3995" w:type="dxa"/>
          </w:tcPr>
          <w:p>
            <w:pPr>
              <w:pStyle w:val="TableParagraph"/>
              <w:spacing w:line="201" w:lineRule="exact" w:before="9"/>
              <w:ind w:left="339"/>
              <w:rPr>
                <w:sz w:val="18"/>
              </w:rPr>
            </w:pPr>
            <w:r>
              <w:rPr>
                <w:w w:val="115"/>
                <w:sz w:val="18"/>
              </w:rPr>
              <w:t>S&amp;P SmallCap 600</w:t>
            </w:r>
          </w:p>
        </w:tc>
        <w:tc>
          <w:tcPr>
            <w:tcW w:w="1052" w:type="dxa"/>
          </w:tcPr>
          <w:p>
            <w:pPr>
              <w:pStyle w:val="TableParagraph"/>
              <w:spacing w:line="201" w:lineRule="exact" w:before="9"/>
              <w:ind w:left="387" w:right="427"/>
              <w:jc w:val="center"/>
              <w:rPr>
                <w:sz w:val="18"/>
              </w:rPr>
            </w:pPr>
            <w:r>
              <w:rPr>
                <w:w w:val="110"/>
                <w:sz w:val="18"/>
              </w:rPr>
              <w:t>27</w:t>
            </w:r>
          </w:p>
        </w:tc>
        <w:tc>
          <w:tcPr>
            <w:tcW w:w="1093" w:type="dxa"/>
          </w:tcPr>
          <w:p>
            <w:pPr>
              <w:pStyle w:val="TableParagraph"/>
              <w:spacing w:line="201" w:lineRule="exact" w:before="9"/>
              <w:ind w:left="426" w:right="429"/>
              <w:jc w:val="center"/>
              <w:rPr>
                <w:sz w:val="18"/>
              </w:rPr>
            </w:pPr>
            <w:r>
              <w:rPr>
                <w:w w:val="110"/>
                <w:sz w:val="18"/>
              </w:rPr>
              <w:t>53</w:t>
            </w:r>
          </w:p>
        </w:tc>
        <w:tc>
          <w:tcPr>
            <w:tcW w:w="1093" w:type="dxa"/>
          </w:tcPr>
          <w:p>
            <w:pPr>
              <w:pStyle w:val="TableParagraph"/>
              <w:spacing w:line="201" w:lineRule="exact" w:before="9"/>
              <w:ind w:left="443"/>
              <w:rPr>
                <w:sz w:val="18"/>
              </w:rPr>
            </w:pPr>
            <w:r>
              <w:rPr>
                <w:w w:val="110"/>
                <w:sz w:val="18"/>
              </w:rPr>
              <w:t>60</w:t>
            </w:r>
          </w:p>
        </w:tc>
        <w:tc>
          <w:tcPr>
            <w:tcW w:w="1121" w:type="dxa"/>
          </w:tcPr>
          <w:p>
            <w:pPr>
              <w:pStyle w:val="TableParagraph"/>
              <w:spacing w:line="201" w:lineRule="exact" w:before="9"/>
              <w:ind w:left="442"/>
              <w:rPr>
                <w:sz w:val="18"/>
              </w:rPr>
            </w:pPr>
            <w:r>
              <w:rPr>
                <w:w w:val="110"/>
                <w:sz w:val="18"/>
              </w:rPr>
              <w:t>82</w:t>
            </w:r>
          </w:p>
        </w:tc>
        <w:tc>
          <w:tcPr>
            <w:tcW w:w="1174" w:type="dxa"/>
          </w:tcPr>
          <w:p>
            <w:pPr>
              <w:pStyle w:val="TableParagraph"/>
              <w:spacing w:line="201" w:lineRule="exact" w:before="9"/>
              <w:ind w:left="468"/>
              <w:rPr>
                <w:sz w:val="18"/>
              </w:rPr>
            </w:pPr>
            <w:r>
              <w:rPr>
                <w:w w:val="110"/>
                <w:sz w:val="18"/>
              </w:rPr>
              <w:t>91</w:t>
            </w:r>
          </w:p>
        </w:tc>
        <w:tc>
          <w:tcPr>
            <w:tcW w:w="751" w:type="dxa"/>
          </w:tcPr>
          <w:p>
            <w:pPr>
              <w:pStyle w:val="TableParagraph"/>
              <w:spacing w:line="201" w:lineRule="exact" w:before="9"/>
              <w:ind w:right="54"/>
              <w:jc w:val="right"/>
              <w:rPr>
                <w:sz w:val="18"/>
              </w:rPr>
            </w:pPr>
            <w:r>
              <w:rPr>
                <w:w w:val="110"/>
                <w:sz w:val="18"/>
              </w:rPr>
              <w:t>91</w:t>
            </w:r>
          </w:p>
        </w:tc>
      </w:tr>
      <w:tr>
        <w:trPr>
          <w:trHeight w:val="344" w:hRule="atLeast"/>
        </w:trPr>
        <w:tc>
          <w:tcPr>
            <w:tcW w:w="3407" w:type="dxa"/>
          </w:tcPr>
          <w:p>
            <w:pPr>
              <w:pStyle w:val="TableParagraph"/>
              <w:spacing w:before="8"/>
              <w:ind w:left="50"/>
              <w:rPr>
                <w:sz w:val="18"/>
              </w:rPr>
            </w:pPr>
            <w:r>
              <w:rPr>
                <w:w w:val="110"/>
                <w:sz w:val="18"/>
              </w:rPr>
              <w:t>All Multi Cap Funds</w:t>
            </w:r>
          </w:p>
        </w:tc>
        <w:tc>
          <w:tcPr>
            <w:tcW w:w="3995" w:type="dxa"/>
          </w:tcPr>
          <w:p>
            <w:pPr>
              <w:pStyle w:val="TableParagraph"/>
              <w:spacing w:before="8"/>
              <w:ind w:left="339"/>
              <w:rPr>
                <w:sz w:val="18"/>
              </w:rPr>
            </w:pPr>
            <w:r>
              <w:rPr>
                <w:w w:val="110"/>
                <w:sz w:val="18"/>
              </w:rPr>
              <w:t>S&amp;P Composite 1500</w:t>
            </w:r>
          </w:p>
        </w:tc>
        <w:tc>
          <w:tcPr>
            <w:tcW w:w="1052" w:type="dxa"/>
          </w:tcPr>
          <w:p>
            <w:pPr>
              <w:pStyle w:val="TableParagraph"/>
              <w:spacing w:before="8"/>
              <w:ind w:left="387" w:right="427"/>
              <w:jc w:val="center"/>
              <w:rPr>
                <w:sz w:val="18"/>
              </w:rPr>
            </w:pPr>
            <w:r>
              <w:rPr>
                <w:w w:val="110"/>
                <w:sz w:val="18"/>
              </w:rPr>
              <w:t>78</w:t>
            </w:r>
          </w:p>
        </w:tc>
        <w:tc>
          <w:tcPr>
            <w:tcW w:w="1093" w:type="dxa"/>
          </w:tcPr>
          <w:p>
            <w:pPr>
              <w:pStyle w:val="TableParagraph"/>
              <w:spacing w:before="8"/>
              <w:ind w:left="426" w:right="429"/>
              <w:jc w:val="center"/>
              <w:rPr>
                <w:sz w:val="18"/>
              </w:rPr>
            </w:pPr>
            <w:r>
              <w:rPr>
                <w:w w:val="110"/>
                <w:sz w:val="18"/>
              </w:rPr>
              <w:t>86</w:t>
            </w:r>
          </w:p>
        </w:tc>
        <w:tc>
          <w:tcPr>
            <w:tcW w:w="1093" w:type="dxa"/>
          </w:tcPr>
          <w:p>
            <w:pPr>
              <w:pStyle w:val="TableParagraph"/>
              <w:spacing w:before="8"/>
              <w:ind w:left="443"/>
              <w:rPr>
                <w:sz w:val="18"/>
              </w:rPr>
            </w:pPr>
            <w:r>
              <w:rPr>
                <w:w w:val="110"/>
                <w:sz w:val="18"/>
              </w:rPr>
              <w:t>83</w:t>
            </w:r>
          </w:p>
        </w:tc>
        <w:tc>
          <w:tcPr>
            <w:tcW w:w="1121" w:type="dxa"/>
          </w:tcPr>
          <w:p>
            <w:pPr>
              <w:pStyle w:val="TableParagraph"/>
              <w:spacing w:before="8"/>
              <w:ind w:left="442"/>
              <w:rPr>
                <w:sz w:val="18"/>
              </w:rPr>
            </w:pPr>
            <w:r>
              <w:rPr>
                <w:w w:val="110"/>
                <w:sz w:val="18"/>
              </w:rPr>
              <w:t>87</w:t>
            </w:r>
          </w:p>
        </w:tc>
        <w:tc>
          <w:tcPr>
            <w:tcW w:w="1174" w:type="dxa"/>
          </w:tcPr>
          <w:p>
            <w:pPr>
              <w:pStyle w:val="TableParagraph"/>
              <w:spacing w:before="8"/>
              <w:ind w:left="468"/>
              <w:rPr>
                <w:sz w:val="18"/>
              </w:rPr>
            </w:pPr>
            <w:r>
              <w:rPr>
                <w:w w:val="110"/>
                <w:sz w:val="18"/>
              </w:rPr>
              <w:t>92</w:t>
            </w:r>
          </w:p>
        </w:tc>
        <w:tc>
          <w:tcPr>
            <w:tcW w:w="751" w:type="dxa"/>
          </w:tcPr>
          <w:p>
            <w:pPr>
              <w:pStyle w:val="TableParagraph"/>
              <w:spacing w:before="8"/>
              <w:ind w:right="54"/>
              <w:jc w:val="right"/>
              <w:rPr>
                <w:sz w:val="18"/>
              </w:rPr>
            </w:pPr>
            <w:r>
              <w:rPr>
                <w:w w:val="110"/>
                <w:sz w:val="18"/>
              </w:rPr>
              <w:t>93</w:t>
            </w:r>
          </w:p>
        </w:tc>
      </w:tr>
      <w:tr>
        <w:trPr>
          <w:trHeight w:val="344" w:hRule="atLeast"/>
        </w:trPr>
        <w:tc>
          <w:tcPr>
            <w:tcW w:w="3407" w:type="dxa"/>
          </w:tcPr>
          <w:p>
            <w:pPr>
              <w:pStyle w:val="TableParagraph"/>
              <w:spacing w:line="201" w:lineRule="exact" w:before="123"/>
              <w:ind w:left="50"/>
              <w:rPr>
                <w:sz w:val="18"/>
              </w:rPr>
            </w:pPr>
            <w:r>
              <w:rPr>
                <w:w w:val="110"/>
                <w:sz w:val="18"/>
              </w:rPr>
              <w:t>International Funds</w:t>
            </w:r>
          </w:p>
        </w:tc>
        <w:tc>
          <w:tcPr>
            <w:tcW w:w="3995" w:type="dxa"/>
          </w:tcPr>
          <w:p>
            <w:pPr>
              <w:pStyle w:val="TableParagraph"/>
              <w:spacing w:line="201" w:lineRule="exact" w:before="123"/>
              <w:ind w:left="339"/>
              <w:rPr>
                <w:sz w:val="18"/>
              </w:rPr>
            </w:pPr>
            <w:r>
              <w:rPr>
                <w:w w:val="110"/>
                <w:sz w:val="18"/>
              </w:rPr>
              <w:t>S&amp;P World Ex-U.S.</w:t>
            </w:r>
          </w:p>
        </w:tc>
        <w:tc>
          <w:tcPr>
            <w:tcW w:w="1052" w:type="dxa"/>
          </w:tcPr>
          <w:p>
            <w:pPr>
              <w:pStyle w:val="TableParagraph"/>
              <w:spacing w:line="201" w:lineRule="exact" w:before="123"/>
              <w:ind w:left="387" w:right="427"/>
              <w:jc w:val="center"/>
              <w:rPr>
                <w:sz w:val="18"/>
              </w:rPr>
            </w:pPr>
            <w:r>
              <w:rPr>
                <w:w w:val="110"/>
                <w:sz w:val="18"/>
              </w:rPr>
              <w:t>69</w:t>
            </w:r>
          </w:p>
        </w:tc>
        <w:tc>
          <w:tcPr>
            <w:tcW w:w="1093" w:type="dxa"/>
          </w:tcPr>
          <w:p>
            <w:pPr>
              <w:pStyle w:val="TableParagraph"/>
              <w:spacing w:line="201" w:lineRule="exact" w:before="123"/>
              <w:ind w:left="426" w:right="429"/>
              <w:jc w:val="center"/>
              <w:rPr>
                <w:sz w:val="18"/>
              </w:rPr>
            </w:pPr>
            <w:r>
              <w:rPr>
                <w:w w:val="110"/>
                <w:sz w:val="18"/>
              </w:rPr>
              <w:t>78</w:t>
            </w:r>
          </w:p>
        </w:tc>
        <w:tc>
          <w:tcPr>
            <w:tcW w:w="1093" w:type="dxa"/>
          </w:tcPr>
          <w:p>
            <w:pPr>
              <w:pStyle w:val="TableParagraph"/>
              <w:spacing w:line="201" w:lineRule="exact" w:before="123"/>
              <w:ind w:left="443"/>
              <w:rPr>
                <w:sz w:val="18"/>
              </w:rPr>
            </w:pPr>
            <w:r>
              <w:rPr>
                <w:w w:val="110"/>
                <w:sz w:val="18"/>
              </w:rPr>
              <w:t>82</w:t>
            </w:r>
          </w:p>
        </w:tc>
        <w:tc>
          <w:tcPr>
            <w:tcW w:w="1121" w:type="dxa"/>
          </w:tcPr>
          <w:p>
            <w:pPr>
              <w:pStyle w:val="TableParagraph"/>
              <w:spacing w:line="201" w:lineRule="exact" w:before="123"/>
              <w:ind w:left="442"/>
              <w:rPr>
                <w:sz w:val="18"/>
              </w:rPr>
            </w:pPr>
            <w:r>
              <w:rPr>
                <w:w w:val="110"/>
                <w:sz w:val="18"/>
              </w:rPr>
              <w:t>85</w:t>
            </w:r>
          </w:p>
        </w:tc>
        <w:tc>
          <w:tcPr>
            <w:tcW w:w="1174" w:type="dxa"/>
          </w:tcPr>
          <w:p>
            <w:pPr>
              <w:pStyle w:val="TableParagraph"/>
              <w:spacing w:line="201" w:lineRule="exact" w:before="123"/>
              <w:ind w:left="468"/>
              <w:rPr>
                <w:sz w:val="18"/>
              </w:rPr>
            </w:pPr>
            <w:r>
              <w:rPr>
                <w:w w:val="110"/>
                <w:sz w:val="18"/>
              </w:rPr>
              <w:t>88</w:t>
            </w:r>
          </w:p>
        </w:tc>
        <w:tc>
          <w:tcPr>
            <w:tcW w:w="751" w:type="dxa"/>
          </w:tcPr>
          <w:p>
            <w:pPr>
              <w:pStyle w:val="TableParagraph"/>
              <w:spacing w:line="201" w:lineRule="exact" w:before="123"/>
              <w:ind w:right="104"/>
              <w:jc w:val="right"/>
              <w:rPr>
                <w:sz w:val="18"/>
              </w:rPr>
            </w:pPr>
            <w:r>
              <w:rPr>
                <w:w w:val="80"/>
                <w:sz w:val="18"/>
              </w:rPr>
              <w:t>--</w:t>
            </w:r>
          </w:p>
        </w:tc>
      </w:tr>
      <w:tr>
        <w:trPr>
          <w:trHeight w:val="347" w:hRule="atLeast"/>
        </w:trPr>
        <w:tc>
          <w:tcPr>
            <w:tcW w:w="3407" w:type="dxa"/>
          </w:tcPr>
          <w:p>
            <w:pPr>
              <w:pStyle w:val="TableParagraph"/>
              <w:spacing w:before="9"/>
              <w:ind w:left="50"/>
              <w:rPr>
                <w:sz w:val="18"/>
              </w:rPr>
            </w:pPr>
            <w:r>
              <w:rPr>
                <w:w w:val="115"/>
                <w:sz w:val="18"/>
              </w:rPr>
              <w:t>Emerging Market Funds</w:t>
            </w:r>
          </w:p>
        </w:tc>
        <w:tc>
          <w:tcPr>
            <w:tcW w:w="3995" w:type="dxa"/>
          </w:tcPr>
          <w:p>
            <w:pPr>
              <w:pStyle w:val="TableParagraph"/>
              <w:spacing w:before="9"/>
              <w:ind w:left="339"/>
              <w:rPr>
                <w:sz w:val="18"/>
              </w:rPr>
            </w:pPr>
            <w:r>
              <w:rPr>
                <w:w w:val="110"/>
                <w:sz w:val="18"/>
              </w:rPr>
              <w:t>S&amp;P/IFCI Composite</w:t>
            </w:r>
          </w:p>
        </w:tc>
        <w:tc>
          <w:tcPr>
            <w:tcW w:w="1052" w:type="dxa"/>
          </w:tcPr>
          <w:p>
            <w:pPr>
              <w:pStyle w:val="TableParagraph"/>
              <w:spacing w:before="9"/>
              <w:ind w:left="387" w:right="427"/>
              <w:jc w:val="center"/>
              <w:rPr>
                <w:sz w:val="18"/>
              </w:rPr>
            </w:pPr>
            <w:r>
              <w:rPr>
                <w:w w:val="110"/>
                <w:sz w:val="18"/>
              </w:rPr>
              <w:t>72</w:t>
            </w:r>
          </w:p>
        </w:tc>
        <w:tc>
          <w:tcPr>
            <w:tcW w:w="1093" w:type="dxa"/>
          </w:tcPr>
          <w:p>
            <w:pPr>
              <w:pStyle w:val="TableParagraph"/>
              <w:spacing w:before="9"/>
              <w:ind w:left="426" w:right="429"/>
              <w:jc w:val="center"/>
              <w:rPr>
                <w:sz w:val="18"/>
              </w:rPr>
            </w:pPr>
            <w:r>
              <w:rPr>
                <w:w w:val="110"/>
                <w:sz w:val="18"/>
              </w:rPr>
              <w:t>77</w:t>
            </w:r>
          </w:p>
        </w:tc>
        <w:tc>
          <w:tcPr>
            <w:tcW w:w="1093" w:type="dxa"/>
          </w:tcPr>
          <w:p>
            <w:pPr>
              <w:pStyle w:val="TableParagraph"/>
              <w:spacing w:before="9"/>
              <w:ind w:left="443"/>
              <w:rPr>
                <w:sz w:val="18"/>
              </w:rPr>
            </w:pPr>
            <w:r>
              <w:rPr>
                <w:w w:val="110"/>
                <w:sz w:val="18"/>
              </w:rPr>
              <w:t>75</w:t>
            </w:r>
          </w:p>
        </w:tc>
        <w:tc>
          <w:tcPr>
            <w:tcW w:w="1121" w:type="dxa"/>
          </w:tcPr>
          <w:p>
            <w:pPr>
              <w:pStyle w:val="TableParagraph"/>
              <w:spacing w:before="9"/>
              <w:ind w:left="442"/>
              <w:rPr>
                <w:sz w:val="18"/>
              </w:rPr>
            </w:pPr>
            <w:r>
              <w:rPr>
                <w:w w:val="110"/>
                <w:sz w:val="18"/>
              </w:rPr>
              <w:t>87</w:t>
            </w:r>
          </w:p>
        </w:tc>
        <w:tc>
          <w:tcPr>
            <w:tcW w:w="1174" w:type="dxa"/>
          </w:tcPr>
          <w:p>
            <w:pPr>
              <w:pStyle w:val="TableParagraph"/>
              <w:spacing w:before="9"/>
              <w:ind w:left="468"/>
              <w:rPr>
                <w:sz w:val="18"/>
              </w:rPr>
            </w:pPr>
            <w:r>
              <w:rPr>
                <w:w w:val="110"/>
                <w:sz w:val="18"/>
              </w:rPr>
              <w:t>88</w:t>
            </w:r>
          </w:p>
        </w:tc>
        <w:tc>
          <w:tcPr>
            <w:tcW w:w="751" w:type="dxa"/>
          </w:tcPr>
          <w:p>
            <w:pPr>
              <w:pStyle w:val="TableParagraph"/>
              <w:spacing w:before="9"/>
              <w:ind w:right="54"/>
              <w:jc w:val="right"/>
              <w:rPr>
                <w:sz w:val="18"/>
              </w:rPr>
            </w:pPr>
            <w:r>
              <w:rPr>
                <w:w w:val="110"/>
                <w:sz w:val="18"/>
              </w:rPr>
              <w:t>95</w:t>
            </w:r>
          </w:p>
        </w:tc>
      </w:tr>
      <w:tr>
        <w:trPr>
          <w:trHeight w:val="353" w:hRule="atLeast"/>
        </w:trPr>
        <w:tc>
          <w:tcPr>
            <w:tcW w:w="3407" w:type="dxa"/>
          </w:tcPr>
          <w:p>
            <w:pPr>
              <w:pStyle w:val="TableParagraph"/>
              <w:spacing w:line="207" w:lineRule="exact" w:before="126"/>
              <w:ind w:left="50"/>
              <w:rPr>
                <w:sz w:val="18"/>
              </w:rPr>
            </w:pPr>
            <w:r>
              <w:rPr>
                <w:w w:val="110"/>
                <w:sz w:val="18"/>
              </w:rPr>
              <w:t>Government Intermediate Funds</w:t>
            </w:r>
          </w:p>
        </w:tc>
        <w:tc>
          <w:tcPr>
            <w:tcW w:w="3995" w:type="dxa"/>
          </w:tcPr>
          <w:p>
            <w:pPr>
              <w:pStyle w:val="TableParagraph"/>
              <w:spacing w:line="207" w:lineRule="exact" w:before="126"/>
              <w:ind w:left="339"/>
              <w:rPr>
                <w:sz w:val="18"/>
              </w:rPr>
            </w:pPr>
            <w:r>
              <w:rPr>
                <w:w w:val="110"/>
                <w:sz w:val="18"/>
              </w:rPr>
              <w:t>iBoxx $ Domestic Sovereigns 1-10Y</w:t>
            </w:r>
          </w:p>
        </w:tc>
        <w:tc>
          <w:tcPr>
            <w:tcW w:w="1052" w:type="dxa"/>
          </w:tcPr>
          <w:p>
            <w:pPr>
              <w:pStyle w:val="TableParagraph"/>
              <w:spacing w:line="207" w:lineRule="exact" w:before="126"/>
              <w:ind w:left="387" w:right="427"/>
              <w:jc w:val="center"/>
              <w:rPr>
                <w:sz w:val="18"/>
              </w:rPr>
            </w:pPr>
            <w:r>
              <w:rPr>
                <w:w w:val="110"/>
                <w:sz w:val="18"/>
              </w:rPr>
              <w:t>95</w:t>
            </w:r>
          </w:p>
        </w:tc>
        <w:tc>
          <w:tcPr>
            <w:tcW w:w="1093" w:type="dxa"/>
          </w:tcPr>
          <w:p>
            <w:pPr>
              <w:pStyle w:val="TableParagraph"/>
              <w:spacing w:line="207" w:lineRule="exact" w:before="126"/>
              <w:ind w:left="426" w:right="429"/>
              <w:jc w:val="center"/>
              <w:rPr>
                <w:sz w:val="18"/>
              </w:rPr>
            </w:pPr>
            <w:r>
              <w:rPr>
                <w:w w:val="110"/>
                <w:sz w:val="18"/>
              </w:rPr>
              <w:t>95</w:t>
            </w:r>
          </w:p>
        </w:tc>
        <w:tc>
          <w:tcPr>
            <w:tcW w:w="1093" w:type="dxa"/>
          </w:tcPr>
          <w:p>
            <w:pPr>
              <w:pStyle w:val="TableParagraph"/>
              <w:spacing w:line="207" w:lineRule="exact" w:before="126"/>
              <w:ind w:left="443"/>
              <w:rPr>
                <w:sz w:val="18"/>
              </w:rPr>
            </w:pPr>
            <w:r>
              <w:rPr>
                <w:w w:val="110"/>
                <w:sz w:val="18"/>
              </w:rPr>
              <w:t>95</w:t>
            </w:r>
          </w:p>
        </w:tc>
        <w:tc>
          <w:tcPr>
            <w:tcW w:w="1121" w:type="dxa"/>
          </w:tcPr>
          <w:p>
            <w:pPr>
              <w:pStyle w:val="TableParagraph"/>
              <w:spacing w:line="207" w:lineRule="exact" w:before="126"/>
              <w:ind w:left="442"/>
              <w:rPr>
                <w:sz w:val="18"/>
              </w:rPr>
            </w:pPr>
            <w:r>
              <w:rPr>
                <w:w w:val="110"/>
                <w:sz w:val="18"/>
              </w:rPr>
              <w:t>84</w:t>
            </w:r>
          </w:p>
        </w:tc>
        <w:tc>
          <w:tcPr>
            <w:tcW w:w="1174" w:type="dxa"/>
          </w:tcPr>
          <w:p>
            <w:pPr>
              <w:pStyle w:val="TableParagraph"/>
              <w:spacing w:line="207" w:lineRule="exact" w:before="126"/>
              <w:ind w:left="468"/>
              <w:rPr>
                <w:sz w:val="18"/>
              </w:rPr>
            </w:pPr>
            <w:r>
              <w:rPr>
                <w:w w:val="110"/>
                <w:sz w:val="18"/>
              </w:rPr>
              <w:t>91</w:t>
            </w:r>
          </w:p>
        </w:tc>
        <w:tc>
          <w:tcPr>
            <w:tcW w:w="751" w:type="dxa"/>
          </w:tcPr>
          <w:p>
            <w:pPr>
              <w:pStyle w:val="TableParagraph"/>
              <w:spacing w:line="207" w:lineRule="exact" w:before="126"/>
              <w:ind w:right="104"/>
              <w:jc w:val="right"/>
              <w:rPr>
                <w:sz w:val="18"/>
              </w:rPr>
            </w:pPr>
            <w:r>
              <w:rPr>
                <w:w w:val="80"/>
                <w:sz w:val="18"/>
              </w:rPr>
              <w:t>--</w:t>
            </w:r>
          </w:p>
        </w:tc>
      </w:tr>
      <w:tr>
        <w:trPr>
          <w:trHeight w:val="235" w:hRule="atLeast"/>
        </w:trPr>
        <w:tc>
          <w:tcPr>
            <w:tcW w:w="3407" w:type="dxa"/>
          </w:tcPr>
          <w:p>
            <w:pPr>
              <w:pStyle w:val="TableParagraph"/>
              <w:spacing w:line="201" w:lineRule="exact" w:before="14"/>
              <w:ind w:left="50"/>
              <w:rPr>
                <w:sz w:val="18"/>
              </w:rPr>
            </w:pPr>
            <w:r>
              <w:rPr>
                <w:w w:val="110"/>
                <w:sz w:val="18"/>
              </w:rPr>
              <w:t>General Inv-Grade Intermediate Funds</w:t>
            </w:r>
          </w:p>
        </w:tc>
        <w:tc>
          <w:tcPr>
            <w:tcW w:w="3995" w:type="dxa"/>
          </w:tcPr>
          <w:p>
            <w:pPr>
              <w:pStyle w:val="TableParagraph"/>
              <w:spacing w:line="201" w:lineRule="exact" w:before="14"/>
              <w:ind w:left="339"/>
              <w:rPr>
                <w:sz w:val="18"/>
              </w:rPr>
            </w:pPr>
            <w:r>
              <w:rPr>
                <w:w w:val="105"/>
                <w:sz w:val="18"/>
              </w:rPr>
              <w:t>iBoxx $ Liquid Investment Grade</w:t>
            </w:r>
          </w:p>
        </w:tc>
        <w:tc>
          <w:tcPr>
            <w:tcW w:w="1052" w:type="dxa"/>
          </w:tcPr>
          <w:p>
            <w:pPr>
              <w:pStyle w:val="TableParagraph"/>
              <w:spacing w:line="201" w:lineRule="exact" w:before="14"/>
              <w:ind w:left="387" w:right="427"/>
              <w:jc w:val="center"/>
              <w:rPr>
                <w:sz w:val="18"/>
              </w:rPr>
            </w:pPr>
            <w:r>
              <w:rPr>
                <w:w w:val="110"/>
                <w:sz w:val="18"/>
              </w:rPr>
              <w:t>30</w:t>
            </w:r>
          </w:p>
        </w:tc>
        <w:tc>
          <w:tcPr>
            <w:tcW w:w="1093" w:type="dxa"/>
          </w:tcPr>
          <w:p>
            <w:pPr>
              <w:pStyle w:val="TableParagraph"/>
              <w:spacing w:line="201" w:lineRule="exact" w:before="14"/>
              <w:ind w:left="426" w:right="429"/>
              <w:jc w:val="center"/>
              <w:rPr>
                <w:sz w:val="18"/>
              </w:rPr>
            </w:pPr>
            <w:r>
              <w:rPr>
                <w:w w:val="110"/>
                <w:sz w:val="18"/>
              </w:rPr>
              <w:t>34</w:t>
            </w:r>
          </w:p>
        </w:tc>
        <w:tc>
          <w:tcPr>
            <w:tcW w:w="1093" w:type="dxa"/>
          </w:tcPr>
          <w:p>
            <w:pPr>
              <w:pStyle w:val="TableParagraph"/>
              <w:spacing w:line="201" w:lineRule="exact" w:before="14"/>
              <w:ind w:left="443"/>
              <w:rPr>
                <w:sz w:val="18"/>
              </w:rPr>
            </w:pPr>
            <w:r>
              <w:rPr>
                <w:w w:val="110"/>
                <w:sz w:val="18"/>
              </w:rPr>
              <w:t>58</w:t>
            </w:r>
          </w:p>
        </w:tc>
        <w:tc>
          <w:tcPr>
            <w:tcW w:w="1121" w:type="dxa"/>
          </w:tcPr>
          <w:p>
            <w:pPr>
              <w:pStyle w:val="TableParagraph"/>
              <w:spacing w:line="201" w:lineRule="exact" w:before="14"/>
              <w:ind w:left="442"/>
              <w:rPr>
                <w:sz w:val="18"/>
              </w:rPr>
            </w:pPr>
            <w:r>
              <w:rPr>
                <w:w w:val="110"/>
                <w:sz w:val="18"/>
              </w:rPr>
              <w:t>82</w:t>
            </w:r>
          </w:p>
        </w:tc>
        <w:tc>
          <w:tcPr>
            <w:tcW w:w="1174" w:type="dxa"/>
          </w:tcPr>
          <w:p>
            <w:pPr>
              <w:pStyle w:val="TableParagraph"/>
              <w:spacing w:line="201" w:lineRule="exact" w:before="14"/>
              <w:ind w:left="468"/>
              <w:rPr>
                <w:sz w:val="18"/>
              </w:rPr>
            </w:pPr>
            <w:r>
              <w:rPr>
                <w:w w:val="110"/>
                <w:sz w:val="18"/>
              </w:rPr>
              <w:t>90</w:t>
            </w:r>
          </w:p>
        </w:tc>
        <w:tc>
          <w:tcPr>
            <w:tcW w:w="751" w:type="dxa"/>
          </w:tcPr>
          <w:p>
            <w:pPr>
              <w:pStyle w:val="TableParagraph"/>
              <w:spacing w:line="201" w:lineRule="exact" w:before="14"/>
              <w:ind w:right="54"/>
              <w:jc w:val="right"/>
              <w:rPr>
                <w:sz w:val="18"/>
              </w:rPr>
            </w:pPr>
            <w:r>
              <w:rPr>
                <w:w w:val="110"/>
                <w:sz w:val="18"/>
              </w:rPr>
              <w:t>95</w:t>
            </w:r>
          </w:p>
        </w:tc>
      </w:tr>
      <w:tr>
        <w:trPr>
          <w:trHeight w:val="219" w:hRule="atLeast"/>
        </w:trPr>
        <w:tc>
          <w:tcPr>
            <w:tcW w:w="3407" w:type="dxa"/>
          </w:tcPr>
          <w:p>
            <w:pPr>
              <w:pStyle w:val="TableParagraph"/>
              <w:spacing w:line="191" w:lineRule="exact" w:before="8"/>
              <w:ind w:left="50"/>
              <w:rPr>
                <w:sz w:val="18"/>
              </w:rPr>
            </w:pPr>
            <w:r>
              <w:rPr>
                <w:w w:val="105"/>
                <w:sz w:val="18"/>
              </w:rPr>
              <w:t>New York Municipal Debt Funds</w:t>
            </w:r>
          </w:p>
        </w:tc>
        <w:tc>
          <w:tcPr>
            <w:tcW w:w="3995" w:type="dxa"/>
          </w:tcPr>
          <w:p>
            <w:pPr>
              <w:pStyle w:val="TableParagraph"/>
              <w:spacing w:line="191" w:lineRule="exact" w:before="8"/>
              <w:ind w:left="339"/>
              <w:rPr>
                <w:sz w:val="18"/>
              </w:rPr>
            </w:pPr>
            <w:r>
              <w:rPr>
                <w:w w:val="105"/>
                <w:sz w:val="18"/>
              </w:rPr>
              <w:t>S&amp;P New York AMT-Free Municipal Bond</w:t>
            </w:r>
          </w:p>
        </w:tc>
        <w:tc>
          <w:tcPr>
            <w:tcW w:w="1052" w:type="dxa"/>
          </w:tcPr>
          <w:p>
            <w:pPr>
              <w:pStyle w:val="TableParagraph"/>
              <w:spacing w:line="191" w:lineRule="exact" w:before="8"/>
              <w:ind w:left="387" w:right="427"/>
              <w:jc w:val="center"/>
              <w:rPr>
                <w:sz w:val="18"/>
              </w:rPr>
            </w:pPr>
            <w:r>
              <w:rPr>
                <w:w w:val="110"/>
                <w:sz w:val="18"/>
              </w:rPr>
              <w:t>15</w:t>
            </w:r>
          </w:p>
        </w:tc>
        <w:tc>
          <w:tcPr>
            <w:tcW w:w="1093" w:type="dxa"/>
          </w:tcPr>
          <w:p>
            <w:pPr>
              <w:pStyle w:val="TableParagraph"/>
              <w:spacing w:line="191" w:lineRule="exact" w:before="8"/>
              <w:ind w:left="426" w:right="429"/>
              <w:jc w:val="center"/>
              <w:rPr>
                <w:sz w:val="18"/>
              </w:rPr>
            </w:pPr>
            <w:r>
              <w:rPr>
                <w:w w:val="110"/>
                <w:sz w:val="18"/>
              </w:rPr>
              <w:t>89</w:t>
            </w:r>
          </w:p>
        </w:tc>
        <w:tc>
          <w:tcPr>
            <w:tcW w:w="1093" w:type="dxa"/>
          </w:tcPr>
          <w:p>
            <w:pPr>
              <w:pStyle w:val="TableParagraph"/>
              <w:spacing w:line="191" w:lineRule="exact" w:before="8"/>
              <w:ind w:left="443"/>
              <w:rPr>
                <w:sz w:val="18"/>
              </w:rPr>
            </w:pPr>
            <w:r>
              <w:rPr>
                <w:w w:val="110"/>
                <w:sz w:val="18"/>
              </w:rPr>
              <w:t>82</w:t>
            </w:r>
          </w:p>
        </w:tc>
        <w:tc>
          <w:tcPr>
            <w:tcW w:w="1121" w:type="dxa"/>
          </w:tcPr>
          <w:p>
            <w:pPr>
              <w:pStyle w:val="TableParagraph"/>
              <w:spacing w:line="191" w:lineRule="exact" w:before="8"/>
              <w:ind w:left="442"/>
              <w:rPr>
                <w:sz w:val="18"/>
              </w:rPr>
            </w:pPr>
            <w:r>
              <w:rPr>
                <w:w w:val="110"/>
                <w:sz w:val="18"/>
              </w:rPr>
              <w:t>78</w:t>
            </w:r>
          </w:p>
        </w:tc>
        <w:tc>
          <w:tcPr>
            <w:tcW w:w="1174" w:type="dxa"/>
          </w:tcPr>
          <w:p>
            <w:pPr>
              <w:pStyle w:val="TableParagraph"/>
              <w:spacing w:line="191" w:lineRule="exact" w:before="8"/>
              <w:ind w:left="468"/>
              <w:rPr>
                <w:sz w:val="18"/>
              </w:rPr>
            </w:pPr>
            <w:r>
              <w:rPr>
                <w:w w:val="110"/>
                <w:sz w:val="18"/>
              </w:rPr>
              <w:t>73</w:t>
            </w:r>
          </w:p>
        </w:tc>
        <w:tc>
          <w:tcPr>
            <w:tcW w:w="751" w:type="dxa"/>
          </w:tcPr>
          <w:p>
            <w:pPr>
              <w:pStyle w:val="TableParagraph"/>
              <w:spacing w:line="191" w:lineRule="exact" w:before="8"/>
              <w:ind w:right="104"/>
              <w:jc w:val="right"/>
              <w:rPr>
                <w:sz w:val="18"/>
              </w:rPr>
            </w:pPr>
            <w:r>
              <w:rPr>
                <w:w w:val="80"/>
                <w:sz w:val="18"/>
              </w:rPr>
              <w:t>--</w:t>
            </w:r>
          </w:p>
        </w:tc>
      </w:tr>
    </w:tbl>
    <w:p>
      <w:pPr>
        <w:pStyle w:val="BodyText"/>
        <w:rPr>
          <w:rFonts w:ascii="Gill Sans MT"/>
        </w:rPr>
      </w:pPr>
    </w:p>
    <w:p>
      <w:pPr>
        <w:pStyle w:val="BodyText"/>
        <w:rPr>
          <w:rFonts w:ascii="Gill Sans MT"/>
        </w:rPr>
      </w:pPr>
    </w:p>
    <w:p>
      <w:pPr>
        <w:pStyle w:val="BodyText"/>
        <w:spacing w:before="8"/>
        <w:rPr>
          <w:rFonts w:ascii="Gill Sans MT"/>
          <w:sz w:val="30"/>
        </w:rPr>
      </w:pPr>
    </w:p>
    <w:p>
      <w:pPr>
        <w:spacing w:before="1" w:after="5"/>
        <w:ind w:left="163" w:right="0" w:firstLine="0"/>
        <w:jc w:val="left"/>
        <w:rPr>
          <w:rFonts w:ascii="Gill Sans MT"/>
          <w:sz w:val="20"/>
        </w:rPr>
      </w:pPr>
      <w:r>
        <w:rPr>
          <w:rFonts w:ascii="Gill Sans MT"/>
          <w:w w:val="115"/>
          <w:sz w:val="20"/>
        </w:rPr>
        <w:t>Percent of Mutual Funds Merged or Liquidated</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2"/>
        <w:gridCol w:w="1092"/>
        <w:gridCol w:w="1092"/>
        <w:gridCol w:w="1092"/>
        <w:gridCol w:w="1092"/>
        <w:gridCol w:w="1199"/>
        <w:gridCol w:w="1199"/>
      </w:tblGrid>
      <w:tr>
        <w:trPr>
          <w:trHeight w:val="438" w:hRule="atLeast"/>
        </w:trPr>
        <w:tc>
          <w:tcPr>
            <w:tcW w:w="7342" w:type="dxa"/>
            <w:shd w:val="clear" w:color="auto" w:fill="014612"/>
          </w:tcPr>
          <w:p>
            <w:pPr>
              <w:pStyle w:val="TableParagraph"/>
              <w:spacing w:before="116"/>
              <w:ind w:left="28"/>
              <w:rPr>
                <w:sz w:val="18"/>
              </w:rPr>
            </w:pPr>
            <w:r>
              <w:rPr>
                <w:color w:val="FFFFFF"/>
                <w:w w:val="110"/>
                <w:sz w:val="18"/>
              </w:rPr>
              <w:t>Fund Category</w:t>
            </w:r>
          </w:p>
        </w:tc>
        <w:tc>
          <w:tcPr>
            <w:tcW w:w="1092" w:type="dxa"/>
            <w:shd w:val="clear" w:color="auto" w:fill="014612"/>
          </w:tcPr>
          <w:p>
            <w:pPr>
              <w:pStyle w:val="TableParagraph"/>
              <w:spacing w:before="4"/>
              <w:ind w:left="76" w:right="82"/>
              <w:jc w:val="center"/>
              <w:rPr>
                <w:sz w:val="18"/>
              </w:rPr>
            </w:pPr>
            <w:r>
              <w:rPr>
                <w:color w:val="FFFFFF"/>
                <w:sz w:val="18"/>
              </w:rPr>
              <w:t>One Year</w:t>
            </w:r>
          </w:p>
          <w:p>
            <w:pPr>
              <w:pStyle w:val="TableParagraph"/>
              <w:spacing w:line="184" w:lineRule="exact" w:before="21"/>
              <w:ind w:left="82" w:right="77"/>
              <w:jc w:val="center"/>
              <w:rPr>
                <w:sz w:val="18"/>
              </w:rPr>
            </w:pPr>
            <w:r>
              <w:rPr>
                <w:color w:val="FFFFFF"/>
                <w:w w:val="105"/>
                <w:sz w:val="18"/>
              </w:rPr>
              <w:t>(%)</w:t>
            </w:r>
          </w:p>
        </w:tc>
        <w:tc>
          <w:tcPr>
            <w:tcW w:w="1092" w:type="dxa"/>
            <w:shd w:val="clear" w:color="auto" w:fill="014612"/>
          </w:tcPr>
          <w:p>
            <w:pPr>
              <w:pStyle w:val="TableParagraph"/>
              <w:spacing w:before="4"/>
              <w:ind w:left="82" w:right="82"/>
              <w:jc w:val="center"/>
              <w:rPr>
                <w:sz w:val="18"/>
              </w:rPr>
            </w:pPr>
            <w:r>
              <w:rPr>
                <w:color w:val="FFFFFF"/>
                <w:w w:val="105"/>
                <w:sz w:val="18"/>
              </w:rPr>
              <w:t>Three Year</w:t>
            </w:r>
          </w:p>
          <w:p>
            <w:pPr>
              <w:pStyle w:val="TableParagraph"/>
              <w:spacing w:line="184" w:lineRule="exact" w:before="21"/>
              <w:ind w:left="82" w:right="77"/>
              <w:jc w:val="center"/>
              <w:rPr>
                <w:sz w:val="18"/>
              </w:rPr>
            </w:pPr>
            <w:r>
              <w:rPr>
                <w:color w:val="FFFFFF"/>
                <w:w w:val="105"/>
                <w:sz w:val="18"/>
              </w:rPr>
              <w:t>(%)</w:t>
            </w:r>
          </w:p>
        </w:tc>
        <w:tc>
          <w:tcPr>
            <w:tcW w:w="1092" w:type="dxa"/>
            <w:shd w:val="clear" w:color="auto" w:fill="014612"/>
          </w:tcPr>
          <w:p>
            <w:pPr>
              <w:pStyle w:val="TableParagraph"/>
              <w:spacing w:before="4"/>
              <w:ind w:left="76" w:right="82"/>
              <w:jc w:val="center"/>
              <w:rPr>
                <w:sz w:val="18"/>
              </w:rPr>
            </w:pPr>
            <w:r>
              <w:rPr>
                <w:color w:val="FFFFFF"/>
                <w:w w:val="110"/>
                <w:sz w:val="18"/>
              </w:rPr>
              <w:t>Five Year</w:t>
            </w:r>
          </w:p>
          <w:p>
            <w:pPr>
              <w:pStyle w:val="TableParagraph"/>
              <w:spacing w:line="184" w:lineRule="exact" w:before="21"/>
              <w:ind w:left="82" w:right="77"/>
              <w:jc w:val="center"/>
              <w:rPr>
                <w:sz w:val="18"/>
              </w:rPr>
            </w:pPr>
            <w:r>
              <w:rPr>
                <w:color w:val="FFFFFF"/>
                <w:w w:val="105"/>
                <w:sz w:val="18"/>
              </w:rPr>
              <w:t>(%)</w:t>
            </w:r>
          </w:p>
        </w:tc>
        <w:tc>
          <w:tcPr>
            <w:tcW w:w="1092" w:type="dxa"/>
            <w:shd w:val="clear" w:color="auto" w:fill="014612"/>
          </w:tcPr>
          <w:p>
            <w:pPr>
              <w:pStyle w:val="TableParagraph"/>
              <w:spacing w:before="4"/>
              <w:ind w:left="76" w:right="82"/>
              <w:jc w:val="center"/>
              <w:rPr>
                <w:sz w:val="18"/>
              </w:rPr>
            </w:pPr>
            <w:r>
              <w:rPr>
                <w:color w:val="FFFFFF"/>
                <w:w w:val="105"/>
                <w:sz w:val="18"/>
              </w:rPr>
              <w:t>Ten Year</w:t>
            </w:r>
          </w:p>
          <w:p>
            <w:pPr>
              <w:pStyle w:val="TableParagraph"/>
              <w:spacing w:line="184" w:lineRule="exact" w:before="21"/>
              <w:ind w:left="82" w:right="77"/>
              <w:jc w:val="center"/>
              <w:rPr>
                <w:sz w:val="18"/>
              </w:rPr>
            </w:pPr>
            <w:r>
              <w:rPr>
                <w:color w:val="FFFFFF"/>
                <w:w w:val="105"/>
                <w:sz w:val="18"/>
              </w:rPr>
              <w:t>(%)</w:t>
            </w:r>
          </w:p>
        </w:tc>
        <w:tc>
          <w:tcPr>
            <w:tcW w:w="1199" w:type="dxa"/>
            <w:shd w:val="clear" w:color="auto" w:fill="014612"/>
          </w:tcPr>
          <w:p>
            <w:pPr>
              <w:pStyle w:val="TableParagraph"/>
              <w:spacing w:before="4"/>
              <w:ind w:left="73" w:right="79"/>
              <w:jc w:val="center"/>
              <w:rPr>
                <w:sz w:val="18"/>
              </w:rPr>
            </w:pPr>
            <w:r>
              <w:rPr>
                <w:color w:val="FFFFFF"/>
                <w:w w:val="110"/>
                <w:sz w:val="18"/>
              </w:rPr>
              <w:t>Fifteen Year</w:t>
            </w:r>
          </w:p>
          <w:p>
            <w:pPr>
              <w:pStyle w:val="TableParagraph"/>
              <w:spacing w:line="184" w:lineRule="exact" w:before="21"/>
              <w:ind w:left="73" w:right="73"/>
              <w:jc w:val="center"/>
              <w:rPr>
                <w:sz w:val="18"/>
              </w:rPr>
            </w:pPr>
            <w:r>
              <w:rPr>
                <w:color w:val="FFFFFF"/>
                <w:w w:val="105"/>
                <w:sz w:val="18"/>
              </w:rPr>
              <w:t>(%)</w:t>
            </w:r>
          </w:p>
        </w:tc>
        <w:tc>
          <w:tcPr>
            <w:tcW w:w="1199" w:type="dxa"/>
            <w:shd w:val="clear" w:color="auto" w:fill="014612"/>
          </w:tcPr>
          <w:p>
            <w:pPr>
              <w:pStyle w:val="TableParagraph"/>
              <w:spacing w:before="4"/>
              <w:ind w:left="73" w:right="81"/>
              <w:jc w:val="center"/>
              <w:rPr>
                <w:sz w:val="18"/>
              </w:rPr>
            </w:pPr>
            <w:r>
              <w:rPr>
                <w:color w:val="FFFFFF"/>
                <w:w w:val="105"/>
                <w:sz w:val="18"/>
              </w:rPr>
              <w:t>Twenty Year</w:t>
            </w:r>
          </w:p>
          <w:p>
            <w:pPr>
              <w:pStyle w:val="TableParagraph"/>
              <w:spacing w:line="184" w:lineRule="exact" w:before="21"/>
              <w:ind w:left="73" w:right="73"/>
              <w:jc w:val="center"/>
              <w:rPr>
                <w:sz w:val="18"/>
              </w:rPr>
            </w:pPr>
            <w:r>
              <w:rPr>
                <w:color w:val="FFFFFF"/>
                <w:w w:val="105"/>
                <w:sz w:val="18"/>
              </w:rPr>
              <w:t>(%)</w:t>
            </w:r>
          </w:p>
        </w:tc>
      </w:tr>
    </w:tbl>
    <w:p>
      <w:pPr>
        <w:pStyle w:val="BodyText"/>
        <w:spacing w:before="10" w:after="1"/>
        <w:rPr>
          <w:rFonts w:ascii="Gill Sans MT"/>
          <w:sz w:val="20"/>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90"/>
        <w:gridCol w:w="3438"/>
        <w:gridCol w:w="1118"/>
        <w:gridCol w:w="1093"/>
        <w:gridCol w:w="1121"/>
        <w:gridCol w:w="1174"/>
        <w:gridCol w:w="751"/>
      </w:tblGrid>
      <w:tr>
        <w:trPr>
          <w:trHeight w:val="219" w:hRule="atLeast"/>
        </w:trPr>
        <w:tc>
          <w:tcPr>
            <w:tcW w:w="4990" w:type="dxa"/>
          </w:tcPr>
          <w:p>
            <w:pPr>
              <w:pStyle w:val="TableParagraph"/>
              <w:spacing w:line="200" w:lineRule="exact"/>
              <w:ind w:left="50"/>
              <w:rPr>
                <w:sz w:val="18"/>
              </w:rPr>
            </w:pPr>
            <w:r>
              <w:rPr>
                <w:w w:val="110"/>
                <w:sz w:val="18"/>
              </w:rPr>
              <w:t>Domestic Equity Funds</w:t>
            </w:r>
          </w:p>
        </w:tc>
        <w:tc>
          <w:tcPr>
            <w:tcW w:w="3438" w:type="dxa"/>
          </w:tcPr>
          <w:p>
            <w:pPr>
              <w:pStyle w:val="TableParagraph"/>
              <w:spacing w:line="200" w:lineRule="exact"/>
              <w:ind w:right="469"/>
              <w:jc w:val="right"/>
              <w:rPr>
                <w:sz w:val="18"/>
              </w:rPr>
            </w:pPr>
            <w:r>
              <w:rPr>
                <w:w w:val="111"/>
                <w:sz w:val="18"/>
              </w:rPr>
              <w:t>3</w:t>
            </w:r>
          </w:p>
        </w:tc>
        <w:tc>
          <w:tcPr>
            <w:tcW w:w="1118" w:type="dxa"/>
          </w:tcPr>
          <w:p>
            <w:pPr>
              <w:pStyle w:val="TableParagraph"/>
              <w:spacing w:line="200" w:lineRule="exact"/>
              <w:ind w:left="23"/>
              <w:jc w:val="center"/>
              <w:rPr>
                <w:sz w:val="18"/>
              </w:rPr>
            </w:pPr>
            <w:r>
              <w:rPr>
                <w:w w:val="111"/>
                <w:sz w:val="18"/>
              </w:rPr>
              <w:t>9</w:t>
            </w:r>
          </w:p>
        </w:tc>
        <w:tc>
          <w:tcPr>
            <w:tcW w:w="1093" w:type="dxa"/>
          </w:tcPr>
          <w:p>
            <w:pPr>
              <w:pStyle w:val="TableParagraph"/>
              <w:spacing w:line="200" w:lineRule="exact"/>
              <w:ind w:left="444"/>
              <w:rPr>
                <w:sz w:val="18"/>
              </w:rPr>
            </w:pPr>
            <w:r>
              <w:rPr>
                <w:w w:val="110"/>
                <w:sz w:val="18"/>
              </w:rPr>
              <w:t>16</w:t>
            </w:r>
          </w:p>
        </w:tc>
        <w:tc>
          <w:tcPr>
            <w:tcW w:w="1121" w:type="dxa"/>
          </w:tcPr>
          <w:p>
            <w:pPr>
              <w:pStyle w:val="TableParagraph"/>
              <w:spacing w:line="200" w:lineRule="exact"/>
              <w:ind w:left="443"/>
              <w:rPr>
                <w:sz w:val="18"/>
              </w:rPr>
            </w:pPr>
            <w:r>
              <w:rPr>
                <w:w w:val="110"/>
                <w:sz w:val="18"/>
              </w:rPr>
              <w:t>36</w:t>
            </w:r>
          </w:p>
        </w:tc>
        <w:tc>
          <w:tcPr>
            <w:tcW w:w="1174" w:type="dxa"/>
          </w:tcPr>
          <w:p>
            <w:pPr>
              <w:pStyle w:val="TableParagraph"/>
              <w:spacing w:line="200" w:lineRule="exact"/>
              <w:ind w:left="469"/>
              <w:rPr>
                <w:sz w:val="18"/>
              </w:rPr>
            </w:pPr>
            <w:r>
              <w:rPr>
                <w:w w:val="110"/>
                <w:sz w:val="18"/>
              </w:rPr>
              <w:t>51</w:t>
            </w:r>
          </w:p>
        </w:tc>
        <w:tc>
          <w:tcPr>
            <w:tcW w:w="751" w:type="dxa"/>
          </w:tcPr>
          <w:p>
            <w:pPr>
              <w:pStyle w:val="TableParagraph"/>
              <w:spacing w:line="200" w:lineRule="exact"/>
              <w:ind w:right="53"/>
              <w:jc w:val="right"/>
              <w:rPr>
                <w:sz w:val="18"/>
              </w:rPr>
            </w:pPr>
            <w:r>
              <w:rPr>
                <w:w w:val="110"/>
                <w:sz w:val="18"/>
              </w:rPr>
              <w:t>64</w:t>
            </w:r>
          </w:p>
        </w:tc>
      </w:tr>
      <w:tr>
        <w:trPr>
          <w:trHeight w:val="219" w:hRule="atLeast"/>
        </w:trPr>
        <w:tc>
          <w:tcPr>
            <w:tcW w:w="4990" w:type="dxa"/>
          </w:tcPr>
          <w:p>
            <w:pPr>
              <w:pStyle w:val="TableParagraph"/>
              <w:spacing w:line="191" w:lineRule="exact" w:before="8"/>
              <w:ind w:left="50"/>
              <w:rPr>
                <w:sz w:val="18"/>
              </w:rPr>
            </w:pPr>
            <w:r>
              <w:rPr>
                <w:w w:val="110"/>
                <w:sz w:val="18"/>
              </w:rPr>
              <w:t>International Equity Funds</w:t>
            </w:r>
          </w:p>
        </w:tc>
        <w:tc>
          <w:tcPr>
            <w:tcW w:w="3438" w:type="dxa"/>
          </w:tcPr>
          <w:p>
            <w:pPr>
              <w:pStyle w:val="TableParagraph"/>
              <w:spacing w:line="191" w:lineRule="exact" w:before="8"/>
              <w:ind w:right="469"/>
              <w:jc w:val="right"/>
              <w:rPr>
                <w:sz w:val="18"/>
              </w:rPr>
            </w:pPr>
            <w:r>
              <w:rPr>
                <w:w w:val="111"/>
                <w:sz w:val="18"/>
              </w:rPr>
              <w:t>6</w:t>
            </w:r>
          </w:p>
        </w:tc>
        <w:tc>
          <w:tcPr>
            <w:tcW w:w="1118" w:type="dxa"/>
          </w:tcPr>
          <w:p>
            <w:pPr>
              <w:pStyle w:val="TableParagraph"/>
              <w:spacing w:line="191" w:lineRule="exact" w:before="8"/>
              <w:ind w:left="451" w:right="428"/>
              <w:jc w:val="center"/>
              <w:rPr>
                <w:sz w:val="18"/>
              </w:rPr>
            </w:pPr>
            <w:r>
              <w:rPr>
                <w:w w:val="110"/>
                <w:sz w:val="18"/>
              </w:rPr>
              <w:t>13</w:t>
            </w:r>
          </w:p>
        </w:tc>
        <w:tc>
          <w:tcPr>
            <w:tcW w:w="1093" w:type="dxa"/>
          </w:tcPr>
          <w:p>
            <w:pPr>
              <w:pStyle w:val="TableParagraph"/>
              <w:spacing w:line="191" w:lineRule="exact" w:before="8"/>
              <w:ind w:left="444"/>
              <w:rPr>
                <w:sz w:val="18"/>
              </w:rPr>
            </w:pPr>
            <w:r>
              <w:rPr>
                <w:w w:val="110"/>
                <w:sz w:val="18"/>
              </w:rPr>
              <w:t>20</w:t>
            </w:r>
          </w:p>
        </w:tc>
        <w:tc>
          <w:tcPr>
            <w:tcW w:w="1121" w:type="dxa"/>
          </w:tcPr>
          <w:p>
            <w:pPr>
              <w:pStyle w:val="TableParagraph"/>
              <w:spacing w:line="191" w:lineRule="exact" w:before="8"/>
              <w:ind w:left="443"/>
              <w:rPr>
                <w:sz w:val="18"/>
              </w:rPr>
            </w:pPr>
            <w:r>
              <w:rPr>
                <w:w w:val="110"/>
                <w:sz w:val="18"/>
              </w:rPr>
              <w:t>36</w:t>
            </w:r>
          </w:p>
        </w:tc>
        <w:tc>
          <w:tcPr>
            <w:tcW w:w="1174" w:type="dxa"/>
          </w:tcPr>
          <w:p>
            <w:pPr>
              <w:pStyle w:val="TableParagraph"/>
              <w:spacing w:line="191" w:lineRule="exact" w:before="8"/>
              <w:ind w:left="469"/>
              <w:rPr>
                <w:sz w:val="18"/>
              </w:rPr>
            </w:pPr>
            <w:r>
              <w:rPr>
                <w:w w:val="110"/>
                <w:sz w:val="18"/>
              </w:rPr>
              <w:t>53</w:t>
            </w:r>
          </w:p>
        </w:tc>
        <w:tc>
          <w:tcPr>
            <w:tcW w:w="751" w:type="dxa"/>
          </w:tcPr>
          <w:p>
            <w:pPr>
              <w:pStyle w:val="TableParagraph"/>
              <w:spacing w:line="191" w:lineRule="exact" w:before="8"/>
              <w:ind w:right="53"/>
              <w:jc w:val="right"/>
              <w:rPr>
                <w:sz w:val="18"/>
              </w:rPr>
            </w:pPr>
            <w:r>
              <w:rPr>
                <w:w w:val="110"/>
                <w:sz w:val="18"/>
              </w:rPr>
              <w:t>64</w:t>
            </w:r>
          </w:p>
        </w:tc>
      </w:tr>
    </w:tbl>
    <w:p>
      <w:pPr>
        <w:pStyle w:val="BodyText"/>
        <w:rPr>
          <w:rFonts w:ascii="Gill Sans MT"/>
        </w:rPr>
      </w:pPr>
    </w:p>
    <w:p>
      <w:pPr>
        <w:spacing w:line="247" w:lineRule="auto" w:before="167"/>
        <w:ind w:left="138" w:right="431" w:firstLine="0"/>
        <w:jc w:val="left"/>
        <w:rPr>
          <w:rFonts w:ascii="Gill Sans MT"/>
          <w:sz w:val="14"/>
        </w:rPr>
      </w:pPr>
      <w:r>
        <w:rPr>
          <w:rFonts w:ascii="Gill Sans MT"/>
          <w:w w:val="110"/>
          <w:sz w:val="14"/>
        </w:rPr>
        <w:t>Source:</w:t>
      </w:r>
      <w:r>
        <w:rPr>
          <w:rFonts w:ascii="Gill Sans MT"/>
          <w:spacing w:val="-6"/>
          <w:w w:val="110"/>
          <w:sz w:val="14"/>
        </w:rPr>
        <w:t> </w:t>
      </w:r>
      <w:r>
        <w:rPr>
          <w:rFonts w:ascii="Gill Sans MT"/>
          <w:w w:val="110"/>
          <w:sz w:val="14"/>
        </w:rPr>
        <w:t>S&amp;P</w:t>
      </w:r>
      <w:r>
        <w:rPr>
          <w:rFonts w:ascii="Gill Sans MT"/>
          <w:spacing w:val="-8"/>
          <w:w w:val="110"/>
          <w:sz w:val="14"/>
        </w:rPr>
        <w:t> </w:t>
      </w:r>
      <w:r>
        <w:rPr>
          <w:rFonts w:ascii="Gill Sans MT"/>
          <w:w w:val="110"/>
          <w:sz w:val="14"/>
        </w:rPr>
        <w:t>Dow</w:t>
      </w:r>
      <w:r>
        <w:rPr>
          <w:rFonts w:ascii="Gill Sans MT"/>
          <w:spacing w:val="-8"/>
          <w:w w:val="110"/>
          <w:sz w:val="14"/>
        </w:rPr>
        <w:t> </w:t>
      </w:r>
      <w:r>
        <w:rPr>
          <w:rFonts w:ascii="Gill Sans MT"/>
          <w:w w:val="110"/>
          <w:sz w:val="14"/>
        </w:rPr>
        <w:t>Jones</w:t>
      </w:r>
      <w:r>
        <w:rPr>
          <w:rFonts w:ascii="Gill Sans MT"/>
          <w:spacing w:val="-6"/>
          <w:w w:val="110"/>
          <w:sz w:val="14"/>
        </w:rPr>
        <w:t> </w:t>
      </w:r>
      <w:r>
        <w:rPr>
          <w:rFonts w:ascii="Gill Sans MT"/>
          <w:w w:val="110"/>
          <w:sz w:val="14"/>
        </w:rPr>
        <w:t>Indices</w:t>
      </w:r>
      <w:r>
        <w:rPr>
          <w:rFonts w:ascii="Gill Sans MT"/>
          <w:spacing w:val="-2"/>
          <w:w w:val="110"/>
          <w:sz w:val="14"/>
        </w:rPr>
        <w:t> </w:t>
      </w:r>
      <w:r>
        <w:rPr>
          <w:rFonts w:ascii="Gill Sans MT"/>
          <w:w w:val="110"/>
          <w:sz w:val="14"/>
        </w:rPr>
        <w:t>LLC.</w:t>
      </w:r>
      <w:r>
        <w:rPr>
          <w:rFonts w:ascii="Gill Sans MT"/>
          <w:spacing w:val="24"/>
          <w:w w:val="110"/>
          <w:sz w:val="14"/>
        </w:rPr>
        <w:t> </w:t>
      </w:r>
      <w:r>
        <w:rPr>
          <w:rFonts w:ascii="Gill Sans MT"/>
          <w:w w:val="110"/>
          <w:sz w:val="14"/>
        </w:rPr>
        <w:t>Data</w:t>
      </w:r>
      <w:r>
        <w:rPr>
          <w:rFonts w:ascii="Gill Sans MT"/>
          <w:spacing w:val="-10"/>
          <w:w w:val="110"/>
          <w:sz w:val="14"/>
        </w:rPr>
        <w:t> </w:t>
      </w:r>
      <w:r>
        <w:rPr>
          <w:rFonts w:ascii="Gill Sans MT"/>
          <w:w w:val="110"/>
          <w:sz w:val="14"/>
        </w:rPr>
        <w:t>as</w:t>
      </w:r>
      <w:r>
        <w:rPr>
          <w:rFonts w:ascii="Gill Sans MT"/>
          <w:spacing w:val="-9"/>
          <w:w w:val="110"/>
          <w:sz w:val="14"/>
        </w:rPr>
        <w:t> </w:t>
      </w:r>
      <w:r>
        <w:rPr>
          <w:rFonts w:ascii="Gill Sans MT"/>
          <w:w w:val="110"/>
          <w:sz w:val="14"/>
        </w:rPr>
        <w:t>of</w:t>
      </w:r>
      <w:r>
        <w:rPr>
          <w:rFonts w:ascii="Gill Sans MT"/>
          <w:spacing w:val="-9"/>
          <w:w w:val="110"/>
          <w:sz w:val="14"/>
        </w:rPr>
        <w:t> </w:t>
      </w:r>
      <w:r>
        <w:rPr>
          <w:rFonts w:ascii="Gill Sans MT"/>
          <w:w w:val="110"/>
          <w:sz w:val="14"/>
        </w:rPr>
        <w:t>December</w:t>
      </w:r>
      <w:r>
        <w:rPr>
          <w:rFonts w:ascii="Gill Sans MT"/>
          <w:spacing w:val="-5"/>
          <w:w w:val="110"/>
          <w:sz w:val="14"/>
        </w:rPr>
        <w:t> </w:t>
      </w:r>
      <w:r>
        <w:rPr>
          <w:rFonts w:ascii="Gill Sans MT"/>
          <w:w w:val="110"/>
          <w:sz w:val="14"/>
        </w:rPr>
        <w:t>31,</w:t>
      </w:r>
      <w:r>
        <w:rPr>
          <w:rFonts w:ascii="Gill Sans MT"/>
          <w:spacing w:val="-14"/>
          <w:w w:val="110"/>
          <w:sz w:val="14"/>
        </w:rPr>
        <w:t> </w:t>
      </w:r>
      <w:r>
        <w:rPr>
          <w:rFonts w:ascii="Gill Sans MT"/>
          <w:w w:val="110"/>
          <w:sz w:val="14"/>
        </w:rPr>
        <w:t>2024.</w:t>
      </w:r>
      <w:r>
        <w:rPr>
          <w:rFonts w:ascii="Gill Sans MT"/>
          <w:spacing w:val="20"/>
          <w:w w:val="110"/>
          <w:sz w:val="14"/>
        </w:rPr>
        <w:t> </w:t>
      </w:r>
      <w:r>
        <w:rPr>
          <w:rFonts w:ascii="Gill Sans MT"/>
          <w:w w:val="110"/>
          <w:sz w:val="14"/>
        </w:rPr>
        <w:t>Outperformance</w:t>
      </w:r>
      <w:r>
        <w:rPr>
          <w:rFonts w:ascii="Gill Sans MT"/>
          <w:spacing w:val="-8"/>
          <w:w w:val="110"/>
          <w:sz w:val="14"/>
        </w:rPr>
        <w:t> </w:t>
      </w:r>
      <w:r>
        <w:rPr>
          <w:rFonts w:ascii="Gill Sans MT"/>
          <w:w w:val="110"/>
          <w:sz w:val="14"/>
        </w:rPr>
        <w:t>is</w:t>
      </w:r>
      <w:r>
        <w:rPr>
          <w:rFonts w:ascii="Gill Sans MT"/>
          <w:spacing w:val="-8"/>
          <w:w w:val="110"/>
          <w:sz w:val="14"/>
        </w:rPr>
        <w:t> </w:t>
      </w:r>
      <w:r>
        <w:rPr>
          <w:rFonts w:ascii="Gill Sans MT"/>
          <w:w w:val="110"/>
          <w:sz w:val="14"/>
        </w:rPr>
        <w:t>based</w:t>
      </w:r>
      <w:r>
        <w:rPr>
          <w:rFonts w:ascii="Gill Sans MT"/>
          <w:spacing w:val="-10"/>
          <w:w w:val="110"/>
          <w:sz w:val="14"/>
        </w:rPr>
        <w:t> </w:t>
      </w:r>
      <w:r>
        <w:rPr>
          <w:rFonts w:ascii="Gill Sans MT"/>
          <w:w w:val="110"/>
          <w:sz w:val="14"/>
        </w:rPr>
        <w:t>upon</w:t>
      </w:r>
      <w:r>
        <w:rPr>
          <w:rFonts w:ascii="Gill Sans MT"/>
          <w:spacing w:val="-9"/>
          <w:w w:val="110"/>
          <w:sz w:val="14"/>
        </w:rPr>
        <w:t> </w:t>
      </w:r>
      <w:r>
        <w:rPr>
          <w:rFonts w:ascii="Gill Sans MT"/>
          <w:w w:val="110"/>
          <w:sz w:val="14"/>
        </w:rPr>
        <w:t>equal</w:t>
      </w:r>
      <w:r>
        <w:rPr>
          <w:rFonts w:ascii="Gill Sans MT"/>
          <w:spacing w:val="-9"/>
          <w:w w:val="110"/>
          <w:sz w:val="14"/>
        </w:rPr>
        <w:t> </w:t>
      </w:r>
      <w:r>
        <w:rPr>
          <w:rFonts w:ascii="Gill Sans MT"/>
          <w:w w:val="110"/>
          <w:sz w:val="14"/>
        </w:rPr>
        <w:t>weighted</w:t>
      </w:r>
      <w:r>
        <w:rPr>
          <w:rFonts w:ascii="Gill Sans MT"/>
          <w:spacing w:val="-7"/>
          <w:w w:val="110"/>
          <w:sz w:val="14"/>
        </w:rPr>
        <w:t> </w:t>
      </w:r>
      <w:r>
        <w:rPr>
          <w:rFonts w:ascii="Gill Sans MT"/>
          <w:w w:val="110"/>
          <w:sz w:val="14"/>
        </w:rPr>
        <w:t>fund</w:t>
      </w:r>
      <w:r>
        <w:rPr>
          <w:rFonts w:ascii="Gill Sans MT"/>
          <w:spacing w:val="-6"/>
          <w:w w:val="110"/>
          <w:sz w:val="14"/>
        </w:rPr>
        <w:t> </w:t>
      </w:r>
      <w:r>
        <w:rPr>
          <w:rFonts w:ascii="Gill Sans MT"/>
          <w:w w:val="110"/>
          <w:sz w:val="14"/>
        </w:rPr>
        <w:t>counts.</w:t>
      </w:r>
      <w:r>
        <w:rPr>
          <w:rFonts w:ascii="Gill Sans MT"/>
          <w:spacing w:val="-7"/>
          <w:w w:val="110"/>
          <w:sz w:val="14"/>
        </w:rPr>
        <w:t> </w:t>
      </w:r>
      <w:r>
        <w:rPr>
          <w:rFonts w:ascii="Gill Sans MT"/>
          <w:w w:val="110"/>
          <w:sz w:val="14"/>
        </w:rPr>
        <w:t>All</w:t>
      </w:r>
      <w:r>
        <w:rPr>
          <w:rFonts w:ascii="Gill Sans MT"/>
          <w:spacing w:val="-6"/>
          <w:w w:val="110"/>
          <w:sz w:val="14"/>
        </w:rPr>
        <w:t> </w:t>
      </w:r>
      <w:r>
        <w:rPr>
          <w:rFonts w:ascii="Gill Sans MT"/>
          <w:w w:val="110"/>
          <w:sz w:val="14"/>
        </w:rPr>
        <w:t>index</w:t>
      </w:r>
      <w:r>
        <w:rPr>
          <w:rFonts w:ascii="Gill Sans MT"/>
          <w:spacing w:val="-5"/>
          <w:w w:val="110"/>
          <w:sz w:val="14"/>
        </w:rPr>
        <w:t> </w:t>
      </w:r>
      <w:r>
        <w:rPr>
          <w:rFonts w:ascii="Gill Sans MT"/>
          <w:w w:val="110"/>
          <w:sz w:val="14"/>
        </w:rPr>
        <w:t>returns</w:t>
      </w:r>
      <w:r>
        <w:rPr>
          <w:rFonts w:ascii="Gill Sans MT"/>
          <w:spacing w:val="-8"/>
          <w:w w:val="110"/>
          <w:sz w:val="14"/>
        </w:rPr>
        <w:t> </w:t>
      </w:r>
      <w:r>
        <w:rPr>
          <w:rFonts w:ascii="Gill Sans MT"/>
          <w:w w:val="110"/>
          <w:sz w:val="14"/>
        </w:rPr>
        <w:t>used</w:t>
      </w:r>
      <w:r>
        <w:rPr>
          <w:rFonts w:ascii="Gill Sans MT"/>
          <w:spacing w:val="-6"/>
          <w:w w:val="110"/>
          <w:sz w:val="14"/>
        </w:rPr>
        <w:t> </w:t>
      </w:r>
      <w:r>
        <w:rPr>
          <w:rFonts w:ascii="Gill Sans MT"/>
          <w:w w:val="110"/>
          <w:sz w:val="14"/>
        </w:rPr>
        <w:t>are</w:t>
      </w:r>
      <w:r>
        <w:rPr>
          <w:rFonts w:ascii="Gill Sans MT"/>
          <w:spacing w:val="-10"/>
          <w:w w:val="110"/>
          <w:sz w:val="14"/>
        </w:rPr>
        <w:t> </w:t>
      </w:r>
      <w:r>
        <w:rPr>
          <w:rFonts w:ascii="Gill Sans MT"/>
          <w:w w:val="110"/>
          <w:sz w:val="14"/>
        </w:rPr>
        <w:t>total</w:t>
      </w:r>
      <w:r>
        <w:rPr>
          <w:rFonts w:ascii="Gill Sans MT"/>
          <w:spacing w:val="-10"/>
          <w:w w:val="110"/>
          <w:sz w:val="14"/>
        </w:rPr>
        <w:t> </w:t>
      </w:r>
      <w:r>
        <w:rPr>
          <w:rFonts w:ascii="Gill Sans MT"/>
          <w:w w:val="110"/>
          <w:sz w:val="14"/>
        </w:rPr>
        <w:t>returns.</w:t>
      </w:r>
      <w:r>
        <w:rPr>
          <w:rFonts w:ascii="Gill Sans MT"/>
          <w:spacing w:val="-6"/>
          <w:w w:val="110"/>
          <w:sz w:val="14"/>
        </w:rPr>
        <w:t> </w:t>
      </w:r>
      <w:r>
        <w:rPr>
          <w:rFonts w:ascii="Gill Sans MT"/>
          <w:w w:val="110"/>
          <w:sz w:val="14"/>
        </w:rPr>
        <w:t>Table</w:t>
      </w:r>
      <w:r>
        <w:rPr>
          <w:rFonts w:ascii="Gill Sans MT"/>
          <w:spacing w:val="-13"/>
          <w:w w:val="110"/>
          <w:sz w:val="14"/>
        </w:rPr>
        <w:t> </w:t>
      </w:r>
      <w:r>
        <w:rPr>
          <w:rFonts w:ascii="Gill Sans MT"/>
          <w:w w:val="110"/>
          <w:sz w:val="14"/>
        </w:rPr>
        <w:t>is</w:t>
      </w:r>
      <w:r>
        <w:rPr>
          <w:rFonts w:ascii="Gill Sans MT"/>
          <w:spacing w:val="-8"/>
          <w:w w:val="110"/>
          <w:sz w:val="14"/>
        </w:rPr>
        <w:t> </w:t>
      </w:r>
      <w:r>
        <w:rPr>
          <w:rFonts w:ascii="Gill Sans MT"/>
          <w:w w:val="110"/>
          <w:sz w:val="14"/>
        </w:rPr>
        <w:t>provided</w:t>
      </w:r>
      <w:r>
        <w:rPr>
          <w:rFonts w:ascii="Gill Sans MT"/>
          <w:spacing w:val="-6"/>
          <w:w w:val="110"/>
          <w:sz w:val="14"/>
        </w:rPr>
        <w:t> </w:t>
      </w:r>
      <w:r>
        <w:rPr>
          <w:rFonts w:ascii="Gill Sans MT"/>
          <w:w w:val="110"/>
          <w:sz w:val="14"/>
        </w:rPr>
        <w:t>for</w:t>
      </w:r>
      <w:r>
        <w:rPr>
          <w:rFonts w:ascii="Gill Sans MT"/>
          <w:spacing w:val="-8"/>
          <w:w w:val="110"/>
          <w:sz w:val="14"/>
        </w:rPr>
        <w:t> </w:t>
      </w:r>
      <w:r>
        <w:rPr>
          <w:rFonts w:ascii="Gill Sans MT"/>
          <w:w w:val="110"/>
          <w:sz w:val="14"/>
        </w:rPr>
        <w:t>illustrative</w:t>
      </w:r>
      <w:r>
        <w:rPr>
          <w:rFonts w:ascii="Gill Sans MT"/>
          <w:spacing w:val="-6"/>
          <w:w w:val="110"/>
          <w:sz w:val="14"/>
        </w:rPr>
        <w:t> </w:t>
      </w:r>
      <w:r>
        <w:rPr>
          <w:rFonts w:ascii="Gill Sans MT"/>
          <w:w w:val="110"/>
          <w:sz w:val="14"/>
        </w:rPr>
        <w:t>purposes.</w:t>
      </w:r>
      <w:r>
        <w:rPr>
          <w:rFonts w:ascii="Gill Sans MT"/>
          <w:spacing w:val="-8"/>
          <w:w w:val="110"/>
          <w:sz w:val="14"/>
        </w:rPr>
        <w:t> </w:t>
      </w:r>
      <w:r>
        <w:rPr>
          <w:rFonts w:ascii="Gill Sans MT"/>
          <w:w w:val="110"/>
          <w:sz w:val="14"/>
        </w:rPr>
        <w:t>Past performance</w:t>
      </w:r>
      <w:r>
        <w:rPr>
          <w:rFonts w:ascii="Gill Sans MT"/>
          <w:spacing w:val="-9"/>
          <w:w w:val="110"/>
          <w:sz w:val="14"/>
        </w:rPr>
        <w:t> </w:t>
      </w:r>
      <w:r>
        <w:rPr>
          <w:rFonts w:ascii="Gill Sans MT"/>
          <w:w w:val="110"/>
          <w:sz w:val="14"/>
        </w:rPr>
        <w:t>is</w:t>
      </w:r>
      <w:r>
        <w:rPr>
          <w:rFonts w:ascii="Gill Sans MT"/>
          <w:spacing w:val="-8"/>
          <w:w w:val="110"/>
          <w:sz w:val="14"/>
        </w:rPr>
        <w:t> </w:t>
      </w:r>
      <w:r>
        <w:rPr>
          <w:rFonts w:ascii="Gill Sans MT"/>
          <w:w w:val="110"/>
          <w:sz w:val="14"/>
        </w:rPr>
        <w:t>not</w:t>
      </w:r>
      <w:r>
        <w:rPr>
          <w:rFonts w:ascii="Gill Sans MT"/>
          <w:spacing w:val="-8"/>
          <w:w w:val="110"/>
          <w:sz w:val="14"/>
        </w:rPr>
        <w:t> </w:t>
      </w:r>
      <w:r>
        <w:rPr>
          <w:rFonts w:ascii="Gill Sans MT"/>
          <w:w w:val="110"/>
          <w:sz w:val="14"/>
        </w:rPr>
        <w:t>a</w:t>
      </w:r>
      <w:r>
        <w:rPr>
          <w:rFonts w:ascii="Gill Sans MT"/>
          <w:spacing w:val="-9"/>
          <w:w w:val="110"/>
          <w:sz w:val="14"/>
        </w:rPr>
        <w:t> </w:t>
      </w:r>
      <w:r>
        <w:rPr>
          <w:rFonts w:ascii="Gill Sans MT"/>
          <w:w w:val="110"/>
          <w:sz w:val="14"/>
        </w:rPr>
        <w:t>guarantee</w:t>
      </w:r>
      <w:r>
        <w:rPr>
          <w:rFonts w:ascii="Gill Sans MT"/>
          <w:spacing w:val="-12"/>
          <w:w w:val="110"/>
          <w:sz w:val="14"/>
        </w:rPr>
        <w:t> </w:t>
      </w:r>
      <w:r>
        <w:rPr>
          <w:rFonts w:ascii="Gill Sans MT"/>
          <w:w w:val="110"/>
          <w:sz w:val="14"/>
        </w:rPr>
        <w:t>of</w:t>
      </w:r>
      <w:r>
        <w:rPr>
          <w:rFonts w:ascii="Gill Sans MT"/>
          <w:spacing w:val="-8"/>
          <w:w w:val="110"/>
          <w:sz w:val="14"/>
        </w:rPr>
        <w:t> </w:t>
      </w:r>
      <w:r>
        <w:rPr>
          <w:rFonts w:ascii="Gill Sans MT"/>
          <w:w w:val="110"/>
          <w:sz w:val="14"/>
        </w:rPr>
        <w:t>future</w:t>
      </w:r>
      <w:r>
        <w:rPr>
          <w:rFonts w:ascii="Gill Sans MT"/>
          <w:spacing w:val="-6"/>
          <w:w w:val="110"/>
          <w:sz w:val="14"/>
        </w:rPr>
        <w:t> </w:t>
      </w:r>
      <w:r>
        <w:rPr>
          <w:rFonts w:ascii="Gill Sans MT"/>
          <w:w w:val="110"/>
          <w:sz w:val="14"/>
        </w:rPr>
        <w:t>results.</w:t>
      </w:r>
    </w:p>
    <w:p>
      <w:pPr>
        <w:spacing w:after="0" w:line="247" w:lineRule="auto"/>
        <w:jc w:val="left"/>
        <w:rPr>
          <w:rFonts w:ascii="Gill Sans MT"/>
          <w:sz w:val="14"/>
        </w:rPr>
        <w:sectPr>
          <w:headerReference w:type="default" r:id="rId134"/>
          <w:footerReference w:type="default" r:id="rId135"/>
          <w:pgSz w:w="14400" w:h="10800" w:orient="landscape"/>
          <w:pgMar w:header="610" w:footer="1259" w:top="1440" w:bottom="1440" w:left="20" w:right="40"/>
          <w:pgNumType w:start="36"/>
        </w:sectPr>
      </w:pPr>
    </w:p>
    <w:p>
      <w:pPr>
        <w:spacing w:before="32"/>
        <w:ind w:left="833" w:right="0" w:firstLine="0"/>
        <w:jc w:val="left"/>
        <w:rPr>
          <w:rFonts w:ascii="Georgia"/>
          <w:sz w:val="36"/>
        </w:rPr>
      </w:pPr>
      <w:bookmarkStart w:name="Slide 37: SPIVA Persistence Performance " w:id="47"/>
      <w:bookmarkEnd w:id="47"/>
      <w:r>
        <w:rPr/>
      </w:r>
      <w:r>
        <w:rPr>
          <w:rFonts w:ascii="Georgia"/>
          <w:w w:val="105"/>
          <w:sz w:val="36"/>
        </w:rPr>
        <w:t>Performance Persistence over Five Consecutive 12-Month Periods</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5"/>
        <w:rPr>
          <w:rFonts w:ascii="Georgia"/>
          <w:sz w:val="27"/>
        </w:rPr>
      </w:pPr>
    </w:p>
    <w:p>
      <w:pPr>
        <w:pStyle w:val="BodyText"/>
        <w:spacing w:before="98" w:after="3"/>
        <w:ind w:left="1349"/>
        <w:rPr>
          <w:rFonts w:ascii="Gill Sans MT"/>
        </w:rPr>
      </w:pPr>
      <w:r>
        <w:rPr>
          <w:rFonts w:ascii="Gill Sans MT"/>
          <w:w w:val="110"/>
        </w:rPr>
        <w:t>Top Quartile Performing Funds</w:t>
      </w:r>
    </w:p>
    <w:tbl>
      <w:tblPr>
        <w:tblW w:w="0" w:type="auto"/>
        <w:jc w:val="left"/>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7"/>
        <w:gridCol w:w="2083"/>
        <w:gridCol w:w="7227"/>
      </w:tblGrid>
      <w:tr>
        <w:trPr>
          <w:trHeight w:val="536" w:hRule="atLeast"/>
        </w:trPr>
        <w:tc>
          <w:tcPr>
            <w:tcW w:w="2437" w:type="dxa"/>
            <w:shd w:val="clear" w:color="auto" w:fill="014612"/>
          </w:tcPr>
          <w:p>
            <w:pPr>
              <w:pStyle w:val="TableParagraph"/>
              <w:spacing w:before="153"/>
              <w:ind w:left="541"/>
              <w:rPr>
                <w:sz w:val="20"/>
              </w:rPr>
            </w:pPr>
            <w:r>
              <w:rPr>
                <w:color w:val="FFFFFF"/>
                <w:w w:val="110"/>
                <w:sz w:val="20"/>
              </w:rPr>
              <w:t>Fund Category</w:t>
            </w:r>
          </w:p>
        </w:tc>
        <w:tc>
          <w:tcPr>
            <w:tcW w:w="2083" w:type="dxa"/>
            <w:shd w:val="clear" w:color="auto" w:fill="014612"/>
          </w:tcPr>
          <w:p>
            <w:pPr>
              <w:pStyle w:val="TableParagraph"/>
              <w:spacing w:before="25"/>
              <w:ind w:left="123" w:right="124"/>
              <w:jc w:val="center"/>
              <w:rPr>
                <w:sz w:val="20"/>
              </w:rPr>
            </w:pPr>
            <w:r>
              <w:rPr>
                <w:color w:val="FFFFFF"/>
                <w:w w:val="110"/>
                <w:sz w:val="20"/>
              </w:rPr>
              <w:t>Fund Count at Start</w:t>
            </w:r>
          </w:p>
          <w:p>
            <w:pPr>
              <w:pStyle w:val="TableParagraph"/>
              <w:spacing w:line="228" w:lineRule="exact" w:before="31"/>
              <w:ind w:left="123" w:right="118"/>
              <w:jc w:val="center"/>
              <w:rPr>
                <w:sz w:val="20"/>
              </w:rPr>
            </w:pPr>
            <w:r>
              <w:rPr>
                <w:color w:val="FFFFFF"/>
                <w:w w:val="110"/>
                <w:sz w:val="20"/>
              </w:rPr>
              <w:t>December 2020</w:t>
            </w:r>
          </w:p>
        </w:tc>
        <w:tc>
          <w:tcPr>
            <w:tcW w:w="7227" w:type="dxa"/>
            <w:shd w:val="clear" w:color="auto" w:fill="014612"/>
          </w:tcPr>
          <w:p>
            <w:pPr>
              <w:pStyle w:val="TableParagraph"/>
              <w:spacing w:before="12"/>
              <w:jc w:val="center"/>
              <w:rPr>
                <w:sz w:val="20"/>
              </w:rPr>
            </w:pPr>
            <w:r>
              <w:rPr>
                <w:color w:val="FFFFFF"/>
                <w:w w:val="110"/>
                <w:sz w:val="20"/>
              </w:rPr>
              <w:t>Percent Remaining in Top Quartile</w:t>
            </w:r>
          </w:p>
          <w:p>
            <w:pPr>
              <w:pStyle w:val="TableParagraph"/>
              <w:tabs>
                <w:tab w:pos="1806" w:val="left" w:leader="none"/>
                <w:tab w:pos="3613" w:val="left" w:leader="none"/>
                <w:tab w:pos="5419" w:val="left" w:leader="none"/>
              </w:tabs>
              <w:spacing w:line="228" w:lineRule="exact" w:before="44"/>
              <w:ind w:right="1"/>
              <w:jc w:val="center"/>
              <w:rPr>
                <w:sz w:val="20"/>
              </w:rPr>
            </w:pPr>
            <w:r>
              <w:rPr>
                <w:color w:val="FFFFFF"/>
                <w:w w:val="110"/>
                <w:sz w:val="20"/>
              </w:rPr>
              <w:t>December</w:t>
            </w:r>
            <w:r>
              <w:rPr>
                <w:color w:val="FFFFFF"/>
                <w:spacing w:val="1"/>
                <w:w w:val="110"/>
                <w:sz w:val="20"/>
              </w:rPr>
              <w:t> </w:t>
            </w:r>
            <w:r>
              <w:rPr>
                <w:color w:val="FFFFFF"/>
                <w:w w:val="110"/>
                <w:sz w:val="20"/>
              </w:rPr>
              <w:t>2021</w:t>
              <w:tab/>
              <w:t>December</w:t>
            </w:r>
            <w:r>
              <w:rPr>
                <w:color w:val="FFFFFF"/>
                <w:spacing w:val="2"/>
                <w:w w:val="110"/>
                <w:sz w:val="20"/>
              </w:rPr>
              <w:t> </w:t>
            </w:r>
            <w:r>
              <w:rPr>
                <w:color w:val="FFFFFF"/>
                <w:w w:val="110"/>
                <w:sz w:val="20"/>
              </w:rPr>
              <w:t>2022</w:t>
              <w:tab/>
              <w:t>December</w:t>
            </w:r>
            <w:r>
              <w:rPr>
                <w:color w:val="FFFFFF"/>
                <w:spacing w:val="2"/>
                <w:w w:val="110"/>
                <w:sz w:val="20"/>
              </w:rPr>
              <w:t> </w:t>
            </w:r>
            <w:r>
              <w:rPr>
                <w:color w:val="FFFFFF"/>
                <w:w w:val="110"/>
                <w:sz w:val="20"/>
              </w:rPr>
              <w:t>2023</w:t>
              <w:tab/>
              <w:t>December 2024</w:t>
            </w:r>
          </w:p>
        </w:tc>
      </w:tr>
    </w:tbl>
    <w:p>
      <w:pPr>
        <w:pStyle w:val="BodyText"/>
        <w:spacing w:before="11"/>
        <w:rPr>
          <w:rFonts w:ascii="Gill Sans MT"/>
          <w:sz w:val="23"/>
        </w:rPr>
      </w:pPr>
    </w:p>
    <w:tbl>
      <w:tblPr>
        <w:tblW w:w="0" w:type="auto"/>
        <w:jc w:val="left"/>
        <w:tblInd w:w="1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7"/>
        <w:gridCol w:w="693"/>
        <w:gridCol w:w="1391"/>
        <w:gridCol w:w="1807"/>
        <w:gridCol w:w="1836"/>
        <w:gridCol w:w="1778"/>
        <w:gridCol w:w="1807"/>
      </w:tblGrid>
      <w:tr>
        <w:trPr>
          <w:trHeight w:val="252" w:hRule="atLeast"/>
        </w:trPr>
        <w:tc>
          <w:tcPr>
            <w:tcW w:w="3130" w:type="dxa"/>
            <w:gridSpan w:val="2"/>
          </w:tcPr>
          <w:p>
            <w:pPr>
              <w:pStyle w:val="TableParagraph"/>
              <w:spacing w:line="227" w:lineRule="exact" w:before="5"/>
              <w:ind w:left="38"/>
              <w:rPr>
                <w:sz w:val="20"/>
              </w:rPr>
            </w:pPr>
            <w:r>
              <w:rPr>
                <w:w w:val="115"/>
                <w:sz w:val="20"/>
              </w:rPr>
              <w:t>All Large Cap Funds</w:t>
            </w:r>
          </w:p>
        </w:tc>
        <w:tc>
          <w:tcPr>
            <w:tcW w:w="1391" w:type="dxa"/>
          </w:tcPr>
          <w:p>
            <w:pPr>
              <w:pStyle w:val="TableParagraph"/>
              <w:spacing w:line="227" w:lineRule="exact" w:before="5"/>
              <w:ind w:left="180"/>
              <w:rPr>
                <w:sz w:val="20"/>
              </w:rPr>
            </w:pPr>
            <w:r>
              <w:rPr>
                <w:w w:val="115"/>
                <w:sz w:val="20"/>
              </w:rPr>
              <w:t>162</w:t>
            </w:r>
          </w:p>
        </w:tc>
        <w:tc>
          <w:tcPr>
            <w:tcW w:w="1807" w:type="dxa"/>
          </w:tcPr>
          <w:p>
            <w:pPr>
              <w:pStyle w:val="TableParagraph"/>
              <w:spacing w:line="227" w:lineRule="exact" w:before="5"/>
              <w:ind w:left="3"/>
              <w:jc w:val="center"/>
              <w:rPr>
                <w:sz w:val="20"/>
              </w:rPr>
            </w:pPr>
            <w:r>
              <w:rPr>
                <w:w w:val="115"/>
                <w:sz w:val="20"/>
              </w:rPr>
              <w:t>7</w:t>
            </w:r>
          </w:p>
        </w:tc>
        <w:tc>
          <w:tcPr>
            <w:tcW w:w="1836" w:type="dxa"/>
          </w:tcPr>
          <w:p>
            <w:pPr>
              <w:pStyle w:val="TableParagraph"/>
              <w:spacing w:line="227" w:lineRule="exact" w:before="5"/>
              <w:ind w:left="847"/>
              <w:rPr>
                <w:sz w:val="20"/>
              </w:rPr>
            </w:pPr>
            <w:r>
              <w:rPr>
                <w:w w:val="115"/>
                <w:sz w:val="20"/>
              </w:rPr>
              <w:t>0</w:t>
            </w:r>
          </w:p>
        </w:tc>
        <w:tc>
          <w:tcPr>
            <w:tcW w:w="1778" w:type="dxa"/>
          </w:tcPr>
          <w:p>
            <w:pPr>
              <w:pStyle w:val="TableParagraph"/>
              <w:spacing w:line="227" w:lineRule="exact" w:before="5"/>
              <w:ind w:left="817"/>
              <w:rPr>
                <w:sz w:val="20"/>
              </w:rPr>
            </w:pPr>
            <w:r>
              <w:rPr>
                <w:w w:val="115"/>
                <w:sz w:val="20"/>
              </w:rPr>
              <w:t>0</w:t>
            </w:r>
          </w:p>
        </w:tc>
        <w:tc>
          <w:tcPr>
            <w:tcW w:w="1807" w:type="dxa"/>
          </w:tcPr>
          <w:p>
            <w:pPr>
              <w:pStyle w:val="TableParagraph"/>
              <w:spacing w:line="227" w:lineRule="exact" w:before="5"/>
              <w:jc w:val="center"/>
              <w:rPr>
                <w:sz w:val="20"/>
              </w:rPr>
            </w:pPr>
            <w:r>
              <w:rPr>
                <w:w w:val="115"/>
                <w:sz w:val="20"/>
              </w:rPr>
              <w:t>0</w:t>
            </w:r>
          </w:p>
        </w:tc>
      </w:tr>
      <w:tr>
        <w:trPr>
          <w:trHeight w:val="263" w:hRule="atLeast"/>
        </w:trPr>
        <w:tc>
          <w:tcPr>
            <w:tcW w:w="3130" w:type="dxa"/>
            <w:gridSpan w:val="2"/>
          </w:tcPr>
          <w:p>
            <w:pPr>
              <w:pStyle w:val="TableParagraph"/>
              <w:spacing w:line="227" w:lineRule="exact" w:before="16"/>
              <w:ind w:left="38"/>
              <w:rPr>
                <w:sz w:val="20"/>
              </w:rPr>
            </w:pPr>
            <w:r>
              <w:rPr>
                <w:w w:val="115"/>
                <w:sz w:val="20"/>
              </w:rPr>
              <w:t>All Mid Cap Funds</w:t>
            </w:r>
          </w:p>
        </w:tc>
        <w:tc>
          <w:tcPr>
            <w:tcW w:w="1391" w:type="dxa"/>
          </w:tcPr>
          <w:p>
            <w:pPr>
              <w:pStyle w:val="TableParagraph"/>
              <w:spacing w:line="227" w:lineRule="exact" w:before="16"/>
              <w:ind w:left="239"/>
              <w:rPr>
                <w:sz w:val="20"/>
              </w:rPr>
            </w:pPr>
            <w:r>
              <w:rPr>
                <w:w w:val="115"/>
                <w:sz w:val="20"/>
              </w:rPr>
              <w:t>65</w:t>
            </w:r>
          </w:p>
        </w:tc>
        <w:tc>
          <w:tcPr>
            <w:tcW w:w="1807" w:type="dxa"/>
          </w:tcPr>
          <w:p>
            <w:pPr>
              <w:pStyle w:val="TableParagraph"/>
              <w:spacing w:line="227" w:lineRule="exact" w:before="16"/>
              <w:ind w:left="3"/>
              <w:jc w:val="center"/>
              <w:rPr>
                <w:sz w:val="20"/>
              </w:rPr>
            </w:pPr>
            <w:r>
              <w:rPr>
                <w:w w:val="115"/>
                <w:sz w:val="20"/>
              </w:rPr>
              <w:t>0</w:t>
            </w:r>
          </w:p>
        </w:tc>
        <w:tc>
          <w:tcPr>
            <w:tcW w:w="1836" w:type="dxa"/>
          </w:tcPr>
          <w:p>
            <w:pPr>
              <w:pStyle w:val="TableParagraph"/>
              <w:spacing w:line="227" w:lineRule="exact" w:before="16"/>
              <w:ind w:left="847"/>
              <w:rPr>
                <w:sz w:val="20"/>
              </w:rPr>
            </w:pPr>
            <w:r>
              <w:rPr>
                <w:w w:val="115"/>
                <w:sz w:val="20"/>
              </w:rPr>
              <w:t>0</w:t>
            </w:r>
          </w:p>
        </w:tc>
        <w:tc>
          <w:tcPr>
            <w:tcW w:w="1778" w:type="dxa"/>
          </w:tcPr>
          <w:p>
            <w:pPr>
              <w:pStyle w:val="TableParagraph"/>
              <w:spacing w:line="227" w:lineRule="exact" w:before="16"/>
              <w:ind w:left="817"/>
              <w:rPr>
                <w:sz w:val="20"/>
              </w:rPr>
            </w:pPr>
            <w:r>
              <w:rPr>
                <w:w w:val="115"/>
                <w:sz w:val="20"/>
              </w:rPr>
              <w:t>0</w:t>
            </w:r>
          </w:p>
        </w:tc>
        <w:tc>
          <w:tcPr>
            <w:tcW w:w="1807" w:type="dxa"/>
          </w:tcPr>
          <w:p>
            <w:pPr>
              <w:pStyle w:val="TableParagraph"/>
              <w:spacing w:line="227" w:lineRule="exact" w:before="16"/>
              <w:jc w:val="center"/>
              <w:rPr>
                <w:sz w:val="20"/>
              </w:rPr>
            </w:pPr>
            <w:r>
              <w:rPr>
                <w:w w:val="115"/>
                <w:sz w:val="20"/>
              </w:rPr>
              <w:t>0</w:t>
            </w:r>
          </w:p>
        </w:tc>
      </w:tr>
      <w:tr>
        <w:trPr>
          <w:trHeight w:val="528" w:hRule="atLeast"/>
        </w:trPr>
        <w:tc>
          <w:tcPr>
            <w:tcW w:w="3130" w:type="dxa"/>
            <w:gridSpan w:val="2"/>
          </w:tcPr>
          <w:p>
            <w:pPr>
              <w:pStyle w:val="TableParagraph"/>
              <w:spacing w:before="16"/>
              <w:ind w:left="38"/>
              <w:rPr>
                <w:sz w:val="20"/>
              </w:rPr>
            </w:pPr>
            <w:r>
              <w:rPr>
                <w:w w:val="120"/>
                <w:sz w:val="20"/>
              </w:rPr>
              <w:t>All Small Cap Funds</w:t>
            </w:r>
          </w:p>
        </w:tc>
        <w:tc>
          <w:tcPr>
            <w:tcW w:w="1391" w:type="dxa"/>
          </w:tcPr>
          <w:p>
            <w:pPr>
              <w:pStyle w:val="TableParagraph"/>
              <w:spacing w:before="16"/>
              <w:ind w:left="180"/>
              <w:rPr>
                <w:sz w:val="20"/>
              </w:rPr>
            </w:pPr>
            <w:r>
              <w:rPr>
                <w:w w:val="115"/>
                <w:sz w:val="20"/>
              </w:rPr>
              <w:t>127</w:t>
            </w:r>
          </w:p>
        </w:tc>
        <w:tc>
          <w:tcPr>
            <w:tcW w:w="1807" w:type="dxa"/>
          </w:tcPr>
          <w:p>
            <w:pPr>
              <w:pStyle w:val="TableParagraph"/>
              <w:spacing w:before="16"/>
              <w:ind w:left="3"/>
              <w:jc w:val="center"/>
              <w:rPr>
                <w:sz w:val="20"/>
              </w:rPr>
            </w:pPr>
            <w:r>
              <w:rPr>
                <w:w w:val="115"/>
                <w:sz w:val="20"/>
              </w:rPr>
              <w:t>2</w:t>
            </w:r>
          </w:p>
        </w:tc>
        <w:tc>
          <w:tcPr>
            <w:tcW w:w="1836" w:type="dxa"/>
          </w:tcPr>
          <w:p>
            <w:pPr>
              <w:pStyle w:val="TableParagraph"/>
              <w:spacing w:before="16"/>
              <w:ind w:left="847"/>
              <w:rPr>
                <w:sz w:val="20"/>
              </w:rPr>
            </w:pPr>
            <w:r>
              <w:rPr>
                <w:w w:val="115"/>
                <w:sz w:val="20"/>
              </w:rPr>
              <w:t>1</w:t>
            </w:r>
          </w:p>
        </w:tc>
        <w:tc>
          <w:tcPr>
            <w:tcW w:w="1778" w:type="dxa"/>
          </w:tcPr>
          <w:p>
            <w:pPr>
              <w:pStyle w:val="TableParagraph"/>
              <w:spacing w:before="16"/>
              <w:ind w:left="817"/>
              <w:rPr>
                <w:sz w:val="20"/>
              </w:rPr>
            </w:pPr>
            <w:r>
              <w:rPr>
                <w:w w:val="115"/>
                <w:sz w:val="20"/>
              </w:rPr>
              <w:t>0</w:t>
            </w:r>
          </w:p>
        </w:tc>
        <w:tc>
          <w:tcPr>
            <w:tcW w:w="1807" w:type="dxa"/>
          </w:tcPr>
          <w:p>
            <w:pPr>
              <w:pStyle w:val="TableParagraph"/>
              <w:spacing w:before="16"/>
              <w:jc w:val="center"/>
              <w:rPr>
                <w:sz w:val="20"/>
              </w:rPr>
            </w:pPr>
            <w:r>
              <w:rPr>
                <w:w w:val="115"/>
                <w:sz w:val="20"/>
              </w:rPr>
              <w:t>0</w:t>
            </w:r>
          </w:p>
        </w:tc>
      </w:tr>
      <w:tr>
        <w:trPr>
          <w:trHeight w:val="553" w:hRule="atLeast"/>
        </w:trPr>
        <w:tc>
          <w:tcPr>
            <w:tcW w:w="3130" w:type="dxa"/>
            <w:gridSpan w:val="2"/>
            <w:tcBorders>
              <w:bottom w:val="single" w:sz="4" w:space="0" w:color="000000"/>
            </w:tcBorders>
          </w:tcPr>
          <w:p>
            <w:pPr>
              <w:pStyle w:val="TableParagraph"/>
              <w:spacing w:before="7"/>
              <w:rPr>
                <w:sz w:val="23"/>
              </w:rPr>
            </w:pPr>
          </w:p>
          <w:p>
            <w:pPr>
              <w:pStyle w:val="TableParagraph"/>
              <w:spacing w:line="259" w:lineRule="exact"/>
              <w:ind w:left="44"/>
              <w:rPr>
                <w:sz w:val="24"/>
              </w:rPr>
            </w:pPr>
            <w:r>
              <w:rPr>
                <w:w w:val="110"/>
                <w:sz w:val="24"/>
              </w:rPr>
              <w:t>Top Half Performing Funds</w:t>
            </w:r>
          </w:p>
        </w:tc>
        <w:tc>
          <w:tcPr>
            <w:tcW w:w="1391" w:type="dxa"/>
            <w:tcBorders>
              <w:bottom w:val="single" w:sz="4" w:space="0" w:color="000000"/>
            </w:tcBorders>
          </w:tcPr>
          <w:p>
            <w:pPr>
              <w:pStyle w:val="TableParagraph"/>
              <w:rPr>
                <w:rFonts w:ascii="Times New Roman"/>
                <w:sz w:val="22"/>
              </w:rPr>
            </w:pPr>
          </w:p>
        </w:tc>
        <w:tc>
          <w:tcPr>
            <w:tcW w:w="1807" w:type="dxa"/>
            <w:tcBorders>
              <w:bottom w:val="single" w:sz="4" w:space="0" w:color="000000"/>
            </w:tcBorders>
          </w:tcPr>
          <w:p>
            <w:pPr>
              <w:pStyle w:val="TableParagraph"/>
              <w:rPr>
                <w:rFonts w:ascii="Times New Roman"/>
                <w:sz w:val="22"/>
              </w:rPr>
            </w:pPr>
          </w:p>
        </w:tc>
        <w:tc>
          <w:tcPr>
            <w:tcW w:w="1836" w:type="dxa"/>
            <w:tcBorders>
              <w:bottom w:val="single" w:sz="4" w:space="0" w:color="000000"/>
            </w:tcBorders>
          </w:tcPr>
          <w:p>
            <w:pPr>
              <w:pStyle w:val="TableParagraph"/>
              <w:rPr>
                <w:rFonts w:ascii="Times New Roman"/>
                <w:sz w:val="22"/>
              </w:rPr>
            </w:pPr>
          </w:p>
        </w:tc>
        <w:tc>
          <w:tcPr>
            <w:tcW w:w="1778" w:type="dxa"/>
            <w:tcBorders>
              <w:bottom w:val="single" w:sz="4" w:space="0" w:color="000000"/>
            </w:tcBorders>
          </w:tcPr>
          <w:p>
            <w:pPr>
              <w:pStyle w:val="TableParagraph"/>
              <w:rPr>
                <w:rFonts w:ascii="Times New Roman"/>
                <w:sz w:val="22"/>
              </w:rPr>
            </w:pPr>
          </w:p>
        </w:tc>
        <w:tc>
          <w:tcPr>
            <w:tcW w:w="1807" w:type="dxa"/>
            <w:tcBorders>
              <w:bottom w:val="single" w:sz="4" w:space="0" w:color="000000"/>
            </w:tcBorders>
          </w:tcPr>
          <w:p>
            <w:pPr>
              <w:pStyle w:val="TableParagraph"/>
              <w:rPr>
                <w:rFonts w:ascii="Times New Roman"/>
                <w:sz w:val="22"/>
              </w:rPr>
            </w:pPr>
          </w:p>
        </w:tc>
      </w:tr>
      <w:tr>
        <w:trPr>
          <w:trHeight w:val="536" w:hRule="atLeast"/>
        </w:trPr>
        <w:tc>
          <w:tcPr>
            <w:tcW w:w="2437" w:type="dxa"/>
            <w:tcBorders>
              <w:top w:val="single" w:sz="4" w:space="0" w:color="000000"/>
              <w:left w:val="single" w:sz="4" w:space="0" w:color="000000"/>
              <w:bottom w:val="single" w:sz="4" w:space="0" w:color="000000"/>
              <w:right w:val="single" w:sz="4" w:space="0" w:color="000000"/>
            </w:tcBorders>
            <w:shd w:val="clear" w:color="auto" w:fill="014612"/>
          </w:tcPr>
          <w:p>
            <w:pPr>
              <w:pStyle w:val="TableParagraph"/>
              <w:spacing w:before="153"/>
              <w:ind w:left="541"/>
              <w:rPr>
                <w:sz w:val="20"/>
              </w:rPr>
            </w:pPr>
            <w:r>
              <w:rPr>
                <w:color w:val="FFFFFF"/>
                <w:w w:val="110"/>
                <w:sz w:val="20"/>
              </w:rPr>
              <w:t>Fund Category</w:t>
            </w:r>
          </w:p>
        </w:tc>
        <w:tc>
          <w:tcPr>
            <w:tcW w:w="693" w:type="dxa"/>
            <w:tcBorders>
              <w:top w:val="single" w:sz="4" w:space="0" w:color="000000"/>
              <w:left w:val="single" w:sz="4" w:space="0" w:color="000000"/>
              <w:bottom w:val="single" w:sz="4" w:space="0" w:color="000000"/>
            </w:tcBorders>
            <w:shd w:val="clear" w:color="auto" w:fill="014612"/>
          </w:tcPr>
          <w:p>
            <w:pPr>
              <w:pStyle w:val="TableParagraph"/>
              <w:spacing w:before="25"/>
              <w:ind w:left="135"/>
              <w:rPr>
                <w:sz w:val="20"/>
              </w:rPr>
            </w:pPr>
            <w:r>
              <w:rPr>
                <w:color w:val="FFFFFF"/>
                <w:w w:val="115"/>
                <w:sz w:val="20"/>
              </w:rPr>
              <w:t>Fund</w:t>
            </w:r>
          </w:p>
          <w:p>
            <w:pPr>
              <w:pStyle w:val="TableParagraph"/>
              <w:spacing w:line="228" w:lineRule="exact" w:before="31"/>
              <w:ind w:left="309"/>
              <w:rPr>
                <w:sz w:val="20"/>
              </w:rPr>
            </w:pPr>
            <w:r>
              <w:rPr>
                <w:color w:val="FFFFFF"/>
                <w:w w:val="105"/>
                <w:sz w:val="20"/>
              </w:rPr>
              <w:t>Dec</w:t>
            </w:r>
          </w:p>
        </w:tc>
        <w:tc>
          <w:tcPr>
            <w:tcW w:w="1391" w:type="dxa"/>
            <w:tcBorders>
              <w:top w:val="single" w:sz="4" w:space="0" w:color="000000"/>
              <w:bottom w:val="single" w:sz="4" w:space="0" w:color="000000"/>
              <w:right w:val="single" w:sz="4" w:space="0" w:color="000000"/>
            </w:tcBorders>
            <w:shd w:val="clear" w:color="auto" w:fill="014612"/>
          </w:tcPr>
          <w:p>
            <w:pPr>
              <w:pStyle w:val="TableParagraph"/>
              <w:spacing w:before="25"/>
              <w:ind w:left="-39"/>
              <w:rPr>
                <w:sz w:val="20"/>
              </w:rPr>
            </w:pPr>
            <w:r>
              <w:rPr>
                <w:color w:val="FFFFFF"/>
                <w:w w:val="110"/>
                <w:sz w:val="20"/>
              </w:rPr>
              <w:t>Count at Start</w:t>
            </w:r>
          </w:p>
          <w:p>
            <w:pPr>
              <w:pStyle w:val="TableParagraph"/>
              <w:spacing w:line="228" w:lineRule="exact" w:before="31"/>
              <w:ind w:left="-25"/>
              <w:rPr>
                <w:sz w:val="20"/>
              </w:rPr>
            </w:pPr>
            <w:r>
              <w:rPr>
                <w:color w:val="FFFFFF"/>
                <w:w w:val="115"/>
                <w:sz w:val="20"/>
              </w:rPr>
              <w:t>ember 2020</w:t>
            </w:r>
          </w:p>
        </w:tc>
        <w:tc>
          <w:tcPr>
            <w:tcW w:w="1807" w:type="dxa"/>
            <w:tcBorders>
              <w:top w:val="single" w:sz="4" w:space="0" w:color="000000"/>
              <w:left w:val="single" w:sz="4" w:space="0" w:color="000000"/>
              <w:bottom w:val="single" w:sz="4" w:space="0" w:color="000000"/>
            </w:tcBorders>
            <w:shd w:val="clear" w:color="auto" w:fill="014612"/>
          </w:tcPr>
          <w:p>
            <w:pPr>
              <w:pStyle w:val="TableParagraph"/>
              <w:spacing w:before="10"/>
              <w:rPr>
                <w:sz w:val="24"/>
              </w:rPr>
            </w:pPr>
          </w:p>
          <w:p>
            <w:pPr>
              <w:pStyle w:val="TableParagraph"/>
              <w:spacing w:line="228" w:lineRule="exact"/>
              <w:ind w:left="152" w:right="158"/>
              <w:jc w:val="center"/>
              <w:rPr>
                <w:sz w:val="20"/>
              </w:rPr>
            </w:pPr>
            <w:r>
              <w:rPr>
                <w:color w:val="FFFFFF"/>
                <w:w w:val="110"/>
                <w:sz w:val="20"/>
              </w:rPr>
              <w:t>December 2021</w:t>
            </w:r>
          </w:p>
        </w:tc>
        <w:tc>
          <w:tcPr>
            <w:tcW w:w="1836" w:type="dxa"/>
            <w:tcBorders>
              <w:top w:val="single" w:sz="4" w:space="0" w:color="000000"/>
              <w:bottom w:val="single" w:sz="4" w:space="0" w:color="000000"/>
            </w:tcBorders>
            <w:shd w:val="clear" w:color="auto" w:fill="014612"/>
          </w:tcPr>
          <w:p>
            <w:pPr>
              <w:pStyle w:val="TableParagraph"/>
              <w:spacing w:before="12"/>
              <w:ind w:left="397" w:right="-44"/>
              <w:rPr>
                <w:sz w:val="20"/>
              </w:rPr>
            </w:pPr>
            <w:r>
              <w:rPr>
                <w:color w:val="FFFFFF"/>
                <w:w w:val="115"/>
                <w:sz w:val="20"/>
              </w:rPr>
              <w:t>Percent</w:t>
            </w:r>
            <w:r>
              <w:rPr>
                <w:color w:val="FFFFFF"/>
                <w:spacing w:val="-6"/>
                <w:w w:val="115"/>
                <w:sz w:val="20"/>
              </w:rPr>
              <w:t> </w:t>
            </w:r>
            <w:r>
              <w:rPr>
                <w:color w:val="FFFFFF"/>
                <w:w w:val="115"/>
                <w:sz w:val="20"/>
              </w:rPr>
              <w:t>Remain</w:t>
            </w:r>
          </w:p>
          <w:p>
            <w:pPr>
              <w:pStyle w:val="TableParagraph"/>
              <w:spacing w:line="228" w:lineRule="exact" w:before="44"/>
              <w:ind w:left="172"/>
              <w:rPr>
                <w:sz w:val="20"/>
              </w:rPr>
            </w:pPr>
            <w:r>
              <w:rPr>
                <w:color w:val="FFFFFF"/>
                <w:w w:val="110"/>
                <w:sz w:val="20"/>
              </w:rPr>
              <w:t>December 2022</w:t>
            </w:r>
          </w:p>
        </w:tc>
        <w:tc>
          <w:tcPr>
            <w:tcW w:w="1778" w:type="dxa"/>
            <w:tcBorders>
              <w:top w:val="single" w:sz="4" w:space="0" w:color="000000"/>
              <w:bottom w:val="single" w:sz="4" w:space="0" w:color="000000"/>
            </w:tcBorders>
            <w:shd w:val="clear" w:color="auto" w:fill="014612"/>
          </w:tcPr>
          <w:p>
            <w:pPr>
              <w:pStyle w:val="TableParagraph"/>
              <w:spacing w:before="12"/>
              <w:ind w:left="37"/>
              <w:rPr>
                <w:sz w:val="20"/>
              </w:rPr>
            </w:pPr>
            <w:r>
              <w:rPr>
                <w:color w:val="FFFFFF"/>
                <w:w w:val="115"/>
                <w:sz w:val="20"/>
              </w:rPr>
              <w:t>ing in Top Half</w:t>
            </w:r>
          </w:p>
          <w:p>
            <w:pPr>
              <w:pStyle w:val="TableParagraph"/>
              <w:spacing w:line="228" w:lineRule="exact" w:before="44"/>
              <w:ind w:left="142"/>
              <w:rPr>
                <w:sz w:val="20"/>
              </w:rPr>
            </w:pPr>
            <w:r>
              <w:rPr>
                <w:color w:val="FFFFFF"/>
                <w:w w:val="110"/>
                <w:sz w:val="20"/>
              </w:rPr>
              <w:t>December 2023</w:t>
            </w:r>
          </w:p>
        </w:tc>
        <w:tc>
          <w:tcPr>
            <w:tcW w:w="1807" w:type="dxa"/>
            <w:tcBorders>
              <w:top w:val="single" w:sz="4" w:space="0" w:color="000000"/>
              <w:bottom w:val="single" w:sz="4" w:space="0" w:color="000000"/>
              <w:right w:val="single" w:sz="4" w:space="0" w:color="000000"/>
            </w:tcBorders>
            <w:shd w:val="clear" w:color="auto" w:fill="014612"/>
          </w:tcPr>
          <w:p>
            <w:pPr>
              <w:pStyle w:val="TableParagraph"/>
              <w:spacing w:before="10"/>
              <w:rPr>
                <w:sz w:val="24"/>
              </w:rPr>
            </w:pPr>
          </w:p>
          <w:p>
            <w:pPr>
              <w:pStyle w:val="TableParagraph"/>
              <w:spacing w:line="228" w:lineRule="exact"/>
              <w:ind w:left="155" w:right="156"/>
              <w:jc w:val="center"/>
              <w:rPr>
                <w:sz w:val="20"/>
              </w:rPr>
            </w:pPr>
            <w:r>
              <w:rPr>
                <w:color w:val="FFFFFF"/>
                <w:w w:val="110"/>
                <w:sz w:val="20"/>
              </w:rPr>
              <w:t>December 2024</w:t>
            </w:r>
          </w:p>
        </w:tc>
      </w:tr>
      <w:tr>
        <w:trPr>
          <w:trHeight w:val="529" w:hRule="atLeast"/>
        </w:trPr>
        <w:tc>
          <w:tcPr>
            <w:tcW w:w="3130" w:type="dxa"/>
            <w:gridSpan w:val="2"/>
            <w:tcBorders>
              <w:top w:val="single" w:sz="4" w:space="0" w:color="000000"/>
            </w:tcBorders>
          </w:tcPr>
          <w:p>
            <w:pPr>
              <w:pStyle w:val="TableParagraph"/>
              <w:spacing w:before="3"/>
              <w:rPr>
                <w:sz w:val="24"/>
              </w:rPr>
            </w:pPr>
          </w:p>
          <w:p>
            <w:pPr>
              <w:pStyle w:val="TableParagraph"/>
              <w:spacing w:line="227" w:lineRule="exact"/>
              <w:ind w:left="38"/>
              <w:rPr>
                <w:sz w:val="20"/>
              </w:rPr>
            </w:pPr>
            <w:r>
              <w:rPr>
                <w:w w:val="115"/>
                <w:sz w:val="20"/>
              </w:rPr>
              <w:t>All Large Cap Funds</w:t>
            </w:r>
          </w:p>
        </w:tc>
        <w:tc>
          <w:tcPr>
            <w:tcW w:w="1391" w:type="dxa"/>
            <w:tcBorders>
              <w:top w:val="single" w:sz="4" w:space="0" w:color="000000"/>
            </w:tcBorders>
          </w:tcPr>
          <w:p>
            <w:pPr>
              <w:pStyle w:val="TableParagraph"/>
              <w:spacing w:before="3"/>
              <w:rPr>
                <w:sz w:val="24"/>
              </w:rPr>
            </w:pPr>
          </w:p>
          <w:p>
            <w:pPr>
              <w:pStyle w:val="TableParagraph"/>
              <w:spacing w:line="227" w:lineRule="exact"/>
              <w:ind w:left="180"/>
              <w:rPr>
                <w:sz w:val="20"/>
              </w:rPr>
            </w:pPr>
            <w:r>
              <w:rPr>
                <w:w w:val="115"/>
                <w:sz w:val="20"/>
              </w:rPr>
              <w:t>330</w:t>
            </w:r>
          </w:p>
        </w:tc>
        <w:tc>
          <w:tcPr>
            <w:tcW w:w="1807" w:type="dxa"/>
            <w:tcBorders>
              <w:top w:val="single" w:sz="4" w:space="0" w:color="000000"/>
            </w:tcBorders>
          </w:tcPr>
          <w:p>
            <w:pPr>
              <w:pStyle w:val="TableParagraph"/>
              <w:spacing w:before="3"/>
              <w:rPr>
                <w:sz w:val="24"/>
              </w:rPr>
            </w:pPr>
          </w:p>
          <w:p>
            <w:pPr>
              <w:pStyle w:val="TableParagraph"/>
              <w:spacing w:line="227" w:lineRule="exact"/>
              <w:ind w:left="770" w:right="767"/>
              <w:jc w:val="center"/>
              <w:rPr>
                <w:sz w:val="20"/>
              </w:rPr>
            </w:pPr>
            <w:r>
              <w:rPr>
                <w:w w:val="115"/>
                <w:sz w:val="20"/>
              </w:rPr>
              <w:t>40</w:t>
            </w:r>
          </w:p>
        </w:tc>
        <w:tc>
          <w:tcPr>
            <w:tcW w:w="1836" w:type="dxa"/>
            <w:tcBorders>
              <w:top w:val="single" w:sz="4" w:space="0" w:color="000000"/>
            </w:tcBorders>
          </w:tcPr>
          <w:p>
            <w:pPr>
              <w:pStyle w:val="TableParagraph"/>
              <w:spacing w:before="3"/>
              <w:rPr>
                <w:sz w:val="24"/>
              </w:rPr>
            </w:pPr>
          </w:p>
          <w:p>
            <w:pPr>
              <w:pStyle w:val="TableParagraph"/>
              <w:spacing w:line="227" w:lineRule="exact"/>
              <w:ind w:left="847"/>
              <w:rPr>
                <w:sz w:val="20"/>
              </w:rPr>
            </w:pPr>
            <w:r>
              <w:rPr>
                <w:w w:val="115"/>
                <w:sz w:val="20"/>
              </w:rPr>
              <w:t>5</w:t>
            </w:r>
          </w:p>
        </w:tc>
        <w:tc>
          <w:tcPr>
            <w:tcW w:w="1778" w:type="dxa"/>
            <w:tcBorders>
              <w:top w:val="single" w:sz="4" w:space="0" w:color="000000"/>
            </w:tcBorders>
          </w:tcPr>
          <w:p>
            <w:pPr>
              <w:pStyle w:val="TableParagraph"/>
              <w:spacing w:before="3"/>
              <w:rPr>
                <w:sz w:val="24"/>
              </w:rPr>
            </w:pPr>
          </w:p>
          <w:p>
            <w:pPr>
              <w:pStyle w:val="TableParagraph"/>
              <w:spacing w:line="227" w:lineRule="exact"/>
              <w:ind w:left="817"/>
              <w:rPr>
                <w:sz w:val="20"/>
              </w:rPr>
            </w:pPr>
            <w:r>
              <w:rPr>
                <w:w w:val="115"/>
                <w:sz w:val="20"/>
              </w:rPr>
              <w:t>3</w:t>
            </w:r>
          </w:p>
        </w:tc>
        <w:tc>
          <w:tcPr>
            <w:tcW w:w="1807" w:type="dxa"/>
            <w:tcBorders>
              <w:top w:val="single" w:sz="4" w:space="0" w:color="000000"/>
            </w:tcBorders>
          </w:tcPr>
          <w:p>
            <w:pPr>
              <w:pStyle w:val="TableParagraph"/>
              <w:spacing w:before="3"/>
              <w:rPr>
                <w:sz w:val="24"/>
              </w:rPr>
            </w:pPr>
          </w:p>
          <w:p>
            <w:pPr>
              <w:pStyle w:val="TableParagraph"/>
              <w:spacing w:line="227" w:lineRule="exact"/>
              <w:jc w:val="center"/>
              <w:rPr>
                <w:sz w:val="20"/>
              </w:rPr>
            </w:pPr>
            <w:r>
              <w:rPr>
                <w:w w:val="115"/>
                <w:sz w:val="20"/>
              </w:rPr>
              <w:t>2</w:t>
            </w:r>
          </w:p>
        </w:tc>
      </w:tr>
      <w:tr>
        <w:trPr>
          <w:trHeight w:val="263" w:hRule="atLeast"/>
        </w:trPr>
        <w:tc>
          <w:tcPr>
            <w:tcW w:w="3130" w:type="dxa"/>
            <w:gridSpan w:val="2"/>
          </w:tcPr>
          <w:p>
            <w:pPr>
              <w:pStyle w:val="TableParagraph"/>
              <w:spacing w:line="227" w:lineRule="exact" w:before="16"/>
              <w:ind w:left="38"/>
              <w:rPr>
                <w:sz w:val="20"/>
              </w:rPr>
            </w:pPr>
            <w:r>
              <w:rPr>
                <w:w w:val="115"/>
                <w:sz w:val="20"/>
              </w:rPr>
              <w:t>All Mid Cap Funds</w:t>
            </w:r>
          </w:p>
        </w:tc>
        <w:tc>
          <w:tcPr>
            <w:tcW w:w="1391" w:type="dxa"/>
          </w:tcPr>
          <w:p>
            <w:pPr>
              <w:pStyle w:val="TableParagraph"/>
              <w:spacing w:line="227" w:lineRule="exact" w:before="16"/>
              <w:ind w:left="180"/>
              <w:rPr>
                <w:sz w:val="20"/>
              </w:rPr>
            </w:pPr>
            <w:r>
              <w:rPr>
                <w:w w:val="115"/>
                <w:sz w:val="20"/>
              </w:rPr>
              <w:t>131</w:t>
            </w:r>
          </w:p>
        </w:tc>
        <w:tc>
          <w:tcPr>
            <w:tcW w:w="1807" w:type="dxa"/>
          </w:tcPr>
          <w:p>
            <w:pPr>
              <w:pStyle w:val="TableParagraph"/>
              <w:spacing w:line="227" w:lineRule="exact" w:before="16"/>
              <w:ind w:left="770" w:right="767"/>
              <w:jc w:val="center"/>
              <w:rPr>
                <w:sz w:val="20"/>
              </w:rPr>
            </w:pPr>
            <w:r>
              <w:rPr>
                <w:w w:val="115"/>
                <w:sz w:val="20"/>
              </w:rPr>
              <w:t>14</w:t>
            </w:r>
          </w:p>
        </w:tc>
        <w:tc>
          <w:tcPr>
            <w:tcW w:w="1836" w:type="dxa"/>
          </w:tcPr>
          <w:p>
            <w:pPr>
              <w:pStyle w:val="TableParagraph"/>
              <w:spacing w:line="227" w:lineRule="exact" w:before="16"/>
              <w:ind w:left="847"/>
              <w:rPr>
                <w:sz w:val="20"/>
              </w:rPr>
            </w:pPr>
            <w:r>
              <w:rPr>
                <w:w w:val="115"/>
                <w:sz w:val="20"/>
              </w:rPr>
              <w:t>3</w:t>
            </w:r>
          </w:p>
        </w:tc>
        <w:tc>
          <w:tcPr>
            <w:tcW w:w="1778" w:type="dxa"/>
          </w:tcPr>
          <w:p>
            <w:pPr>
              <w:pStyle w:val="TableParagraph"/>
              <w:spacing w:line="227" w:lineRule="exact" w:before="16"/>
              <w:ind w:left="817"/>
              <w:rPr>
                <w:sz w:val="20"/>
              </w:rPr>
            </w:pPr>
            <w:r>
              <w:rPr>
                <w:w w:val="115"/>
                <w:sz w:val="20"/>
              </w:rPr>
              <w:t>1</w:t>
            </w:r>
          </w:p>
        </w:tc>
        <w:tc>
          <w:tcPr>
            <w:tcW w:w="1807" w:type="dxa"/>
          </w:tcPr>
          <w:p>
            <w:pPr>
              <w:pStyle w:val="TableParagraph"/>
              <w:spacing w:line="227" w:lineRule="exact" w:before="16"/>
              <w:jc w:val="center"/>
              <w:rPr>
                <w:sz w:val="20"/>
              </w:rPr>
            </w:pPr>
            <w:r>
              <w:rPr>
                <w:w w:val="115"/>
                <w:sz w:val="20"/>
              </w:rPr>
              <w:t>1</w:t>
            </w:r>
          </w:p>
        </w:tc>
      </w:tr>
      <w:tr>
        <w:trPr>
          <w:trHeight w:val="252" w:hRule="atLeast"/>
        </w:trPr>
        <w:tc>
          <w:tcPr>
            <w:tcW w:w="3130" w:type="dxa"/>
            <w:gridSpan w:val="2"/>
          </w:tcPr>
          <w:p>
            <w:pPr>
              <w:pStyle w:val="TableParagraph"/>
              <w:spacing w:line="216" w:lineRule="exact" w:before="16"/>
              <w:ind w:left="38"/>
              <w:rPr>
                <w:sz w:val="20"/>
              </w:rPr>
            </w:pPr>
            <w:r>
              <w:rPr>
                <w:w w:val="120"/>
                <w:sz w:val="20"/>
              </w:rPr>
              <w:t>All Small Cap Funds</w:t>
            </w:r>
          </w:p>
        </w:tc>
        <w:tc>
          <w:tcPr>
            <w:tcW w:w="1391" w:type="dxa"/>
          </w:tcPr>
          <w:p>
            <w:pPr>
              <w:pStyle w:val="TableParagraph"/>
              <w:spacing w:line="216" w:lineRule="exact" w:before="16"/>
              <w:ind w:left="180"/>
              <w:rPr>
                <w:sz w:val="20"/>
              </w:rPr>
            </w:pPr>
            <w:r>
              <w:rPr>
                <w:w w:val="115"/>
                <w:sz w:val="20"/>
              </w:rPr>
              <w:t>251</w:t>
            </w:r>
          </w:p>
        </w:tc>
        <w:tc>
          <w:tcPr>
            <w:tcW w:w="1807" w:type="dxa"/>
          </w:tcPr>
          <w:p>
            <w:pPr>
              <w:pStyle w:val="TableParagraph"/>
              <w:spacing w:line="216" w:lineRule="exact" w:before="16"/>
              <w:ind w:left="770" w:right="767"/>
              <w:jc w:val="center"/>
              <w:rPr>
                <w:sz w:val="20"/>
              </w:rPr>
            </w:pPr>
            <w:r>
              <w:rPr>
                <w:w w:val="115"/>
                <w:sz w:val="20"/>
              </w:rPr>
              <w:t>22</w:t>
            </w:r>
          </w:p>
        </w:tc>
        <w:tc>
          <w:tcPr>
            <w:tcW w:w="1836" w:type="dxa"/>
          </w:tcPr>
          <w:p>
            <w:pPr>
              <w:pStyle w:val="TableParagraph"/>
              <w:spacing w:line="216" w:lineRule="exact" w:before="16"/>
              <w:ind w:left="788"/>
              <w:rPr>
                <w:sz w:val="20"/>
              </w:rPr>
            </w:pPr>
            <w:r>
              <w:rPr>
                <w:w w:val="115"/>
                <w:sz w:val="20"/>
              </w:rPr>
              <w:t>10</w:t>
            </w:r>
          </w:p>
        </w:tc>
        <w:tc>
          <w:tcPr>
            <w:tcW w:w="1778" w:type="dxa"/>
          </w:tcPr>
          <w:p>
            <w:pPr>
              <w:pStyle w:val="TableParagraph"/>
              <w:spacing w:line="216" w:lineRule="exact" w:before="16"/>
              <w:ind w:left="817"/>
              <w:rPr>
                <w:sz w:val="20"/>
              </w:rPr>
            </w:pPr>
            <w:r>
              <w:rPr>
                <w:w w:val="115"/>
                <w:sz w:val="20"/>
              </w:rPr>
              <w:t>4</w:t>
            </w:r>
          </w:p>
        </w:tc>
        <w:tc>
          <w:tcPr>
            <w:tcW w:w="1807" w:type="dxa"/>
          </w:tcPr>
          <w:p>
            <w:pPr>
              <w:pStyle w:val="TableParagraph"/>
              <w:spacing w:line="216" w:lineRule="exact" w:before="16"/>
              <w:jc w:val="center"/>
              <w:rPr>
                <w:sz w:val="20"/>
              </w:rPr>
            </w:pPr>
            <w:r>
              <w:rPr>
                <w:w w:val="115"/>
                <w:sz w:val="20"/>
              </w:rPr>
              <w:t>3</w:t>
            </w:r>
          </w:p>
        </w:tc>
      </w:tr>
    </w:tbl>
    <w:p>
      <w:pPr>
        <w:spacing w:before="83"/>
        <w:ind w:left="1564" w:right="0" w:firstLine="0"/>
        <w:jc w:val="left"/>
        <w:rPr>
          <w:rFonts w:ascii="Gill Sans MT"/>
          <w:sz w:val="14"/>
        </w:rPr>
      </w:pPr>
      <w:r>
        <w:rPr>
          <w:rFonts w:ascii="Gill Sans MT"/>
          <w:w w:val="110"/>
          <w:sz w:val="14"/>
        </w:rPr>
        <w:t>Source: S&amp;P Dow Jones Indices LLC, CRSP. Data as of December 31, 2024. Table is for illustrative purposes. Past performance is no guarantee of future results.</w:t>
      </w:r>
    </w:p>
    <w:p>
      <w:pPr>
        <w:spacing w:after="0"/>
        <w:jc w:val="left"/>
        <w:rPr>
          <w:rFonts w:ascii="Gill Sans MT"/>
          <w:sz w:val="14"/>
        </w:rPr>
        <w:sectPr>
          <w:headerReference w:type="default" r:id="rId136"/>
          <w:footerReference w:type="default" r:id="rId137"/>
          <w:pgSz w:w="14400" w:h="10800" w:orient="landscape"/>
          <w:pgMar w:header="600" w:footer="1259" w:top="1360" w:bottom="1440" w:left="20" w:right="40"/>
          <w:pgNumType w:start="37"/>
        </w:sectPr>
      </w:pPr>
    </w:p>
    <w:p>
      <w:pPr>
        <w:pStyle w:val="Heading1"/>
        <w:spacing w:before="133"/>
        <w:ind w:left="833"/>
      </w:pPr>
      <w:r>
        <w:rPr/>
        <w:pict>
          <v:group style="position:absolute;margin-left:29.216654pt;margin-top:249.654968pt;width:366.15pt;height:.7pt;mso-position-horizontal-relative:page;mso-position-vertical-relative:page;z-index:-266948608" coordorigin="584,4993" coordsize="7323,14">
            <v:line style="position:absolute" from="591,5000" to="7907,5000" stroked="true" strokeweight=".671629pt" strokecolor="#000000">
              <v:stroke dashstyle="solid"/>
            </v:line>
            <v:line style="position:absolute" from="584,5000" to="7907,5000" stroked="true" strokeweight=".671629pt" strokecolor="#000000">
              <v:stroke dashstyle="solid"/>
            </v:line>
            <w10:wrap type="none"/>
          </v:group>
        </w:pict>
      </w:r>
      <w:r>
        <w:rPr/>
        <w:pict>
          <v:group style="position:absolute;margin-left:29.216654pt;margin-top:329.735077pt;width:218.7pt;height:.7pt;mso-position-horizontal-relative:page;mso-position-vertical-relative:page;z-index:-266947584" coordorigin="584,6595" coordsize="4374,14">
            <v:line style="position:absolute" from="591,6601" to="4958,6601" stroked="true" strokeweight=".671627pt" strokecolor="#000000">
              <v:stroke dashstyle="solid"/>
            </v:line>
            <v:line style="position:absolute" from="584,6602" to="4958,6602" stroked="true" strokeweight=".671627pt" strokecolor="#000000">
              <v:stroke dashstyle="solid"/>
            </v:line>
            <w10:wrap type="none"/>
          </v:group>
        </w:pict>
      </w:r>
      <w:bookmarkStart w:name="Slide 38: Financial Market Performance" w:id="48"/>
      <w:bookmarkEnd w:id="48"/>
      <w:r>
        <w:rPr/>
      </w:r>
      <w:r>
        <w:rPr>
          <w:w w:val="105"/>
        </w:rPr>
        <w:t>Financial Market Performance</w:t>
      </w:r>
    </w:p>
    <w:p>
      <w:pPr>
        <w:spacing w:before="195"/>
        <w:ind w:left="591" w:right="0" w:firstLine="0"/>
        <w:jc w:val="left"/>
        <w:rPr>
          <w:rFonts w:ascii="Gill Sans MT"/>
          <w:i/>
          <w:sz w:val="18"/>
        </w:rPr>
      </w:pPr>
      <w:r>
        <w:rPr/>
        <w:pict>
          <v:group style="position:absolute;margin-left:28.545pt;margin-top:8.692155pt;width:662.95pt;height:360pt;mso-position-horizontal-relative:page;mso-position-vertical-relative:paragraph;z-index:-266950656" coordorigin="571,174" coordsize="13259,7200">
            <v:shape style="position:absolute;left:570;top:402;width:12838;height:472" coordorigin="571,403" coordsize="12838,472" path="m13408,403l571,403,571,874,12541,874,13408,403xe" filled="true" fillcolor="#014612" stroked="false">
              <v:path arrowok="t"/>
              <v:fill type="solid"/>
            </v:shape>
            <v:line style="position:absolute" from="578,174" to="578,7368" stroked="true" strokeweight=".671653pt" strokecolor="#000000">
              <v:stroke dashstyle="solid"/>
            </v:line>
            <v:rect style="position:absolute;left:570;top:7365;width:8;height:8" filled="true" fillcolor="#000000" stroked="false">
              <v:fill type="solid"/>
            </v:rect>
            <v:line style="position:absolute" from="591,183" to="13812,183" stroked="true" strokeweight=".499996pt" strokecolor="#000000">
              <v:stroke dashstyle="solid"/>
            </v:line>
            <v:line style="position:absolute" from="591,176" to="13823,176" stroked="true" strokeweight=".200003pt" strokecolor="#000000">
              <v:stroke dashstyle="solid"/>
            </v:line>
            <v:line style="position:absolute" from="584,181" to="13829,181" stroked="true" strokeweight=".671615pt" strokecolor="#000000">
              <v:stroke dashstyle="solid"/>
            </v:line>
            <v:line style="position:absolute" from="591,409" to="13408,409" stroked="true" strokeweight=".671632pt" strokecolor="#000000">
              <v:stroke dashstyle="solid"/>
            </v:line>
            <v:line style="position:absolute" from="584,409" to="13408,409" stroked="true" strokeweight=".671632pt" strokecolor="#000000">
              <v:stroke dashstyle="solid"/>
            </v:line>
            <v:shape style="position:absolute;left:584;top:7360;width:12;height:7" coordorigin="584,7360" coordsize="12,7" path="m596,7360l584,7360,584,7367,596,7360xe" filled="true" fillcolor="#000000" stroked="false">
              <v:path arrowok="t"/>
              <v:fill type="solid"/>
            </v:shape>
            <w10:wrap type="none"/>
          </v:group>
        </w:pict>
      </w:r>
      <w:r>
        <w:rPr>
          <w:rFonts w:ascii="Gill Sans MT"/>
          <w:i/>
          <w:w w:val="120"/>
          <w:sz w:val="18"/>
        </w:rPr>
        <w:t>Total Returns through June 30, 2025</w:t>
      </w:r>
    </w:p>
    <w:p>
      <w:pPr>
        <w:tabs>
          <w:tab w:pos="11335" w:val="left" w:leader="none"/>
        </w:tabs>
        <w:spacing w:before="29" w:after="28"/>
        <w:ind w:left="10353" w:right="0" w:firstLine="0"/>
        <w:jc w:val="left"/>
        <w:rPr>
          <w:rFonts w:ascii="Gill Sans MT"/>
          <w:sz w:val="17"/>
        </w:rPr>
      </w:pPr>
      <w:r>
        <w:rPr/>
        <w:pict>
          <v:group style="position:absolute;margin-left:29.216654pt;margin-top:22.798611pt;width:490.2pt;height:.7pt;mso-position-horizontal-relative:page;mso-position-vertical-relative:paragraph;z-index:-266949632" coordorigin="584,456" coordsize="9804,14">
            <v:line style="position:absolute" from="591,463" to="10380,463" stroked="true" strokeweight=".67163pt" strokecolor="#000000">
              <v:stroke dashstyle="solid"/>
            </v:line>
            <v:line style="position:absolute" from="584,463" to="10387,463" stroked="true" strokeweight=".67163pt" strokecolor="#000000">
              <v:stroke dashstyle="solid"/>
            </v:line>
            <w10:wrap type="none"/>
          </v:group>
        </w:pict>
      </w:r>
      <w:r>
        <w:rPr>
          <w:rFonts w:ascii="Gill Sans MT"/>
          <w:color w:val="FFFFFF"/>
          <w:w w:val="91"/>
          <w:sz w:val="17"/>
          <w:u w:val="single" w:color="FFFFFF"/>
        </w:rPr>
        <w:t> </w:t>
      </w:r>
      <w:r>
        <w:rPr>
          <w:rFonts w:ascii="Gill Sans MT"/>
          <w:color w:val="FFFFFF"/>
          <w:sz w:val="17"/>
          <w:u w:val="single" w:color="FFFFFF"/>
        </w:rPr>
        <w:tab/>
      </w:r>
      <w:r>
        <w:rPr>
          <w:rFonts w:ascii="Gill Sans MT"/>
          <w:color w:val="FFFFFF"/>
          <w:w w:val="115"/>
          <w:sz w:val="17"/>
          <w:u w:val="single" w:color="FFFFFF"/>
        </w:rPr>
        <w:t>Annualized</w:t>
      </w:r>
      <w:r>
        <w:rPr>
          <w:rFonts w:ascii="Gill Sans MT"/>
          <w:color w:val="FFFFFF"/>
          <w:spacing w:val="-20"/>
          <w:w w:val="115"/>
          <w:sz w:val="17"/>
          <w:u w:val="single" w:color="FFFFFF"/>
        </w:rPr>
        <w:t> </w:t>
      </w:r>
      <w:r>
        <w:rPr>
          <w:rFonts w:ascii="Gill Sans MT"/>
          <w:color w:val="FFFFFF"/>
          <w:w w:val="115"/>
          <w:sz w:val="17"/>
          <w:u w:val="single" w:color="FFFFFF"/>
        </w:rPr>
        <w:t>Returns</w:t>
      </w:r>
      <w:r>
        <w:rPr>
          <w:rFonts w:ascii="Gill Sans MT"/>
          <w:color w:val="FFFFFF"/>
          <w:spacing w:val="-11"/>
          <w:sz w:val="17"/>
          <w:u w:val="single" w:color="FFFFFF"/>
        </w:rPr>
        <w:t> </w:t>
      </w: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79"/>
        <w:gridCol w:w="3536"/>
        <w:gridCol w:w="1449"/>
        <w:gridCol w:w="840"/>
        <w:gridCol w:w="893"/>
        <w:gridCol w:w="861"/>
        <w:gridCol w:w="841"/>
        <w:gridCol w:w="741"/>
      </w:tblGrid>
      <w:tr>
        <w:trPr>
          <w:trHeight w:val="209" w:hRule="atLeast"/>
        </w:trPr>
        <w:tc>
          <w:tcPr>
            <w:tcW w:w="3079" w:type="dxa"/>
          </w:tcPr>
          <w:p>
            <w:pPr>
              <w:pStyle w:val="TableParagraph"/>
              <w:spacing w:line="185" w:lineRule="exact" w:before="4"/>
              <w:ind w:left="33"/>
              <w:rPr>
                <w:sz w:val="17"/>
              </w:rPr>
            </w:pPr>
            <w:r>
              <w:rPr>
                <w:color w:val="FFFFFF"/>
                <w:w w:val="120"/>
                <w:sz w:val="17"/>
              </w:rPr>
              <w:t>Asset Class</w:t>
            </w:r>
          </w:p>
        </w:tc>
        <w:tc>
          <w:tcPr>
            <w:tcW w:w="3536" w:type="dxa"/>
          </w:tcPr>
          <w:p>
            <w:pPr>
              <w:pStyle w:val="TableParagraph"/>
              <w:spacing w:line="185" w:lineRule="exact" w:before="4"/>
              <w:ind w:left="746"/>
              <w:rPr>
                <w:sz w:val="17"/>
              </w:rPr>
            </w:pPr>
            <w:r>
              <w:rPr>
                <w:color w:val="FFFFFF"/>
                <w:w w:val="110"/>
                <w:sz w:val="17"/>
              </w:rPr>
              <w:t>Index Description</w:t>
            </w:r>
          </w:p>
        </w:tc>
        <w:tc>
          <w:tcPr>
            <w:tcW w:w="1449" w:type="dxa"/>
          </w:tcPr>
          <w:p>
            <w:pPr>
              <w:pStyle w:val="TableParagraph"/>
              <w:spacing w:line="185" w:lineRule="exact" w:before="4"/>
              <w:ind w:right="225"/>
              <w:jc w:val="right"/>
              <w:rPr>
                <w:sz w:val="17"/>
              </w:rPr>
            </w:pPr>
            <w:r>
              <w:rPr>
                <w:color w:val="FFFFFF"/>
                <w:w w:val="105"/>
                <w:sz w:val="17"/>
              </w:rPr>
              <w:t>2Q25</w:t>
            </w:r>
          </w:p>
        </w:tc>
        <w:tc>
          <w:tcPr>
            <w:tcW w:w="840" w:type="dxa"/>
          </w:tcPr>
          <w:p>
            <w:pPr>
              <w:pStyle w:val="TableParagraph"/>
              <w:spacing w:line="185" w:lineRule="exact" w:before="4"/>
              <w:ind w:left="252"/>
              <w:rPr>
                <w:sz w:val="17"/>
              </w:rPr>
            </w:pPr>
            <w:r>
              <w:rPr>
                <w:color w:val="FFFFFF"/>
                <w:sz w:val="17"/>
              </w:rPr>
              <w:t>YTD</w:t>
            </w:r>
          </w:p>
        </w:tc>
        <w:tc>
          <w:tcPr>
            <w:tcW w:w="893" w:type="dxa"/>
          </w:tcPr>
          <w:p>
            <w:pPr>
              <w:pStyle w:val="TableParagraph"/>
              <w:spacing w:line="185" w:lineRule="exact" w:before="4"/>
              <w:ind w:right="182"/>
              <w:jc w:val="right"/>
              <w:rPr>
                <w:sz w:val="17"/>
              </w:rPr>
            </w:pPr>
            <w:r>
              <w:rPr>
                <w:color w:val="FFFFFF"/>
                <w:w w:val="110"/>
                <w:sz w:val="17"/>
              </w:rPr>
              <w:t>1 Year</w:t>
            </w:r>
          </w:p>
        </w:tc>
        <w:tc>
          <w:tcPr>
            <w:tcW w:w="861" w:type="dxa"/>
          </w:tcPr>
          <w:p>
            <w:pPr>
              <w:pStyle w:val="TableParagraph"/>
              <w:spacing w:line="185" w:lineRule="exact" w:before="4"/>
              <w:ind w:left="187"/>
              <w:rPr>
                <w:sz w:val="17"/>
              </w:rPr>
            </w:pPr>
            <w:r>
              <w:rPr>
                <w:color w:val="FFFFFF"/>
                <w:w w:val="110"/>
                <w:sz w:val="17"/>
              </w:rPr>
              <w:t>3 Year</w:t>
            </w:r>
          </w:p>
        </w:tc>
        <w:tc>
          <w:tcPr>
            <w:tcW w:w="841" w:type="dxa"/>
          </w:tcPr>
          <w:p>
            <w:pPr>
              <w:pStyle w:val="TableParagraph"/>
              <w:spacing w:line="185" w:lineRule="exact" w:before="4"/>
              <w:ind w:left="187"/>
              <w:rPr>
                <w:sz w:val="17"/>
              </w:rPr>
            </w:pPr>
            <w:r>
              <w:rPr>
                <w:color w:val="FFFFFF"/>
                <w:w w:val="110"/>
                <w:sz w:val="17"/>
              </w:rPr>
              <w:t>5 Year</w:t>
            </w:r>
          </w:p>
        </w:tc>
        <w:tc>
          <w:tcPr>
            <w:tcW w:w="741" w:type="dxa"/>
          </w:tcPr>
          <w:p>
            <w:pPr>
              <w:pStyle w:val="TableParagraph"/>
              <w:spacing w:line="185" w:lineRule="exact" w:before="4"/>
              <w:ind w:left="166"/>
              <w:rPr>
                <w:sz w:val="17"/>
              </w:rPr>
            </w:pPr>
            <w:r>
              <w:rPr>
                <w:color w:val="FFFFFF"/>
                <w:w w:val="115"/>
                <w:sz w:val="17"/>
              </w:rPr>
              <w:t>10 Yea</w:t>
            </w:r>
          </w:p>
        </w:tc>
      </w:tr>
      <w:tr>
        <w:trPr>
          <w:trHeight w:val="290" w:hRule="atLeast"/>
        </w:trPr>
        <w:tc>
          <w:tcPr>
            <w:tcW w:w="3079" w:type="dxa"/>
          </w:tcPr>
          <w:p>
            <w:pPr>
              <w:pStyle w:val="TableParagraph"/>
              <w:spacing w:before="24"/>
              <w:ind w:left="33"/>
              <w:rPr>
                <w:sz w:val="17"/>
              </w:rPr>
            </w:pPr>
            <w:r>
              <w:rPr>
                <w:w w:val="115"/>
                <w:sz w:val="17"/>
              </w:rPr>
              <w:t>U.S. Equity</w:t>
            </w:r>
          </w:p>
        </w:tc>
        <w:tc>
          <w:tcPr>
            <w:tcW w:w="3536" w:type="dxa"/>
          </w:tcPr>
          <w:p>
            <w:pPr>
              <w:pStyle w:val="TableParagraph"/>
              <w:rPr>
                <w:rFonts w:ascii="Times New Roman"/>
                <w:sz w:val="18"/>
              </w:rPr>
            </w:pPr>
          </w:p>
        </w:tc>
        <w:tc>
          <w:tcPr>
            <w:tcW w:w="1449" w:type="dxa"/>
          </w:tcPr>
          <w:p>
            <w:pPr>
              <w:pStyle w:val="TableParagraph"/>
              <w:rPr>
                <w:rFonts w:ascii="Times New Roman"/>
                <w:sz w:val="18"/>
              </w:rPr>
            </w:pPr>
          </w:p>
        </w:tc>
        <w:tc>
          <w:tcPr>
            <w:tcW w:w="840" w:type="dxa"/>
          </w:tcPr>
          <w:p>
            <w:pPr>
              <w:pStyle w:val="TableParagraph"/>
              <w:rPr>
                <w:rFonts w:ascii="Times New Roman"/>
                <w:sz w:val="18"/>
              </w:rPr>
            </w:pPr>
          </w:p>
        </w:tc>
        <w:tc>
          <w:tcPr>
            <w:tcW w:w="893" w:type="dxa"/>
          </w:tcPr>
          <w:p>
            <w:pPr>
              <w:pStyle w:val="TableParagraph"/>
              <w:rPr>
                <w:rFonts w:ascii="Times New Roman"/>
                <w:sz w:val="18"/>
              </w:rPr>
            </w:pPr>
          </w:p>
        </w:tc>
        <w:tc>
          <w:tcPr>
            <w:tcW w:w="861" w:type="dxa"/>
          </w:tcPr>
          <w:p>
            <w:pPr>
              <w:pStyle w:val="TableParagraph"/>
              <w:rPr>
                <w:rFonts w:ascii="Times New Roman"/>
                <w:sz w:val="18"/>
              </w:rPr>
            </w:pPr>
          </w:p>
        </w:tc>
        <w:tc>
          <w:tcPr>
            <w:tcW w:w="841" w:type="dxa"/>
          </w:tcPr>
          <w:p>
            <w:pPr>
              <w:pStyle w:val="TableParagraph"/>
              <w:rPr>
                <w:rFonts w:ascii="Times New Roman"/>
                <w:sz w:val="18"/>
              </w:rPr>
            </w:pPr>
          </w:p>
        </w:tc>
        <w:tc>
          <w:tcPr>
            <w:tcW w:w="741" w:type="dxa"/>
          </w:tcPr>
          <w:p>
            <w:pPr>
              <w:pStyle w:val="TableParagraph"/>
              <w:rPr>
                <w:rFonts w:ascii="Times New Roman"/>
                <w:sz w:val="18"/>
              </w:rPr>
            </w:pPr>
          </w:p>
        </w:tc>
      </w:tr>
      <w:tr>
        <w:trPr>
          <w:trHeight w:val="282" w:hRule="atLeast"/>
        </w:trPr>
        <w:tc>
          <w:tcPr>
            <w:tcW w:w="3079" w:type="dxa"/>
          </w:tcPr>
          <w:p>
            <w:pPr>
              <w:pStyle w:val="TableParagraph"/>
              <w:spacing w:line="193" w:lineRule="exact" w:before="70"/>
              <w:ind w:left="33"/>
              <w:rPr>
                <w:sz w:val="17"/>
              </w:rPr>
            </w:pPr>
            <w:r>
              <w:rPr>
                <w:w w:val="110"/>
                <w:sz w:val="17"/>
              </w:rPr>
              <w:t>Large-Cap Core</w:t>
            </w:r>
          </w:p>
        </w:tc>
        <w:tc>
          <w:tcPr>
            <w:tcW w:w="3536" w:type="dxa"/>
          </w:tcPr>
          <w:p>
            <w:pPr>
              <w:pStyle w:val="TableParagraph"/>
              <w:spacing w:line="193" w:lineRule="exact" w:before="70"/>
              <w:ind w:left="746"/>
              <w:rPr>
                <w:sz w:val="17"/>
              </w:rPr>
            </w:pPr>
            <w:r>
              <w:rPr>
                <w:w w:val="120"/>
                <w:sz w:val="17"/>
              </w:rPr>
              <w:t>S&amp;P 500</w:t>
            </w:r>
          </w:p>
        </w:tc>
        <w:tc>
          <w:tcPr>
            <w:tcW w:w="1449" w:type="dxa"/>
          </w:tcPr>
          <w:p>
            <w:pPr>
              <w:pStyle w:val="TableParagraph"/>
              <w:spacing w:line="193" w:lineRule="exact" w:before="70"/>
              <w:ind w:right="208"/>
              <w:jc w:val="right"/>
              <w:rPr>
                <w:sz w:val="17"/>
              </w:rPr>
            </w:pPr>
            <w:r>
              <w:rPr>
                <w:w w:val="115"/>
                <w:sz w:val="17"/>
              </w:rPr>
              <w:t>10.9%</w:t>
            </w:r>
          </w:p>
        </w:tc>
        <w:tc>
          <w:tcPr>
            <w:tcW w:w="840" w:type="dxa"/>
          </w:tcPr>
          <w:p>
            <w:pPr>
              <w:pStyle w:val="TableParagraph"/>
              <w:spacing w:line="193" w:lineRule="exact" w:before="70"/>
              <w:ind w:left="239"/>
              <w:rPr>
                <w:sz w:val="17"/>
              </w:rPr>
            </w:pPr>
            <w:r>
              <w:rPr>
                <w:w w:val="115"/>
                <w:sz w:val="17"/>
              </w:rPr>
              <w:t>6.2%</w:t>
            </w:r>
          </w:p>
        </w:tc>
        <w:tc>
          <w:tcPr>
            <w:tcW w:w="893" w:type="dxa"/>
          </w:tcPr>
          <w:p>
            <w:pPr>
              <w:pStyle w:val="TableParagraph"/>
              <w:spacing w:line="193" w:lineRule="exact" w:before="70"/>
              <w:ind w:right="193"/>
              <w:jc w:val="right"/>
              <w:rPr>
                <w:sz w:val="17"/>
              </w:rPr>
            </w:pPr>
            <w:r>
              <w:rPr>
                <w:w w:val="115"/>
                <w:sz w:val="17"/>
              </w:rPr>
              <w:t>15.2%</w:t>
            </w:r>
          </w:p>
        </w:tc>
        <w:tc>
          <w:tcPr>
            <w:tcW w:w="861" w:type="dxa"/>
          </w:tcPr>
          <w:p>
            <w:pPr>
              <w:pStyle w:val="TableParagraph"/>
              <w:spacing w:line="193" w:lineRule="exact" w:before="70"/>
              <w:ind w:left="214"/>
              <w:rPr>
                <w:sz w:val="17"/>
              </w:rPr>
            </w:pPr>
            <w:r>
              <w:rPr>
                <w:w w:val="115"/>
                <w:sz w:val="17"/>
              </w:rPr>
              <w:t>19.7%</w:t>
            </w:r>
          </w:p>
        </w:tc>
        <w:tc>
          <w:tcPr>
            <w:tcW w:w="841" w:type="dxa"/>
          </w:tcPr>
          <w:p>
            <w:pPr>
              <w:pStyle w:val="TableParagraph"/>
              <w:spacing w:line="193" w:lineRule="exact" w:before="70"/>
              <w:ind w:left="213"/>
              <w:rPr>
                <w:sz w:val="17"/>
              </w:rPr>
            </w:pPr>
            <w:r>
              <w:rPr>
                <w:w w:val="120"/>
                <w:sz w:val="17"/>
              </w:rPr>
              <w:t>16.6</w:t>
            </w:r>
          </w:p>
        </w:tc>
        <w:tc>
          <w:tcPr>
            <w:tcW w:w="741" w:type="dxa"/>
          </w:tcPr>
          <w:p>
            <w:pPr>
              <w:pStyle w:val="TableParagraph"/>
              <w:rPr>
                <w:rFonts w:ascii="Times New Roman"/>
                <w:sz w:val="18"/>
              </w:rPr>
            </w:pPr>
          </w:p>
        </w:tc>
      </w:tr>
      <w:tr>
        <w:trPr>
          <w:trHeight w:val="228" w:hRule="atLeast"/>
        </w:trPr>
        <w:tc>
          <w:tcPr>
            <w:tcW w:w="3079" w:type="dxa"/>
          </w:tcPr>
          <w:p>
            <w:pPr>
              <w:pStyle w:val="TableParagraph"/>
              <w:spacing w:line="192" w:lineRule="exact" w:before="16"/>
              <w:ind w:left="33"/>
              <w:rPr>
                <w:sz w:val="17"/>
              </w:rPr>
            </w:pPr>
            <w:r>
              <w:rPr>
                <w:w w:val="110"/>
                <w:sz w:val="17"/>
              </w:rPr>
              <w:t>Large-Cap Growth</w:t>
            </w:r>
          </w:p>
        </w:tc>
        <w:tc>
          <w:tcPr>
            <w:tcW w:w="3536" w:type="dxa"/>
          </w:tcPr>
          <w:p>
            <w:pPr>
              <w:pStyle w:val="TableParagraph"/>
              <w:spacing w:line="192" w:lineRule="exact" w:before="16"/>
              <w:ind w:left="746"/>
              <w:rPr>
                <w:sz w:val="17"/>
              </w:rPr>
            </w:pPr>
            <w:r>
              <w:rPr>
                <w:w w:val="110"/>
                <w:sz w:val="17"/>
              </w:rPr>
              <w:t>S&amp;P 500 Growth</w:t>
            </w:r>
          </w:p>
        </w:tc>
        <w:tc>
          <w:tcPr>
            <w:tcW w:w="1449" w:type="dxa"/>
          </w:tcPr>
          <w:p>
            <w:pPr>
              <w:pStyle w:val="TableParagraph"/>
              <w:spacing w:line="192" w:lineRule="exact" w:before="16"/>
              <w:ind w:right="208"/>
              <w:jc w:val="right"/>
              <w:rPr>
                <w:sz w:val="17"/>
              </w:rPr>
            </w:pPr>
            <w:r>
              <w:rPr>
                <w:w w:val="115"/>
                <w:sz w:val="17"/>
              </w:rPr>
              <w:t>18.9%</w:t>
            </w:r>
          </w:p>
        </w:tc>
        <w:tc>
          <w:tcPr>
            <w:tcW w:w="840" w:type="dxa"/>
          </w:tcPr>
          <w:p>
            <w:pPr>
              <w:pStyle w:val="TableParagraph"/>
              <w:spacing w:line="192" w:lineRule="exact" w:before="16"/>
              <w:ind w:left="239"/>
              <w:rPr>
                <w:sz w:val="17"/>
              </w:rPr>
            </w:pPr>
            <w:r>
              <w:rPr>
                <w:w w:val="115"/>
                <w:sz w:val="17"/>
              </w:rPr>
              <w:t>8.9%</w:t>
            </w:r>
          </w:p>
        </w:tc>
        <w:tc>
          <w:tcPr>
            <w:tcW w:w="893" w:type="dxa"/>
          </w:tcPr>
          <w:p>
            <w:pPr>
              <w:pStyle w:val="TableParagraph"/>
              <w:spacing w:line="192" w:lineRule="exact" w:before="16"/>
              <w:ind w:right="193"/>
              <w:jc w:val="right"/>
              <w:rPr>
                <w:sz w:val="17"/>
              </w:rPr>
            </w:pPr>
            <w:r>
              <w:rPr>
                <w:w w:val="115"/>
                <w:sz w:val="17"/>
              </w:rPr>
              <w:t>19.9%</w:t>
            </w:r>
          </w:p>
        </w:tc>
        <w:tc>
          <w:tcPr>
            <w:tcW w:w="861" w:type="dxa"/>
          </w:tcPr>
          <w:p>
            <w:pPr>
              <w:pStyle w:val="TableParagraph"/>
              <w:spacing w:line="192" w:lineRule="exact" w:before="16"/>
              <w:ind w:left="214"/>
              <w:rPr>
                <w:sz w:val="17"/>
              </w:rPr>
            </w:pPr>
            <w:r>
              <w:rPr>
                <w:w w:val="115"/>
                <w:sz w:val="17"/>
              </w:rPr>
              <w:t>23.4%</w:t>
            </w:r>
          </w:p>
        </w:tc>
        <w:tc>
          <w:tcPr>
            <w:tcW w:w="841" w:type="dxa"/>
          </w:tcPr>
          <w:p>
            <w:pPr>
              <w:pStyle w:val="TableParagraph"/>
              <w:rPr>
                <w:rFonts w:ascii="Times New Roman"/>
                <w:sz w:val="16"/>
              </w:rPr>
            </w:pPr>
          </w:p>
        </w:tc>
        <w:tc>
          <w:tcPr>
            <w:tcW w:w="741" w:type="dxa"/>
          </w:tcPr>
          <w:p>
            <w:pPr>
              <w:pStyle w:val="TableParagraph"/>
              <w:rPr>
                <w:rFonts w:ascii="Times New Roman"/>
                <w:sz w:val="16"/>
              </w:rPr>
            </w:pPr>
          </w:p>
        </w:tc>
      </w:tr>
      <w:tr>
        <w:trPr>
          <w:trHeight w:val="228" w:hRule="atLeast"/>
        </w:trPr>
        <w:tc>
          <w:tcPr>
            <w:tcW w:w="3079" w:type="dxa"/>
          </w:tcPr>
          <w:p>
            <w:pPr>
              <w:pStyle w:val="TableParagraph"/>
              <w:spacing w:line="193" w:lineRule="exact" w:before="16"/>
              <w:ind w:left="33"/>
              <w:rPr>
                <w:sz w:val="17"/>
              </w:rPr>
            </w:pPr>
            <w:r>
              <w:rPr>
                <w:w w:val="115"/>
                <w:sz w:val="17"/>
              </w:rPr>
              <w:t>Large-Cap Value</w:t>
            </w:r>
          </w:p>
        </w:tc>
        <w:tc>
          <w:tcPr>
            <w:tcW w:w="3536" w:type="dxa"/>
          </w:tcPr>
          <w:p>
            <w:pPr>
              <w:pStyle w:val="TableParagraph"/>
              <w:spacing w:line="193" w:lineRule="exact" w:before="16"/>
              <w:ind w:left="746"/>
              <w:rPr>
                <w:sz w:val="17"/>
              </w:rPr>
            </w:pPr>
            <w:r>
              <w:rPr>
                <w:w w:val="120"/>
                <w:sz w:val="17"/>
              </w:rPr>
              <w:t>S&amp;P 500 Value</w:t>
            </w:r>
          </w:p>
        </w:tc>
        <w:tc>
          <w:tcPr>
            <w:tcW w:w="1449" w:type="dxa"/>
          </w:tcPr>
          <w:p>
            <w:pPr>
              <w:pStyle w:val="TableParagraph"/>
              <w:spacing w:line="193" w:lineRule="exact" w:before="16"/>
              <w:ind w:right="249"/>
              <w:jc w:val="right"/>
              <w:rPr>
                <w:sz w:val="17"/>
              </w:rPr>
            </w:pPr>
            <w:r>
              <w:rPr>
                <w:w w:val="115"/>
                <w:sz w:val="17"/>
              </w:rPr>
              <w:t>3.0%</w:t>
            </w:r>
          </w:p>
        </w:tc>
        <w:tc>
          <w:tcPr>
            <w:tcW w:w="840" w:type="dxa"/>
          </w:tcPr>
          <w:p>
            <w:pPr>
              <w:pStyle w:val="TableParagraph"/>
              <w:spacing w:line="193" w:lineRule="exact" w:before="16"/>
              <w:ind w:left="239"/>
              <w:rPr>
                <w:sz w:val="17"/>
              </w:rPr>
            </w:pPr>
            <w:r>
              <w:rPr>
                <w:w w:val="115"/>
                <w:sz w:val="17"/>
              </w:rPr>
              <w:t>3.3%</w:t>
            </w:r>
          </w:p>
        </w:tc>
        <w:tc>
          <w:tcPr>
            <w:tcW w:w="893" w:type="dxa"/>
          </w:tcPr>
          <w:p>
            <w:pPr>
              <w:pStyle w:val="TableParagraph"/>
              <w:spacing w:line="193" w:lineRule="exact" w:before="16"/>
              <w:ind w:right="247"/>
              <w:jc w:val="right"/>
              <w:rPr>
                <w:sz w:val="17"/>
              </w:rPr>
            </w:pPr>
            <w:r>
              <w:rPr>
                <w:w w:val="115"/>
                <w:sz w:val="17"/>
              </w:rPr>
              <w:t>9.6%</w:t>
            </w:r>
          </w:p>
        </w:tc>
        <w:tc>
          <w:tcPr>
            <w:tcW w:w="861" w:type="dxa"/>
          </w:tcPr>
          <w:p>
            <w:pPr>
              <w:pStyle w:val="TableParagraph"/>
              <w:spacing w:line="193" w:lineRule="exact" w:before="16"/>
              <w:ind w:left="214"/>
              <w:rPr>
                <w:sz w:val="17"/>
              </w:rPr>
            </w:pPr>
            <w:r>
              <w:rPr>
                <w:w w:val="120"/>
                <w:sz w:val="17"/>
              </w:rPr>
              <w:t>14.9</w:t>
            </w:r>
          </w:p>
        </w:tc>
        <w:tc>
          <w:tcPr>
            <w:tcW w:w="841" w:type="dxa"/>
          </w:tcPr>
          <w:p>
            <w:pPr>
              <w:pStyle w:val="TableParagraph"/>
              <w:rPr>
                <w:rFonts w:ascii="Times New Roman"/>
                <w:sz w:val="16"/>
              </w:rPr>
            </w:pPr>
          </w:p>
        </w:tc>
        <w:tc>
          <w:tcPr>
            <w:tcW w:w="741" w:type="dxa"/>
          </w:tcPr>
          <w:p>
            <w:pPr>
              <w:pStyle w:val="TableParagraph"/>
              <w:rPr>
                <w:rFonts w:ascii="Times New Roman"/>
                <w:sz w:val="16"/>
              </w:rPr>
            </w:pPr>
          </w:p>
        </w:tc>
      </w:tr>
      <w:tr>
        <w:trPr>
          <w:trHeight w:val="228" w:hRule="atLeast"/>
        </w:trPr>
        <w:tc>
          <w:tcPr>
            <w:tcW w:w="3079" w:type="dxa"/>
          </w:tcPr>
          <w:p>
            <w:pPr>
              <w:pStyle w:val="TableParagraph"/>
              <w:spacing w:line="192" w:lineRule="exact" w:before="16"/>
              <w:ind w:left="33"/>
              <w:rPr>
                <w:sz w:val="17"/>
              </w:rPr>
            </w:pPr>
            <w:r>
              <w:rPr>
                <w:w w:val="105"/>
                <w:sz w:val="17"/>
              </w:rPr>
              <w:t>Mid-Cap Core</w:t>
            </w:r>
          </w:p>
        </w:tc>
        <w:tc>
          <w:tcPr>
            <w:tcW w:w="3536" w:type="dxa"/>
          </w:tcPr>
          <w:p>
            <w:pPr>
              <w:pStyle w:val="TableParagraph"/>
              <w:spacing w:line="192" w:lineRule="exact" w:before="16"/>
              <w:ind w:left="746"/>
              <w:rPr>
                <w:sz w:val="17"/>
              </w:rPr>
            </w:pPr>
            <w:r>
              <w:rPr>
                <w:w w:val="115"/>
                <w:sz w:val="17"/>
              </w:rPr>
              <w:t>S&amp;P MidCap 400</w:t>
            </w:r>
          </w:p>
        </w:tc>
        <w:tc>
          <w:tcPr>
            <w:tcW w:w="1449" w:type="dxa"/>
          </w:tcPr>
          <w:p>
            <w:pPr>
              <w:pStyle w:val="TableParagraph"/>
              <w:spacing w:line="192" w:lineRule="exact" w:before="16"/>
              <w:ind w:right="249"/>
              <w:jc w:val="right"/>
              <w:rPr>
                <w:sz w:val="17"/>
              </w:rPr>
            </w:pPr>
            <w:r>
              <w:rPr>
                <w:w w:val="115"/>
                <w:sz w:val="17"/>
              </w:rPr>
              <w:t>6.7%</w:t>
            </w:r>
          </w:p>
        </w:tc>
        <w:tc>
          <w:tcPr>
            <w:tcW w:w="840" w:type="dxa"/>
          </w:tcPr>
          <w:p>
            <w:pPr>
              <w:pStyle w:val="TableParagraph"/>
              <w:spacing w:line="192" w:lineRule="exact" w:before="16"/>
              <w:ind w:left="239"/>
              <w:rPr>
                <w:sz w:val="17"/>
              </w:rPr>
            </w:pPr>
            <w:r>
              <w:rPr>
                <w:w w:val="115"/>
                <w:sz w:val="17"/>
              </w:rPr>
              <w:t>0.2%</w:t>
            </w:r>
          </w:p>
        </w:tc>
        <w:tc>
          <w:tcPr>
            <w:tcW w:w="893" w:type="dxa"/>
          </w:tcPr>
          <w:p>
            <w:pPr>
              <w:pStyle w:val="TableParagraph"/>
              <w:spacing w:line="192" w:lineRule="exact" w:before="16"/>
              <w:ind w:right="247"/>
              <w:jc w:val="right"/>
              <w:rPr>
                <w:sz w:val="17"/>
              </w:rPr>
            </w:pPr>
            <w:r>
              <w:rPr>
                <w:w w:val="115"/>
                <w:sz w:val="17"/>
              </w:rPr>
              <w:t>7.5%</w:t>
            </w:r>
          </w:p>
        </w:tc>
        <w:tc>
          <w:tcPr>
            <w:tcW w:w="861" w:type="dxa"/>
          </w:tcPr>
          <w:p>
            <w:pPr>
              <w:pStyle w:val="TableParagraph"/>
              <w:rPr>
                <w:rFonts w:ascii="Times New Roman"/>
                <w:sz w:val="16"/>
              </w:rPr>
            </w:pPr>
          </w:p>
        </w:tc>
        <w:tc>
          <w:tcPr>
            <w:tcW w:w="841" w:type="dxa"/>
          </w:tcPr>
          <w:p>
            <w:pPr>
              <w:pStyle w:val="TableParagraph"/>
              <w:rPr>
                <w:rFonts w:ascii="Times New Roman"/>
                <w:sz w:val="16"/>
              </w:rPr>
            </w:pPr>
          </w:p>
        </w:tc>
        <w:tc>
          <w:tcPr>
            <w:tcW w:w="741" w:type="dxa"/>
          </w:tcPr>
          <w:p>
            <w:pPr>
              <w:pStyle w:val="TableParagraph"/>
              <w:rPr>
                <w:rFonts w:ascii="Times New Roman"/>
                <w:sz w:val="16"/>
              </w:rPr>
            </w:pPr>
          </w:p>
        </w:tc>
      </w:tr>
      <w:tr>
        <w:trPr>
          <w:trHeight w:val="228" w:hRule="atLeast"/>
        </w:trPr>
        <w:tc>
          <w:tcPr>
            <w:tcW w:w="3079" w:type="dxa"/>
          </w:tcPr>
          <w:p>
            <w:pPr>
              <w:pStyle w:val="TableParagraph"/>
              <w:spacing w:line="193" w:lineRule="exact" w:before="16"/>
              <w:ind w:left="33"/>
              <w:rPr>
                <w:sz w:val="17"/>
              </w:rPr>
            </w:pPr>
            <w:r>
              <w:rPr>
                <w:w w:val="105"/>
                <w:sz w:val="17"/>
              </w:rPr>
              <w:t>Mid-Cap Growth</w:t>
            </w:r>
          </w:p>
        </w:tc>
        <w:tc>
          <w:tcPr>
            <w:tcW w:w="3536" w:type="dxa"/>
          </w:tcPr>
          <w:p>
            <w:pPr>
              <w:pStyle w:val="TableParagraph"/>
              <w:spacing w:line="193" w:lineRule="exact" w:before="16"/>
              <w:ind w:left="746"/>
              <w:rPr>
                <w:sz w:val="17"/>
              </w:rPr>
            </w:pPr>
            <w:r>
              <w:rPr>
                <w:w w:val="115"/>
                <w:sz w:val="17"/>
              </w:rPr>
              <w:t>S&amp;P MidCap 400 Growth</w:t>
            </w:r>
          </w:p>
        </w:tc>
        <w:tc>
          <w:tcPr>
            <w:tcW w:w="1449" w:type="dxa"/>
          </w:tcPr>
          <w:p>
            <w:pPr>
              <w:pStyle w:val="TableParagraph"/>
              <w:spacing w:line="193" w:lineRule="exact" w:before="16"/>
              <w:ind w:right="249"/>
              <w:jc w:val="right"/>
              <w:rPr>
                <w:sz w:val="17"/>
              </w:rPr>
            </w:pPr>
            <w:r>
              <w:rPr>
                <w:w w:val="115"/>
                <w:sz w:val="17"/>
              </w:rPr>
              <w:t>9.6%</w:t>
            </w:r>
          </w:p>
        </w:tc>
        <w:tc>
          <w:tcPr>
            <w:tcW w:w="840" w:type="dxa"/>
          </w:tcPr>
          <w:p>
            <w:pPr>
              <w:pStyle w:val="TableParagraph"/>
              <w:spacing w:line="193" w:lineRule="exact" w:before="16"/>
              <w:ind w:left="239"/>
              <w:rPr>
                <w:sz w:val="17"/>
              </w:rPr>
            </w:pPr>
            <w:r>
              <w:rPr>
                <w:w w:val="115"/>
                <w:sz w:val="17"/>
              </w:rPr>
              <w:t>0.5%</w:t>
            </w:r>
          </w:p>
        </w:tc>
        <w:tc>
          <w:tcPr>
            <w:tcW w:w="893" w:type="dxa"/>
          </w:tcPr>
          <w:p>
            <w:pPr>
              <w:pStyle w:val="TableParagraph"/>
              <w:spacing w:line="193" w:lineRule="exact" w:before="16"/>
              <w:ind w:right="247"/>
              <w:jc w:val="right"/>
              <w:rPr>
                <w:sz w:val="17"/>
              </w:rPr>
            </w:pPr>
            <w:r>
              <w:rPr>
                <w:w w:val="115"/>
                <w:sz w:val="17"/>
              </w:rPr>
              <w:t>4.3%</w:t>
            </w:r>
          </w:p>
        </w:tc>
        <w:tc>
          <w:tcPr>
            <w:tcW w:w="861" w:type="dxa"/>
          </w:tcPr>
          <w:p>
            <w:pPr>
              <w:pStyle w:val="TableParagraph"/>
              <w:rPr>
                <w:rFonts w:ascii="Times New Roman"/>
                <w:sz w:val="16"/>
              </w:rPr>
            </w:pPr>
          </w:p>
        </w:tc>
        <w:tc>
          <w:tcPr>
            <w:tcW w:w="841" w:type="dxa"/>
          </w:tcPr>
          <w:p>
            <w:pPr>
              <w:pStyle w:val="TableParagraph"/>
              <w:rPr>
                <w:rFonts w:ascii="Times New Roman"/>
                <w:sz w:val="16"/>
              </w:rPr>
            </w:pPr>
          </w:p>
        </w:tc>
        <w:tc>
          <w:tcPr>
            <w:tcW w:w="741" w:type="dxa"/>
          </w:tcPr>
          <w:p>
            <w:pPr>
              <w:pStyle w:val="TableParagraph"/>
              <w:rPr>
                <w:rFonts w:ascii="Times New Roman"/>
                <w:sz w:val="16"/>
              </w:rPr>
            </w:pPr>
          </w:p>
        </w:tc>
      </w:tr>
      <w:tr>
        <w:trPr>
          <w:trHeight w:val="228" w:hRule="atLeast"/>
        </w:trPr>
        <w:tc>
          <w:tcPr>
            <w:tcW w:w="3079" w:type="dxa"/>
          </w:tcPr>
          <w:p>
            <w:pPr>
              <w:pStyle w:val="TableParagraph"/>
              <w:spacing w:line="192" w:lineRule="exact" w:before="16"/>
              <w:ind w:left="33"/>
              <w:rPr>
                <w:sz w:val="17"/>
              </w:rPr>
            </w:pPr>
            <w:r>
              <w:rPr>
                <w:w w:val="115"/>
                <w:sz w:val="17"/>
              </w:rPr>
              <w:t>Mid-Cap Value</w:t>
            </w:r>
          </w:p>
        </w:tc>
        <w:tc>
          <w:tcPr>
            <w:tcW w:w="3536" w:type="dxa"/>
          </w:tcPr>
          <w:p>
            <w:pPr>
              <w:pStyle w:val="TableParagraph"/>
              <w:spacing w:line="192" w:lineRule="exact" w:before="16"/>
              <w:ind w:left="746"/>
              <w:rPr>
                <w:sz w:val="17"/>
              </w:rPr>
            </w:pPr>
            <w:r>
              <w:rPr>
                <w:w w:val="115"/>
                <w:sz w:val="17"/>
              </w:rPr>
              <w:t>S&amp;P MidCap 400 Value</w:t>
            </w:r>
          </w:p>
        </w:tc>
        <w:tc>
          <w:tcPr>
            <w:tcW w:w="1449" w:type="dxa"/>
          </w:tcPr>
          <w:p>
            <w:pPr>
              <w:pStyle w:val="TableParagraph"/>
              <w:spacing w:line="192" w:lineRule="exact" w:before="16"/>
              <w:ind w:right="249"/>
              <w:jc w:val="right"/>
              <w:rPr>
                <w:sz w:val="17"/>
              </w:rPr>
            </w:pPr>
            <w:r>
              <w:rPr>
                <w:w w:val="115"/>
                <w:sz w:val="17"/>
              </w:rPr>
              <w:t>3.7%</w:t>
            </w:r>
          </w:p>
        </w:tc>
        <w:tc>
          <w:tcPr>
            <w:tcW w:w="840" w:type="dxa"/>
          </w:tcPr>
          <w:p>
            <w:pPr>
              <w:pStyle w:val="TableParagraph"/>
              <w:spacing w:line="192" w:lineRule="exact" w:before="16"/>
              <w:ind w:left="212"/>
              <w:rPr>
                <w:sz w:val="17"/>
              </w:rPr>
            </w:pPr>
            <w:r>
              <w:rPr>
                <w:w w:val="110"/>
                <w:sz w:val="17"/>
              </w:rPr>
              <w:t>-0.1%</w:t>
            </w:r>
          </w:p>
        </w:tc>
        <w:tc>
          <w:tcPr>
            <w:tcW w:w="893" w:type="dxa"/>
          </w:tcPr>
          <w:p>
            <w:pPr>
              <w:pStyle w:val="TableParagraph"/>
              <w:rPr>
                <w:rFonts w:ascii="Times New Roman"/>
                <w:sz w:val="16"/>
              </w:rPr>
            </w:pPr>
          </w:p>
        </w:tc>
        <w:tc>
          <w:tcPr>
            <w:tcW w:w="861" w:type="dxa"/>
          </w:tcPr>
          <w:p>
            <w:pPr>
              <w:pStyle w:val="TableParagraph"/>
              <w:rPr>
                <w:rFonts w:ascii="Times New Roman"/>
                <w:sz w:val="16"/>
              </w:rPr>
            </w:pPr>
          </w:p>
        </w:tc>
        <w:tc>
          <w:tcPr>
            <w:tcW w:w="841" w:type="dxa"/>
          </w:tcPr>
          <w:p>
            <w:pPr>
              <w:pStyle w:val="TableParagraph"/>
              <w:rPr>
                <w:rFonts w:ascii="Times New Roman"/>
                <w:sz w:val="16"/>
              </w:rPr>
            </w:pPr>
          </w:p>
        </w:tc>
        <w:tc>
          <w:tcPr>
            <w:tcW w:w="741" w:type="dxa"/>
          </w:tcPr>
          <w:p>
            <w:pPr>
              <w:pStyle w:val="TableParagraph"/>
              <w:rPr>
                <w:rFonts w:ascii="Times New Roman"/>
                <w:sz w:val="16"/>
              </w:rPr>
            </w:pPr>
          </w:p>
        </w:tc>
      </w:tr>
      <w:tr>
        <w:trPr>
          <w:trHeight w:val="228" w:hRule="atLeast"/>
        </w:trPr>
        <w:tc>
          <w:tcPr>
            <w:tcW w:w="3079" w:type="dxa"/>
          </w:tcPr>
          <w:p>
            <w:pPr>
              <w:pStyle w:val="TableParagraph"/>
              <w:spacing w:line="193" w:lineRule="exact" w:before="16"/>
              <w:ind w:left="33"/>
              <w:rPr>
                <w:sz w:val="17"/>
              </w:rPr>
            </w:pPr>
            <w:r>
              <w:rPr>
                <w:w w:val="110"/>
                <w:sz w:val="17"/>
              </w:rPr>
              <w:t>Small-Cap Core</w:t>
            </w:r>
          </w:p>
        </w:tc>
        <w:tc>
          <w:tcPr>
            <w:tcW w:w="3536" w:type="dxa"/>
          </w:tcPr>
          <w:p>
            <w:pPr>
              <w:pStyle w:val="TableParagraph"/>
              <w:spacing w:line="193" w:lineRule="exact" w:before="16"/>
              <w:ind w:left="746"/>
              <w:rPr>
                <w:sz w:val="17"/>
              </w:rPr>
            </w:pPr>
            <w:r>
              <w:rPr>
                <w:w w:val="120"/>
                <w:sz w:val="17"/>
              </w:rPr>
              <w:t>S&amp;P SmallCap 600</w:t>
            </w:r>
          </w:p>
        </w:tc>
        <w:tc>
          <w:tcPr>
            <w:tcW w:w="1449" w:type="dxa"/>
          </w:tcPr>
          <w:p>
            <w:pPr>
              <w:pStyle w:val="TableParagraph"/>
              <w:spacing w:line="193" w:lineRule="exact" w:before="16"/>
              <w:ind w:right="249"/>
              <w:jc w:val="right"/>
              <w:rPr>
                <w:sz w:val="17"/>
              </w:rPr>
            </w:pPr>
            <w:r>
              <w:rPr>
                <w:w w:val="115"/>
                <w:sz w:val="17"/>
              </w:rPr>
              <w:t>4.9%</w:t>
            </w:r>
          </w:p>
        </w:tc>
        <w:tc>
          <w:tcPr>
            <w:tcW w:w="840" w:type="dxa"/>
          </w:tcPr>
          <w:p>
            <w:pPr>
              <w:pStyle w:val="TableParagraph"/>
              <w:spacing w:line="193" w:lineRule="exact" w:before="16"/>
              <w:ind w:left="212"/>
              <w:rPr>
                <w:sz w:val="17"/>
              </w:rPr>
            </w:pPr>
            <w:r>
              <w:rPr>
                <w:w w:val="110"/>
                <w:sz w:val="17"/>
              </w:rPr>
              <w:t>-4.5%</w:t>
            </w:r>
          </w:p>
        </w:tc>
        <w:tc>
          <w:tcPr>
            <w:tcW w:w="893" w:type="dxa"/>
          </w:tcPr>
          <w:p>
            <w:pPr>
              <w:pStyle w:val="TableParagraph"/>
              <w:rPr>
                <w:rFonts w:ascii="Times New Roman"/>
                <w:sz w:val="16"/>
              </w:rPr>
            </w:pPr>
          </w:p>
        </w:tc>
        <w:tc>
          <w:tcPr>
            <w:tcW w:w="861" w:type="dxa"/>
          </w:tcPr>
          <w:p>
            <w:pPr>
              <w:pStyle w:val="TableParagraph"/>
              <w:rPr>
                <w:rFonts w:ascii="Times New Roman"/>
                <w:sz w:val="16"/>
              </w:rPr>
            </w:pPr>
          </w:p>
        </w:tc>
        <w:tc>
          <w:tcPr>
            <w:tcW w:w="841" w:type="dxa"/>
          </w:tcPr>
          <w:p>
            <w:pPr>
              <w:pStyle w:val="TableParagraph"/>
              <w:rPr>
                <w:rFonts w:ascii="Times New Roman"/>
                <w:sz w:val="16"/>
              </w:rPr>
            </w:pPr>
          </w:p>
        </w:tc>
        <w:tc>
          <w:tcPr>
            <w:tcW w:w="741" w:type="dxa"/>
          </w:tcPr>
          <w:p>
            <w:pPr>
              <w:pStyle w:val="TableParagraph"/>
              <w:rPr>
                <w:rFonts w:ascii="Times New Roman"/>
                <w:sz w:val="16"/>
              </w:rPr>
            </w:pPr>
          </w:p>
        </w:tc>
      </w:tr>
      <w:tr>
        <w:trPr>
          <w:trHeight w:val="221" w:hRule="atLeast"/>
        </w:trPr>
        <w:tc>
          <w:tcPr>
            <w:tcW w:w="3079" w:type="dxa"/>
          </w:tcPr>
          <w:p>
            <w:pPr>
              <w:pStyle w:val="TableParagraph"/>
              <w:spacing w:line="186" w:lineRule="exact" w:before="16"/>
              <w:ind w:left="33"/>
              <w:rPr>
                <w:sz w:val="17"/>
              </w:rPr>
            </w:pPr>
            <w:r>
              <w:rPr>
                <w:w w:val="110"/>
                <w:sz w:val="17"/>
              </w:rPr>
              <w:t>Small-Cap Growth</w:t>
            </w:r>
          </w:p>
        </w:tc>
        <w:tc>
          <w:tcPr>
            <w:tcW w:w="3536" w:type="dxa"/>
          </w:tcPr>
          <w:p>
            <w:pPr>
              <w:pStyle w:val="TableParagraph"/>
              <w:spacing w:line="186" w:lineRule="exact" w:before="16"/>
              <w:ind w:left="746"/>
              <w:rPr>
                <w:sz w:val="17"/>
              </w:rPr>
            </w:pPr>
            <w:r>
              <w:rPr>
                <w:w w:val="115"/>
                <w:sz w:val="17"/>
              </w:rPr>
              <w:t>S&amp;P SmallCap 600 Growth</w:t>
            </w:r>
          </w:p>
        </w:tc>
        <w:tc>
          <w:tcPr>
            <w:tcW w:w="1449" w:type="dxa"/>
          </w:tcPr>
          <w:p>
            <w:pPr>
              <w:pStyle w:val="TableParagraph"/>
              <w:spacing w:line="186" w:lineRule="exact" w:before="16"/>
              <w:ind w:right="249"/>
              <w:jc w:val="right"/>
              <w:rPr>
                <w:sz w:val="17"/>
              </w:rPr>
            </w:pPr>
            <w:r>
              <w:rPr>
                <w:w w:val="115"/>
                <w:sz w:val="17"/>
              </w:rPr>
              <w:t>7.2%</w:t>
            </w:r>
          </w:p>
        </w:tc>
        <w:tc>
          <w:tcPr>
            <w:tcW w:w="840" w:type="dxa"/>
          </w:tcPr>
          <w:p>
            <w:pPr>
              <w:pStyle w:val="TableParagraph"/>
              <w:rPr>
                <w:rFonts w:ascii="Times New Roman"/>
                <w:sz w:val="14"/>
              </w:rPr>
            </w:pPr>
          </w:p>
        </w:tc>
        <w:tc>
          <w:tcPr>
            <w:tcW w:w="893" w:type="dxa"/>
          </w:tcPr>
          <w:p>
            <w:pPr>
              <w:pStyle w:val="TableParagraph"/>
              <w:rPr>
                <w:rFonts w:ascii="Times New Roman"/>
                <w:sz w:val="14"/>
              </w:rPr>
            </w:pPr>
          </w:p>
        </w:tc>
        <w:tc>
          <w:tcPr>
            <w:tcW w:w="861" w:type="dxa"/>
          </w:tcPr>
          <w:p>
            <w:pPr>
              <w:pStyle w:val="TableParagraph"/>
              <w:rPr>
                <w:rFonts w:ascii="Times New Roman"/>
                <w:sz w:val="14"/>
              </w:rPr>
            </w:pPr>
          </w:p>
        </w:tc>
        <w:tc>
          <w:tcPr>
            <w:tcW w:w="841" w:type="dxa"/>
          </w:tcPr>
          <w:p>
            <w:pPr>
              <w:pStyle w:val="TableParagraph"/>
              <w:rPr>
                <w:rFonts w:ascii="Times New Roman"/>
                <w:sz w:val="14"/>
              </w:rPr>
            </w:pPr>
          </w:p>
        </w:tc>
        <w:tc>
          <w:tcPr>
            <w:tcW w:w="741" w:type="dxa"/>
          </w:tcPr>
          <w:p>
            <w:pPr>
              <w:pStyle w:val="TableParagraph"/>
              <w:rPr>
                <w:rFonts w:ascii="Times New Roman"/>
                <w:sz w:val="14"/>
              </w:rPr>
            </w:pPr>
          </w:p>
        </w:tc>
      </w:tr>
      <w:tr>
        <w:trPr>
          <w:trHeight w:val="362" w:hRule="atLeast"/>
        </w:trPr>
        <w:tc>
          <w:tcPr>
            <w:tcW w:w="3079" w:type="dxa"/>
          </w:tcPr>
          <w:p>
            <w:pPr>
              <w:pStyle w:val="TableParagraph"/>
              <w:spacing w:before="9"/>
              <w:ind w:left="33"/>
              <w:rPr>
                <w:sz w:val="17"/>
              </w:rPr>
            </w:pPr>
            <w:r>
              <w:rPr>
                <w:w w:val="115"/>
                <w:sz w:val="17"/>
              </w:rPr>
              <w:t>Small-Cap Value</w:t>
            </w:r>
          </w:p>
        </w:tc>
        <w:tc>
          <w:tcPr>
            <w:tcW w:w="3536" w:type="dxa"/>
          </w:tcPr>
          <w:p>
            <w:pPr>
              <w:pStyle w:val="TableParagraph"/>
              <w:spacing w:before="9"/>
              <w:ind w:left="746"/>
              <w:rPr>
                <w:sz w:val="17"/>
              </w:rPr>
            </w:pPr>
            <w:r>
              <w:rPr>
                <w:w w:val="120"/>
                <w:sz w:val="17"/>
              </w:rPr>
              <w:t>S&amp;P SmallCap 600 Value</w:t>
            </w:r>
          </w:p>
        </w:tc>
        <w:tc>
          <w:tcPr>
            <w:tcW w:w="1449" w:type="dxa"/>
          </w:tcPr>
          <w:p>
            <w:pPr>
              <w:pStyle w:val="TableParagraph"/>
              <w:spacing w:before="9"/>
              <w:ind w:right="249"/>
              <w:jc w:val="right"/>
              <w:rPr>
                <w:sz w:val="17"/>
              </w:rPr>
            </w:pPr>
            <w:r>
              <w:rPr>
                <w:w w:val="115"/>
                <w:sz w:val="17"/>
              </w:rPr>
              <w:t>2.5%</w:t>
            </w:r>
          </w:p>
        </w:tc>
        <w:tc>
          <w:tcPr>
            <w:tcW w:w="4176" w:type="dxa"/>
            <w:gridSpan w:val="5"/>
            <w:vMerge w:val="restart"/>
          </w:tcPr>
          <w:p>
            <w:pPr>
              <w:pStyle w:val="TableParagraph"/>
              <w:rPr>
                <w:rFonts w:ascii="Times New Roman"/>
                <w:sz w:val="18"/>
              </w:rPr>
            </w:pPr>
          </w:p>
        </w:tc>
      </w:tr>
      <w:tr>
        <w:trPr>
          <w:trHeight w:val="290" w:hRule="atLeast"/>
        </w:trPr>
        <w:tc>
          <w:tcPr>
            <w:tcW w:w="3079" w:type="dxa"/>
          </w:tcPr>
          <w:p>
            <w:pPr>
              <w:pStyle w:val="TableParagraph"/>
              <w:spacing w:before="24"/>
              <w:ind w:left="33"/>
              <w:rPr>
                <w:sz w:val="17"/>
              </w:rPr>
            </w:pPr>
            <w:r>
              <w:rPr>
                <w:w w:val="110"/>
                <w:sz w:val="17"/>
              </w:rPr>
              <w:t>International Equity</w:t>
            </w:r>
          </w:p>
        </w:tc>
        <w:tc>
          <w:tcPr>
            <w:tcW w:w="3536" w:type="dxa"/>
          </w:tcPr>
          <w:p>
            <w:pPr>
              <w:pStyle w:val="TableParagraph"/>
              <w:rPr>
                <w:rFonts w:ascii="Times New Roman"/>
                <w:sz w:val="18"/>
              </w:rPr>
            </w:pPr>
          </w:p>
        </w:tc>
        <w:tc>
          <w:tcPr>
            <w:tcW w:w="1449" w:type="dxa"/>
          </w:tcPr>
          <w:p>
            <w:pPr>
              <w:pStyle w:val="TableParagraph"/>
              <w:rPr>
                <w:rFonts w:ascii="Times New Roman"/>
                <w:sz w:val="18"/>
              </w:rPr>
            </w:pPr>
          </w:p>
        </w:tc>
        <w:tc>
          <w:tcPr>
            <w:tcW w:w="4176" w:type="dxa"/>
            <w:gridSpan w:val="5"/>
            <w:vMerge/>
            <w:tcBorders>
              <w:top w:val="nil"/>
            </w:tcBorders>
          </w:tcPr>
          <w:p>
            <w:pPr>
              <w:rPr>
                <w:sz w:val="2"/>
                <w:szCs w:val="2"/>
              </w:rPr>
            </w:pPr>
          </w:p>
        </w:tc>
      </w:tr>
      <w:tr>
        <w:trPr>
          <w:trHeight w:val="713" w:hRule="atLeast"/>
        </w:trPr>
        <w:tc>
          <w:tcPr>
            <w:tcW w:w="3079" w:type="dxa"/>
          </w:tcPr>
          <w:p>
            <w:pPr>
              <w:pStyle w:val="TableParagraph"/>
              <w:spacing w:line="210" w:lineRule="atLeast" w:before="57"/>
              <w:ind w:left="33" w:right="727"/>
              <w:rPr>
                <w:sz w:val="17"/>
              </w:rPr>
            </w:pPr>
            <w:r>
              <w:rPr>
                <w:w w:val="115"/>
                <w:sz w:val="17"/>
              </w:rPr>
              <w:t>Developed Markets </w:t>
            </w:r>
            <w:r>
              <w:rPr>
                <w:w w:val="110"/>
                <w:sz w:val="17"/>
              </w:rPr>
              <w:t>Developed Markets Small-Cap </w:t>
            </w:r>
            <w:r>
              <w:rPr>
                <w:w w:val="115"/>
                <w:sz w:val="17"/>
              </w:rPr>
              <w:t>Developed Markets Value</w:t>
            </w:r>
          </w:p>
        </w:tc>
        <w:tc>
          <w:tcPr>
            <w:tcW w:w="3536" w:type="dxa"/>
          </w:tcPr>
          <w:p>
            <w:pPr>
              <w:pStyle w:val="TableParagraph"/>
              <w:spacing w:before="70"/>
              <w:ind w:left="746"/>
              <w:rPr>
                <w:sz w:val="17"/>
              </w:rPr>
            </w:pPr>
            <w:r>
              <w:rPr>
                <w:w w:val="115"/>
                <w:sz w:val="17"/>
              </w:rPr>
              <w:t>MSCI EAFE</w:t>
            </w:r>
          </w:p>
          <w:p>
            <w:pPr>
              <w:pStyle w:val="TableParagraph"/>
              <w:spacing w:line="210" w:lineRule="atLeast" w:before="5"/>
              <w:ind w:left="746" w:right="1022"/>
              <w:rPr>
                <w:sz w:val="17"/>
              </w:rPr>
            </w:pPr>
            <w:r>
              <w:rPr>
                <w:w w:val="115"/>
                <w:sz w:val="17"/>
              </w:rPr>
              <w:t>MSCI EAFE Small-Cap MSCI EAFE Value</w:t>
            </w:r>
          </w:p>
        </w:tc>
        <w:tc>
          <w:tcPr>
            <w:tcW w:w="1449" w:type="dxa"/>
          </w:tcPr>
          <w:p>
            <w:pPr>
              <w:pStyle w:val="TableParagraph"/>
              <w:rPr>
                <w:rFonts w:ascii="Times New Roman"/>
                <w:sz w:val="18"/>
              </w:rPr>
            </w:pPr>
          </w:p>
        </w:tc>
        <w:tc>
          <w:tcPr>
            <w:tcW w:w="4176" w:type="dxa"/>
            <w:gridSpan w:val="5"/>
            <w:vMerge/>
            <w:tcBorders>
              <w:top w:val="nil"/>
            </w:tcBorders>
          </w:tcPr>
          <w:p>
            <w:pPr>
              <w:rPr>
                <w:sz w:val="2"/>
                <w:szCs w:val="2"/>
              </w:rPr>
            </w:pPr>
          </w:p>
        </w:tc>
      </w:tr>
      <w:tr>
        <w:trPr>
          <w:trHeight w:val="228" w:hRule="atLeast"/>
        </w:trPr>
        <w:tc>
          <w:tcPr>
            <w:tcW w:w="3079" w:type="dxa"/>
          </w:tcPr>
          <w:p>
            <w:pPr>
              <w:pStyle w:val="TableParagraph"/>
              <w:spacing w:line="192" w:lineRule="exact" w:before="16"/>
              <w:ind w:left="33"/>
              <w:rPr>
                <w:sz w:val="17"/>
              </w:rPr>
            </w:pPr>
            <w:r>
              <w:rPr>
                <w:w w:val="115"/>
                <w:sz w:val="17"/>
              </w:rPr>
              <w:t>Emerging Markets</w:t>
            </w:r>
          </w:p>
        </w:tc>
        <w:tc>
          <w:tcPr>
            <w:tcW w:w="3536" w:type="dxa"/>
          </w:tcPr>
          <w:p>
            <w:pPr>
              <w:pStyle w:val="TableParagraph"/>
              <w:spacing w:line="192" w:lineRule="exact" w:before="16"/>
              <w:ind w:left="746"/>
              <w:rPr>
                <w:sz w:val="17"/>
              </w:rPr>
            </w:pPr>
            <w:r>
              <w:rPr>
                <w:w w:val="120"/>
                <w:sz w:val="17"/>
              </w:rPr>
              <w:t>MSCI Emerging Ma</w:t>
            </w:r>
          </w:p>
        </w:tc>
        <w:tc>
          <w:tcPr>
            <w:tcW w:w="1449" w:type="dxa"/>
          </w:tcPr>
          <w:p>
            <w:pPr>
              <w:pStyle w:val="TableParagraph"/>
              <w:rPr>
                <w:rFonts w:ascii="Times New Roman"/>
                <w:sz w:val="16"/>
              </w:rPr>
            </w:pPr>
          </w:p>
        </w:tc>
        <w:tc>
          <w:tcPr>
            <w:tcW w:w="4176" w:type="dxa"/>
            <w:gridSpan w:val="5"/>
            <w:vMerge/>
            <w:tcBorders>
              <w:top w:val="nil"/>
            </w:tcBorders>
          </w:tcPr>
          <w:p>
            <w:pPr>
              <w:rPr>
                <w:sz w:val="2"/>
                <w:szCs w:val="2"/>
              </w:rPr>
            </w:pPr>
          </w:p>
        </w:tc>
      </w:tr>
      <w:tr>
        <w:trPr>
          <w:trHeight w:val="369" w:hRule="atLeast"/>
        </w:trPr>
        <w:tc>
          <w:tcPr>
            <w:tcW w:w="3079" w:type="dxa"/>
          </w:tcPr>
          <w:p>
            <w:pPr>
              <w:pStyle w:val="TableParagraph"/>
              <w:spacing w:before="16"/>
              <w:ind w:left="33"/>
              <w:rPr>
                <w:sz w:val="17"/>
              </w:rPr>
            </w:pPr>
            <w:r>
              <w:rPr>
                <w:w w:val="115"/>
                <w:sz w:val="17"/>
              </w:rPr>
              <w:t>Emerging Markets Value</w:t>
            </w:r>
          </w:p>
        </w:tc>
        <w:tc>
          <w:tcPr>
            <w:tcW w:w="3536" w:type="dxa"/>
          </w:tcPr>
          <w:p>
            <w:pPr>
              <w:pStyle w:val="TableParagraph"/>
              <w:spacing w:before="16"/>
              <w:ind w:left="746"/>
              <w:rPr>
                <w:sz w:val="17"/>
              </w:rPr>
            </w:pPr>
            <w:r>
              <w:rPr>
                <w:w w:val="115"/>
                <w:sz w:val="17"/>
              </w:rPr>
              <w:t>MSCI Emergin</w:t>
            </w:r>
          </w:p>
        </w:tc>
        <w:tc>
          <w:tcPr>
            <w:tcW w:w="1449" w:type="dxa"/>
          </w:tcPr>
          <w:p>
            <w:pPr>
              <w:pStyle w:val="TableParagraph"/>
              <w:rPr>
                <w:rFonts w:ascii="Times New Roman"/>
                <w:sz w:val="18"/>
              </w:rPr>
            </w:pPr>
          </w:p>
        </w:tc>
        <w:tc>
          <w:tcPr>
            <w:tcW w:w="4176" w:type="dxa"/>
            <w:gridSpan w:val="5"/>
            <w:vMerge/>
            <w:tcBorders>
              <w:top w:val="nil"/>
            </w:tcBorders>
          </w:tcPr>
          <w:p>
            <w:pPr>
              <w:rPr>
                <w:sz w:val="2"/>
                <w:szCs w:val="2"/>
              </w:rPr>
            </w:pPr>
          </w:p>
        </w:tc>
      </w:tr>
      <w:tr>
        <w:trPr>
          <w:trHeight w:val="296" w:hRule="atLeast"/>
        </w:trPr>
        <w:tc>
          <w:tcPr>
            <w:tcW w:w="3079" w:type="dxa"/>
          </w:tcPr>
          <w:p>
            <w:pPr>
              <w:pStyle w:val="TableParagraph"/>
              <w:spacing w:before="23"/>
              <w:ind w:left="33"/>
              <w:rPr>
                <w:sz w:val="17"/>
              </w:rPr>
            </w:pPr>
            <w:r>
              <w:rPr>
                <w:w w:val="115"/>
                <w:sz w:val="17"/>
              </w:rPr>
              <w:t>Fixed Income</w:t>
            </w:r>
          </w:p>
        </w:tc>
        <w:tc>
          <w:tcPr>
            <w:tcW w:w="3536" w:type="dxa"/>
          </w:tcPr>
          <w:p>
            <w:pPr>
              <w:pStyle w:val="TableParagraph"/>
              <w:rPr>
                <w:rFonts w:ascii="Times New Roman"/>
                <w:sz w:val="18"/>
              </w:rPr>
            </w:pPr>
          </w:p>
        </w:tc>
        <w:tc>
          <w:tcPr>
            <w:tcW w:w="1449" w:type="dxa"/>
          </w:tcPr>
          <w:p>
            <w:pPr>
              <w:pStyle w:val="TableParagraph"/>
              <w:rPr>
                <w:rFonts w:ascii="Times New Roman"/>
                <w:sz w:val="18"/>
              </w:rPr>
            </w:pPr>
          </w:p>
        </w:tc>
        <w:tc>
          <w:tcPr>
            <w:tcW w:w="4176" w:type="dxa"/>
            <w:gridSpan w:val="5"/>
            <w:vMerge/>
            <w:tcBorders>
              <w:top w:val="nil"/>
            </w:tcBorders>
          </w:tcPr>
          <w:p>
            <w:pPr>
              <w:rPr>
                <w:sz w:val="2"/>
                <w:szCs w:val="2"/>
              </w:rPr>
            </w:pPr>
          </w:p>
        </w:tc>
      </w:tr>
      <w:tr>
        <w:trPr>
          <w:trHeight w:val="289" w:hRule="atLeast"/>
        </w:trPr>
        <w:tc>
          <w:tcPr>
            <w:tcW w:w="3079" w:type="dxa"/>
          </w:tcPr>
          <w:p>
            <w:pPr>
              <w:pStyle w:val="TableParagraph"/>
              <w:spacing w:line="193" w:lineRule="exact" w:before="76"/>
              <w:ind w:left="33"/>
              <w:rPr>
                <w:sz w:val="17"/>
              </w:rPr>
            </w:pPr>
            <w:r>
              <w:rPr>
                <w:w w:val="110"/>
                <w:sz w:val="17"/>
              </w:rPr>
              <w:t>Ultrashort-Term Treasury</w:t>
            </w:r>
          </w:p>
        </w:tc>
        <w:tc>
          <w:tcPr>
            <w:tcW w:w="3536" w:type="dxa"/>
          </w:tcPr>
          <w:p>
            <w:pPr>
              <w:pStyle w:val="TableParagraph"/>
              <w:rPr>
                <w:rFonts w:ascii="Times New Roman"/>
                <w:sz w:val="18"/>
              </w:rPr>
            </w:pPr>
          </w:p>
        </w:tc>
        <w:tc>
          <w:tcPr>
            <w:tcW w:w="1449" w:type="dxa"/>
          </w:tcPr>
          <w:p>
            <w:pPr>
              <w:pStyle w:val="TableParagraph"/>
              <w:rPr>
                <w:rFonts w:ascii="Times New Roman"/>
                <w:sz w:val="18"/>
              </w:rPr>
            </w:pPr>
          </w:p>
        </w:tc>
        <w:tc>
          <w:tcPr>
            <w:tcW w:w="4176" w:type="dxa"/>
            <w:gridSpan w:val="5"/>
            <w:vMerge/>
            <w:tcBorders>
              <w:top w:val="nil"/>
            </w:tcBorders>
          </w:tcPr>
          <w:p>
            <w:pPr>
              <w:rPr>
                <w:sz w:val="2"/>
                <w:szCs w:val="2"/>
              </w:rPr>
            </w:pPr>
          </w:p>
        </w:tc>
      </w:tr>
      <w:tr>
        <w:trPr>
          <w:trHeight w:val="228" w:hRule="atLeast"/>
        </w:trPr>
        <w:tc>
          <w:tcPr>
            <w:tcW w:w="3079" w:type="dxa"/>
          </w:tcPr>
          <w:p>
            <w:pPr>
              <w:pStyle w:val="TableParagraph"/>
              <w:spacing w:line="193" w:lineRule="exact" w:before="16"/>
              <w:ind w:left="33"/>
              <w:rPr>
                <w:sz w:val="17"/>
              </w:rPr>
            </w:pPr>
            <w:r>
              <w:rPr>
                <w:w w:val="105"/>
                <w:sz w:val="17"/>
              </w:rPr>
              <w:t>Intermediate-Term Corporate</w:t>
            </w:r>
          </w:p>
        </w:tc>
        <w:tc>
          <w:tcPr>
            <w:tcW w:w="3536" w:type="dxa"/>
          </w:tcPr>
          <w:p>
            <w:pPr>
              <w:pStyle w:val="TableParagraph"/>
              <w:rPr>
                <w:rFonts w:ascii="Times New Roman"/>
                <w:sz w:val="16"/>
              </w:rPr>
            </w:pPr>
          </w:p>
        </w:tc>
        <w:tc>
          <w:tcPr>
            <w:tcW w:w="1449" w:type="dxa"/>
          </w:tcPr>
          <w:p>
            <w:pPr>
              <w:pStyle w:val="TableParagraph"/>
              <w:rPr>
                <w:rFonts w:ascii="Times New Roman"/>
                <w:sz w:val="16"/>
              </w:rPr>
            </w:pPr>
          </w:p>
        </w:tc>
        <w:tc>
          <w:tcPr>
            <w:tcW w:w="4176" w:type="dxa"/>
            <w:gridSpan w:val="5"/>
            <w:vMerge/>
            <w:tcBorders>
              <w:top w:val="nil"/>
            </w:tcBorders>
          </w:tcPr>
          <w:p>
            <w:pPr>
              <w:rPr>
                <w:sz w:val="2"/>
                <w:szCs w:val="2"/>
              </w:rPr>
            </w:pPr>
          </w:p>
        </w:tc>
      </w:tr>
      <w:tr>
        <w:trPr>
          <w:trHeight w:val="228" w:hRule="atLeast"/>
        </w:trPr>
        <w:tc>
          <w:tcPr>
            <w:tcW w:w="3079" w:type="dxa"/>
          </w:tcPr>
          <w:p>
            <w:pPr>
              <w:pStyle w:val="TableParagraph"/>
              <w:spacing w:line="193" w:lineRule="exact" w:before="16"/>
              <w:ind w:left="33"/>
              <w:rPr>
                <w:sz w:val="17"/>
              </w:rPr>
            </w:pPr>
            <w:r>
              <w:rPr>
                <w:w w:val="115"/>
                <w:sz w:val="17"/>
              </w:rPr>
              <w:t>Diversified Bonds</w:t>
            </w:r>
          </w:p>
        </w:tc>
        <w:tc>
          <w:tcPr>
            <w:tcW w:w="3536" w:type="dxa"/>
          </w:tcPr>
          <w:p>
            <w:pPr>
              <w:pStyle w:val="TableParagraph"/>
              <w:rPr>
                <w:rFonts w:ascii="Times New Roman"/>
                <w:sz w:val="16"/>
              </w:rPr>
            </w:pPr>
          </w:p>
        </w:tc>
        <w:tc>
          <w:tcPr>
            <w:tcW w:w="1449" w:type="dxa"/>
          </w:tcPr>
          <w:p>
            <w:pPr>
              <w:pStyle w:val="TableParagraph"/>
              <w:rPr>
                <w:rFonts w:ascii="Times New Roman"/>
                <w:sz w:val="16"/>
              </w:rPr>
            </w:pPr>
          </w:p>
        </w:tc>
        <w:tc>
          <w:tcPr>
            <w:tcW w:w="4176" w:type="dxa"/>
            <w:gridSpan w:val="5"/>
            <w:vMerge/>
            <w:tcBorders>
              <w:top w:val="nil"/>
            </w:tcBorders>
          </w:tcPr>
          <w:p>
            <w:pPr>
              <w:rPr>
                <w:sz w:val="2"/>
                <w:szCs w:val="2"/>
              </w:rPr>
            </w:pPr>
          </w:p>
        </w:tc>
      </w:tr>
      <w:tr>
        <w:trPr>
          <w:trHeight w:val="369" w:hRule="atLeast"/>
        </w:trPr>
        <w:tc>
          <w:tcPr>
            <w:tcW w:w="3079" w:type="dxa"/>
          </w:tcPr>
          <w:p>
            <w:pPr>
              <w:pStyle w:val="TableParagraph"/>
              <w:spacing w:before="16"/>
              <w:ind w:left="33"/>
              <w:rPr>
                <w:sz w:val="17"/>
              </w:rPr>
            </w:pPr>
            <w:r>
              <w:rPr>
                <w:w w:val="115"/>
                <w:sz w:val="17"/>
              </w:rPr>
              <w:t>Municipal Bonds</w:t>
            </w:r>
          </w:p>
        </w:tc>
        <w:tc>
          <w:tcPr>
            <w:tcW w:w="3536" w:type="dxa"/>
          </w:tcPr>
          <w:p>
            <w:pPr>
              <w:pStyle w:val="TableParagraph"/>
              <w:rPr>
                <w:rFonts w:ascii="Times New Roman"/>
                <w:sz w:val="18"/>
              </w:rPr>
            </w:pPr>
          </w:p>
        </w:tc>
        <w:tc>
          <w:tcPr>
            <w:tcW w:w="1449" w:type="dxa"/>
          </w:tcPr>
          <w:p>
            <w:pPr>
              <w:pStyle w:val="TableParagraph"/>
              <w:rPr>
                <w:rFonts w:ascii="Times New Roman"/>
                <w:sz w:val="18"/>
              </w:rPr>
            </w:pPr>
          </w:p>
        </w:tc>
        <w:tc>
          <w:tcPr>
            <w:tcW w:w="4176" w:type="dxa"/>
            <w:gridSpan w:val="5"/>
            <w:vMerge/>
            <w:tcBorders>
              <w:top w:val="nil"/>
            </w:tcBorders>
          </w:tcPr>
          <w:p>
            <w:pPr>
              <w:rPr>
                <w:sz w:val="2"/>
                <w:szCs w:val="2"/>
              </w:rPr>
            </w:pPr>
          </w:p>
        </w:tc>
      </w:tr>
      <w:tr>
        <w:trPr>
          <w:trHeight w:val="296" w:hRule="atLeast"/>
        </w:trPr>
        <w:tc>
          <w:tcPr>
            <w:tcW w:w="3079" w:type="dxa"/>
          </w:tcPr>
          <w:p>
            <w:pPr>
              <w:pStyle w:val="TableParagraph"/>
              <w:spacing w:line="20" w:lineRule="exact"/>
              <w:ind w:left="-1"/>
              <w:rPr>
                <w:sz w:val="2"/>
              </w:rPr>
            </w:pPr>
            <w:r>
              <w:rPr>
                <w:sz w:val="2"/>
              </w:rPr>
              <w:pict>
                <v:group style="width:88.6pt;height:.7pt;mso-position-horizontal-relative:char;mso-position-vertical-relative:line" coordorigin="0,0" coordsize="1772,14">
                  <v:line style="position:absolute" from="7,7" to="1771,7" stroked="true" strokeweight=".671626pt" strokecolor="#000000">
                    <v:stroke dashstyle="solid"/>
                  </v:line>
                  <v:line style="position:absolute" from="0,7" to="1771,7" stroked="true" strokeweight=".671626pt" strokecolor="#000000">
                    <v:stroke dashstyle="solid"/>
                  </v:line>
                </v:group>
              </w:pict>
            </w:r>
            <w:r>
              <w:rPr>
                <w:sz w:val="2"/>
              </w:rPr>
            </w:r>
          </w:p>
          <w:p>
            <w:pPr>
              <w:pStyle w:val="TableParagraph"/>
              <w:spacing w:before="3"/>
              <w:ind w:left="33"/>
              <w:rPr>
                <w:sz w:val="17"/>
              </w:rPr>
            </w:pPr>
            <w:r>
              <w:rPr>
                <w:w w:val="110"/>
                <w:sz w:val="17"/>
              </w:rPr>
              <w:t>Real Return</w:t>
            </w:r>
          </w:p>
        </w:tc>
        <w:tc>
          <w:tcPr>
            <w:tcW w:w="3536" w:type="dxa"/>
          </w:tcPr>
          <w:p>
            <w:pPr>
              <w:pStyle w:val="TableParagraph"/>
              <w:rPr>
                <w:rFonts w:ascii="Times New Roman"/>
                <w:sz w:val="18"/>
              </w:rPr>
            </w:pPr>
          </w:p>
        </w:tc>
        <w:tc>
          <w:tcPr>
            <w:tcW w:w="1449" w:type="dxa"/>
          </w:tcPr>
          <w:p>
            <w:pPr>
              <w:pStyle w:val="TableParagraph"/>
              <w:rPr>
                <w:rFonts w:ascii="Times New Roman"/>
                <w:sz w:val="18"/>
              </w:rPr>
            </w:pPr>
          </w:p>
        </w:tc>
        <w:tc>
          <w:tcPr>
            <w:tcW w:w="4176" w:type="dxa"/>
            <w:gridSpan w:val="5"/>
            <w:vMerge/>
            <w:tcBorders>
              <w:top w:val="nil"/>
            </w:tcBorders>
          </w:tcPr>
          <w:p>
            <w:pPr>
              <w:rPr>
                <w:sz w:val="2"/>
                <w:szCs w:val="2"/>
              </w:rPr>
            </w:pPr>
          </w:p>
        </w:tc>
      </w:tr>
      <w:tr>
        <w:trPr>
          <w:trHeight w:val="289" w:hRule="atLeast"/>
        </w:trPr>
        <w:tc>
          <w:tcPr>
            <w:tcW w:w="3079" w:type="dxa"/>
          </w:tcPr>
          <w:p>
            <w:pPr>
              <w:pStyle w:val="TableParagraph"/>
              <w:spacing w:line="193" w:lineRule="exact" w:before="77"/>
              <w:ind w:left="33"/>
              <w:rPr>
                <w:sz w:val="17"/>
              </w:rPr>
            </w:pPr>
            <w:r>
              <w:rPr>
                <w:w w:val="110"/>
                <w:sz w:val="17"/>
              </w:rPr>
              <w:t>Inflation-Pro</w:t>
            </w:r>
          </w:p>
        </w:tc>
        <w:tc>
          <w:tcPr>
            <w:tcW w:w="3536" w:type="dxa"/>
          </w:tcPr>
          <w:p>
            <w:pPr>
              <w:pStyle w:val="TableParagraph"/>
              <w:rPr>
                <w:rFonts w:ascii="Times New Roman"/>
                <w:sz w:val="18"/>
              </w:rPr>
            </w:pPr>
          </w:p>
        </w:tc>
        <w:tc>
          <w:tcPr>
            <w:tcW w:w="1449" w:type="dxa"/>
          </w:tcPr>
          <w:p>
            <w:pPr>
              <w:pStyle w:val="TableParagraph"/>
              <w:rPr>
                <w:rFonts w:ascii="Times New Roman"/>
                <w:sz w:val="18"/>
              </w:rPr>
            </w:pPr>
          </w:p>
        </w:tc>
        <w:tc>
          <w:tcPr>
            <w:tcW w:w="4176" w:type="dxa"/>
            <w:gridSpan w:val="5"/>
            <w:vMerge/>
            <w:tcBorders>
              <w:top w:val="nil"/>
            </w:tcBorders>
          </w:tcPr>
          <w:p>
            <w:pPr>
              <w:rPr>
                <w:sz w:val="2"/>
                <w:szCs w:val="2"/>
              </w:rPr>
            </w:pPr>
          </w:p>
        </w:tc>
      </w:tr>
      <w:tr>
        <w:trPr>
          <w:trHeight w:val="216" w:hRule="atLeast"/>
        </w:trPr>
        <w:tc>
          <w:tcPr>
            <w:tcW w:w="3079" w:type="dxa"/>
          </w:tcPr>
          <w:p>
            <w:pPr>
              <w:pStyle w:val="TableParagraph"/>
              <w:spacing w:line="181" w:lineRule="exact" w:before="16"/>
              <w:ind w:left="33"/>
              <w:rPr>
                <w:sz w:val="17"/>
              </w:rPr>
            </w:pPr>
            <w:r>
              <w:rPr>
                <w:w w:val="105"/>
                <w:sz w:val="17"/>
              </w:rPr>
              <w:t>Short-</w:t>
            </w:r>
          </w:p>
        </w:tc>
        <w:tc>
          <w:tcPr>
            <w:tcW w:w="3536" w:type="dxa"/>
          </w:tcPr>
          <w:p>
            <w:pPr>
              <w:pStyle w:val="TableParagraph"/>
              <w:rPr>
                <w:rFonts w:ascii="Times New Roman"/>
                <w:sz w:val="14"/>
              </w:rPr>
            </w:pPr>
          </w:p>
        </w:tc>
        <w:tc>
          <w:tcPr>
            <w:tcW w:w="1449" w:type="dxa"/>
          </w:tcPr>
          <w:p>
            <w:pPr>
              <w:pStyle w:val="TableParagraph"/>
              <w:rPr>
                <w:rFonts w:ascii="Times New Roman"/>
                <w:sz w:val="14"/>
              </w:rPr>
            </w:pPr>
          </w:p>
        </w:tc>
        <w:tc>
          <w:tcPr>
            <w:tcW w:w="4176" w:type="dxa"/>
            <w:gridSpan w:val="5"/>
            <w:vMerge/>
            <w:tcBorders>
              <w:top w:val="nil"/>
            </w:tcBorders>
          </w:tcPr>
          <w:p>
            <w:pPr>
              <w:rPr>
                <w:sz w:val="2"/>
                <w:szCs w:val="2"/>
              </w:rPr>
            </w:pPr>
          </w:p>
        </w:tc>
      </w:tr>
    </w:tbl>
    <w:p>
      <w:pPr>
        <w:pStyle w:val="BodyText"/>
        <w:spacing w:before="5"/>
        <w:rPr>
          <w:rFonts w:ascii="Gill Sans MT"/>
          <w:sz w:val="8"/>
        </w:rPr>
      </w:pPr>
    </w:p>
    <w:p>
      <w:pPr>
        <w:spacing w:before="100"/>
        <w:ind w:left="604" w:right="0" w:firstLine="0"/>
        <w:jc w:val="left"/>
        <w:rPr>
          <w:rFonts w:ascii="Gill Sans MT"/>
          <w:sz w:val="14"/>
        </w:rPr>
      </w:pPr>
      <w:r>
        <w:rPr>
          <w:rFonts w:ascii="Gill Sans MT"/>
          <w:w w:val="105"/>
          <w:sz w:val="14"/>
        </w:rPr>
        <w:t>Source: Bloomberg, returns in U.S. Dollars and are total return.</w:t>
      </w:r>
    </w:p>
    <w:p>
      <w:pPr>
        <w:spacing w:after="0"/>
        <w:jc w:val="left"/>
        <w:rPr>
          <w:rFonts w:ascii="Gill Sans MT"/>
          <w:sz w:val="14"/>
        </w:rPr>
        <w:sectPr>
          <w:headerReference w:type="default" r:id="rId138"/>
          <w:footerReference w:type="default" r:id="rId139"/>
          <w:pgSz w:w="14400" w:h="10800" w:orient="landscape"/>
          <w:pgMar w:header="0" w:footer="1259" w:top="720" w:bottom="1440" w:left="20" w:right="40"/>
          <w:pgNumType w:start="38"/>
        </w:sectPr>
      </w:pPr>
    </w:p>
    <w:p>
      <w:pPr>
        <w:pStyle w:val="BodyText"/>
        <w:spacing w:before="9"/>
        <w:rPr>
          <w:rFonts w:ascii="Gill Sans MT"/>
          <w:sz w:val="14"/>
        </w:rPr>
      </w:pPr>
    </w:p>
    <w:p>
      <w:pPr>
        <w:spacing w:before="20"/>
        <w:ind w:left="160" w:right="0" w:firstLine="0"/>
        <w:jc w:val="left"/>
        <w:rPr>
          <w:sz w:val="40"/>
        </w:rPr>
      </w:pPr>
      <w:bookmarkStart w:name="Melissa July 2025_Finance_Report" w:id="49"/>
      <w:bookmarkEnd w:id="49"/>
      <w:r>
        <w:rPr/>
      </w:r>
      <w:r>
        <w:rPr>
          <w:color w:val="000099"/>
          <w:sz w:val="40"/>
        </w:rPr>
        <w:t>Audit and Finance Committee Agenda</w:t>
      </w:r>
    </w:p>
    <w:p>
      <w:pPr>
        <w:spacing w:line="219" w:lineRule="exact" w:before="2"/>
        <w:ind w:left="340" w:right="0" w:firstLine="0"/>
        <w:jc w:val="left"/>
        <w:rPr>
          <w:sz w:val="18"/>
        </w:rPr>
      </w:pPr>
      <w:r>
        <w:rPr>
          <w:sz w:val="18"/>
        </w:rPr>
        <w:t>Presented by Melissa Brim, Vice President of Finance</w:t>
      </w:r>
    </w:p>
    <w:p>
      <w:pPr>
        <w:spacing w:line="170" w:lineRule="exact" w:before="0"/>
        <w:ind w:left="340" w:right="0" w:firstLine="0"/>
        <w:jc w:val="left"/>
        <w:rPr>
          <w:sz w:val="14"/>
        </w:rPr>
      </w:pPr>
      <w:r>
        <w:rPr>
          <w:sz w:val="14"/>
        </w:rPr>
        <w:t>July 25, 2025</w:t>
      </w:r>
    </w:p>
    <w:p>
      <w:pPr>
        <w:spacing w:line="240" w:lineRule="auto" w:before="3"/>
        <w:rPr>
          <w:sz w:val="16"/>
        </w:rPr>
      </w:pPr>
    </w:p>
    <w:p>
      <w:pPr>
        <w:pStyle w:val="Heading2"/>
        <w:rPr>
          <w:rFonts w:ascii="Calibri"/>
        </w:rPr>
      </w:pPr>
      <w:r>
        <w:rPr>
          <w:rFonts w:ascii="Calibri"/>
          <w:color w:val="000099"/>
        </w:rPr>
        <w:t>Board Actions Motions and Resolutions</w:t>
      </w:r>
    </w:p>
    <w:p>
      <w:pPr>
        <w:spacing w:line="341" w:lineRule="exact" w:before="193"/>
        <w:ind w:left="340" w:right="0" w:firstLine="0"/>
        <w:jc w:val="left"/>
        <w:rPr>
          <w:sz w:val="28"/>
        </w:rPr>
      </w:pPr>
      <w:r>
        <w:rPr>
          <w:color w:val="000099"/>
          <w:sz w:val="28"/>
        </w:rPr>
        <w:t>MOTIONS:</w:t>
      </w:r>
    </w:p>
    <w:p>
      <w:pPr>
        <w:spacing w:line="268" w:lineRule="exact" w:before="0"/>
        <w:ind w:left="520" w:right="0" w:firstLine="0"/>
        <w:jc w:val="left"/>
        <w:rPr>
          <w:sz w:val="22"/>
        </w:rPr>
      </w:pPr>
      <w:r>
        <w:rPr>
          <w:sz w:val="22"/>
        </w:rPr>
        <w:t>2025-26 First Quarter Financial Statements – M. Brim</w:t>
      </w:r>
    </w:p>
    <w:p>
      <w:pPr>
        <w:spacing w:before="1"/>
        <w:ind w:left="519" w:right="3709" w:firstLine="0"/>
        <w:jc w:val="left"/>
        <w:rPr>
          <w:sz w:val="22"/>
        </w:rPr>
      </w:pPr>
      <w:r>
        <w:rPr>
          <w:sz w:val="22"/>
        </w:rPr>
        <w:t>2025 ITC Property, General Liability, and Garage Keeper Insurance – J. Maloff 2025 Workers Compensation Renewal – D. Cronin</w:t>
      </w:r>
    </w:p>
    <w:p>
      <w:pPr>
        <w:spacing w:line="240" w:lineRule="auto" w:before="1"/>
        <w:rPr>
          <w:sz w:val="22"/>
        </w:rPr>
      </w:pPr>
    </w:p>
    <w:p>
      <w:pPr>
        <w:spacing w:line="341" w:lineRule="exact" w:before="0"/>
        <w:ind w:left="340" w:right="0" w:firstLine="0"/>
        <w:jc w:val="left"/>
        <w:rPr>
          <w:sz w:val="28"/>
        </w:rPr>
      </w:pPr>
      <w:r>
        <w:rPr>
          <w:color w:val="000099"/>
          <w:sz w:val="28"/>
        </w:rPr>
        <w:t>RESOLUTIONS:</w:t>
      </w:r>
    </w:p>
    <w:p>
      <w:pPr>
        <w:spacing w:before="0"/>
        <w:ind w:left="519" w:right="6366" w:firstLine="0"/>
        <w:jc w:val="left"/>
        <w:rPr>
          <w:sz w:val="22"/>
        </w:rPr>
      </w:pPr>
      <w:r>
        <w:rPr>
          <w:sz w:val="22"/>
        </w:rPr>
        <w:t>Exhaust Extraction System Installation – C. King Minivan Service A 2026-2031 – J.</w:t>
      </w:r>
      <w:r>
        <w:rPr>
          <w:spacing w:val="-6"/>
          <w:sz w:val="22"/>
        </w:rPr>
        <w:t> </w:t>
      </w:r>
      <w:r>
        <w:rPr>
          <w:sz w:val="22"/>
        </w:rPr>
        <w:t>Smith</w:t>
      </w:r>
    </w:p>
    <w:p>
      <w:pPr>
        <w:spacing w:line="240" w:lineRule="auto" w:before="0"/>
        <w:rPr>
          <w:sz w:val="22"/>
        </w:rPr>
      </w:pPr>
    </w:p>
    <w:p>
      <w:pPr>
        <w:spacing w:before="0"/>
        <w:ind w:left="340" w:right="0" w:firstLine="0"/>
        <w:jc w:val="left"/>
        <w:rPr>
          <w:sz w:val="28"/>
        </w:rPr>
      </w:pPr>
      <w:r>
        <w:rPr>
          <w:color w:val="000099"/>
          <w:sz w:val="28"/>
        </w:rPr>
        <w:t>SUPPLEMENTAL</w:t>
      </w:r>
      <w:r>
        <w:rPr>
          <w:color w:val="000099"/>
          <w:spacing w:val="-15"/>
          <w:sz w:val="28"/>
        </w:rPr>
        <w:t> </w:t>
      </w:r>
      <w:r>
        <w:rPr>
          <w:color w:val="000099"/>
          <w:sz w:val="28"/>
        </w:rPr>
        <w:t>INFORMATION:</w:t>
      </w:r>
    </w:p>
    <w:p>
      <w:pPr>
        <w:spacing w:line="237" w:lineRule="auto" w:before="3"/>
        <w:ind w:left="520" w:right="8460" w:firstLine="0"/>
        <w:jc w:val="left"/>
        <w:rPr>
          <w:sz w:val="22"/>
        </w:rPr>
      </w:pPr>
      <w:r>
        <w:rPr>
          <w:sz w:val="22"/>
        </w:rPr>
        <w:t>MRT Statement Statement of Cash Flow</w:t>
      </w:r>
    </w:p>
    <w:p>
      <w:pPr>
        <w:spacing w:before="2"/>
        <w:ind w:left="519" w:right="8015" w:firstLine="0"/>
        <w:jc w:val="left"/>
        <w:rPr>
          <w:sz w:val="22"/>
        </w:rPr>
      </w:pPr>
      <w:r>
        <w:rPr>
          <w:sz w:val="22"/>
        </w:rPr>
        <w:t>Quarterly Investment Report Procurement Summary Grant Summary</w:t>
      </w:r>
    </w:p>
    <w:p>
      <w:pPr>
        <w:spacing w:line="240" w:lineRule="auto" w:before="0"/>
        <w:rPr>
          <w:sz w:val="22"/>
        </w:rPr>
      </w:pPr>
    </w:p>
    <w:p>
      <w:pPr>
        <w:spacing w:line="240" w:lineRule="auto" w:before="1"/>
        <w:rPr>
          <w:sz w:val="22"/>
        </w:rPr>
      </w:pPr>
    </w:p>
    <w:p>
      <w:pPr>
        <w:spacing w:line="341" w:lineRule="exact" w:before="0"/>
        <w:ind w:left="340" w:right="0" w:firstLine="0"/>
        <w:jc w:val="left"/>
        <w:rPr>
          <w:sz w:val="28"/>
        </w:rPr>
      </w:pPr>
      <w:r>
        <w:rPr>
          <w:color w:val="000099"/>
          <w:sz w:val="28"/>
        </w:rPr>
        <w:t>ITEMS REQUIRING FUTURE BOARD ACTION:</w:t>
      </w:r>
    </w:p>
    <w:p>
      <w:pPr>
        <w:spacing w:before="0"/>
        <w:ind w:left="520" w:right="5524" w:firstLine="0"/>
        <w:jc w:val="left"/>
        <w:rPr>
          <w:sz w:val="22"/>
        </w:rPr>
      </w:pPr>
      <w:r>
        <w:rPr>
          <w:sz w:val="22"/>
        </w:rPr>
        <w:t>July 31, 2025, Statement of Revenues &amp; Expenditures August 31, 2025, Statement of Revenues &amp; Expenditures</w:t>
      </w:r>
    </w:p>
    <w:p>
      <w:pPr>
        <w:spacing w:after="0"/>
        <w:jc w:val="left"/>
        <w:rPr>
          <w:sz w:val="22"/>
        </w:rPr>
        <w:sectPr>
          <w:headerReference w:type="default" r:id="rId140"/>
          <w:footerReference w:type="default" r:id="rId141"/>
          <w:pgSz w:w="12240" w:h="15840"/>
          <w:pgMar w:header="790" w:footer="1252" w:top="1240" w:bottom="1440" w:left="560" w:right="560"/>
          <w:pgNumType w:start="1"/>
        </w:sectPr>
      </w:pPr>
    </w:p>
    <w:p>
      <w:pPr>
        <w:spacing w:line="240" w:lineRule="auto" w:before="2"/>
        <w:rPr>
          <w:sz w:val="12"/>
        </w:rPr>
      </w:pPr>
    </w:p>
    <w:p>
      <w:pPr>
        <w:spacing w:line="341" w:lineRule="exact" w:before="45"/>
        <w:ind w:left="160" w:right="0" w:firstLine="0"/>
        <w:jc w:val="left"/>
        <w:rPr>
          <w:sz w:val="28"/>
        </w:rPr>
      </w:pPr>
      <w:r>
        <w:rPr>
          <w:color w:val="000099"/>
          <w:sz w:val="28"/>
        </w:rPr>
        <w:t>STATEMENT OF NEW POSTION</w:t>
      </w:r>
    </w:p>
    <w:p>
      <w:pPr>
        <w:spacing w:before="0"/>
        <w:ind w:left="3229" w:right="3227" w:firstLine="0"/>
        <w:jc w:val="center"/>
        <w:rPr>
          <w:sz w:val="22"/>
        </w:rPr>
      </w:pPr>
      <w:r>
        <w:rPr>
          <w:sz w:val="22"/>
        </w:rPr>
        <w:t>Central New York Regional Transportation Authority Preliminary Statement of Net Postion</w:t>
      </w:r>
    </w:p>
    <w:p>
      <w:pPr>
        <w:spacing w:line="268" w:lineRule="exact" w:before="0"/>
        <w:ind w:left="3226" w:right="3227" w:firstLine="0"/>
        <w:jc w:val="center"/>
        <w:rPr>
          <w:sz w:val="22"/>
        </w:rPr>
      </w:pPr>
      <w:r>
        <w:rPr>
          <w:sz w:val="22"/>
        </w:rPr>
        <w:t>As of 6/30/2025</w:t>
      </w:r>
    </w:p>
    <w:p>
      <w:pPr>
        <w:spacing w:before="0"/>
        <w:ind w:left="3226" w:right="3227" w:firstLine="0"/>
        <w:jc w:val="center"/>
        <w:rPr>
          <w:sz w:val="14"/>
        </w:rPr>
      </w:pPr>
      <w:r>
        <w:rPr/>
        <w:pict>
          <v:group style="position:absolute;margin-left:450.588867pt;margin-top:48.379345pt;width:.1pt;height:.35pt;mso-position-horizontal-relative:page;mso-position-vertical-relative:paragraph;z-index:251786240" coordorigin="9012,968" coordsize="2,7">
            <v:line style="position:absolute" from="9012,968" to="9012,968" stroked="true" strokeweight="0pt" strokecolor="#dfdfdf">
              <v:stroke dashstyle="solid"/>
            </v:line>
            <v:shape style="position:absolute;left:9011;top:967;width:2;height:7" coordorigin="9012,968" coordsize="0,7" path="m9012,974l9012,968,9012,974xe" filled="true" fillcolor="#dfdfdf" stroked="false">
              <v:path arrowok="t"/>
              <v:fill type="solid"/>
            </v:shape>
            <w10:wrap type="none"/>
          </v:group>
        </w:pict>
      </w:r>
      <w:r>
        <w:rPr/>
        <w:pict>
          <v:group style="position:absolute;margin-left:450.588867pt;margin-top:60.612114pt;width:.1pt;height:.35pt;mso-position-horizontal-relative:page;mso-position-vertical-relative:paragraph;z-index:251787264" coordorigin="9012,1212" coordsize="2,7">
            <v:line style="position:absolute" from="9012,1212" to="9012,1212" stroked="true" strokeweight="0pt" strokecolor="#dfdfdf">
              <v:stroke dashstyle="solid"/>
            </v:line>
            <v:shape style="position:absolute;left:9011;top:1212;width:2;height:7" coordorigin="9012,1212" coordsize="0,7" path="m9012,1218l9012,1212,9012,1218xe" filled="true" fillcolor="#dfdfdf" stroked="false">
              <v:path arrowok="t"/>
              <v:fill type="solid"/>
            </v:shape>
            <w10:wrap type="none"/>
          </v:group>
        </w:pict>
      </w:r>
      <w:r>
        <w:rPr/>
        <w:pict>
          <v:group style="position:absolute;margin-left:450.588867pt;margin-top:72.844879pt;width:.1pt;height:.35pt;mso-position-horizontal-relative:page;mso-position-vertical-relative:paragraph;z-index:251788288" coordorigin="9012,1457" coordsize="2,7">
            <v:line style="position:absolute" from="9012,1457" to="9012,1457" stroked="true" strokeweight="0pt" strokecolor="#dfdfdf">
              <v:stroke dashstyle="solid"/>
            </v:line>
            <v:shape style="position:absolute;left:9011;top:1456;width:2;height:7" coordorigin="9012,1457" coordsize="0,7" path="m9012,1463l9012,1457,9012,1463xe" filled="true" fillcolor="#dfdfdf" stroked="false">
              <v:path arrowok="t"/>
              <v:fill type="solid"/>
            </v:shape>
            <w10:wrap type="none"/>
          </v:group>
        </w:pict>
      </w:r>
      <w:r>
        <w:rPr>
          <w:sz w:val="14"/>
        </w:rPr>
        <w:t>(In Whole Numbers)</w:t>
      </w:r>
    </w:p>
    <w:p>
      <w:pPr>
        <w:spacing w:line="240" w:lineRule="auto"/>
        <w:ind w:left="160" w:right="0" w:firstLine="0"/>
        <w:rPr>
          <w:sz w:val="20"/>
        </w:rPr>
      </w:pPr>
      <w:r>
        <w:rPr>
          <w:sz w:val="20"/>
        </w:rPr>
        <w:pict>
          <v:group style="width:414.6pt;height:27.85pt;mso-position-horizontal-relative:char;mso-position-vertical-relative:line" coordorigin="0,0" coordsize="8292,557">
            <v:rect style="position:absolute;left:6;top:6;width:8286;height:551" filled="true" fillcolor="#001f5f" stroked="false">
              <v:fill type="solid"/>
            </v:rect>
            <v:shape style="position:absolute;left:0;top:0;width:7;height:2" coordorigin="0,0" coordsize="7,0" path="m0,0l6,0e" filled="true" fillcolor="#dfdfdf" stroked="false">
              <v:path arrowok="t"/>
              <v:fill type="solid"/>
            </v:shape>
            <v:shape style="position:absolute;left:3699;top:0;width:7;height:2" coordorigin="3700,0" coordsize="7,0" path="m3700,0l3706,0e" filled="true" fillcolor="#dfdfdf" stroked="false">
              <v:path arrowok="t"/>
              <v:fill type="solid"/>
            </v:shape>
            <v:shape style="position:absolute;left:4794;top:0;width:7;height:2" coordorigin="4794,0" coordsize="7,0" path="m4794,0l4800,0e" filled="true" fillcolor="#dfdfdf" stroked="false">
              <v:path arrowok="t"/>
              <v:fill type="solid"/>
            </v:shape>
            <v:shape style="position:absolute;left:5888;top:0;width:7;height:2" coordorigin="5889,0" coordsize="7,0" path="m5889,0l5895,0e" filled="true" fillcolor="#dfdfdf" stroked="false">
              <v:path arrowok="t"/>
              <v:fill type="solid"/>
            </v:shape>
            <v:shape style="position:absolute;left:6983;top:0;width:7;height:2" coordorigin="6983,0" coordsize="7,0" path="m6983,0l6989,0e" filled="true" fillcolor="#dfdfdf" stroked="false">
              <v:path arrowok="t"/>
              <v:fill type="solid"/>
            </v:shape>
            <v:shape style="position:absolute;left:8285;top:0;width:7;height:2" coordorigin="8286,0" coordsize="7,0" path="m8286,0l8292,0e" filled="true" fillcolor="#dfdfdf" stroked="false">
              <v:path arrowok="t"/>
              <v:fill type="solid"/>
            </v:shape>
            <v:line style="position:absolute" from="3700,0" to="3700,557" stroked="true" strokeweight="0pt" strokecolor="#ffffff">
              <v:stroke dashstyle="solid"/>
            </v:line>
            <v:line style="position:absolute" from="3703,0" to="3703,557" stroked="true" strokeweight=".305744pt" strokecolor="#ffffff">
              <v:stroke dashstyle="solid"/>
            </v:line>
            <v:line style="position:absolute" from="4794,0" to="4794,557" stroked="true" strokeweight="0pt" strokecolor="#ffffff">
              <v:stroke dashstyle="solid"/>
            </v:line>
            <v:line style="position:absolute" from="4797,0" to="4797,557" stroked="true" strokeweight=".30605pt" strokecolor="#ffffff">
              <v:stroke dashstyle="solid"/>
            </v:line>
            <v:line style="position:absolute" from="5889,0" to="5889,557" stroked="true" strokeweight="0pt" strokecolor="#ffffff">
              <v:stroke dashstyle="solid"/>
            </v:line>
            <v:line style="position:absolute" from="5892,0" to="5892,557" stroked="true" strokeweight=".305744pt" strokecolor="#ffffff">
              <v:stroke dashstyle="solid"/>
            </v:line>
            <v:line style="position:absolute" from="6983,0" to="6983,557" stroked="true" strokeweight="0pt" strokecolor="#ffffff">
              <v:stroke dashstyle="solid"/>
            </v:line>
            <v:line style="position:absolute" from="6986,0" to="6986,557" stroked="true" strokeweight=".305744pt" strokecolor="#ffffff">
              <v:stroke dashstyle="solid"/>
            </v:line>
            <v:shape style="position:absolute;left:8291;top:0;width:2;height:7" coordorigin="8292,0" coordsize="0,7" path="m8292,6l8292,0,8292,6xe" filled="true" fillcolor="#dfdfdf" stroked="false">
              <v:path arrowok="t"/>
              <v:fill type="solid"/>
            </v:shape>
            <v:line style="position:absolute" from="8292,550" to="8292,550" stroked="true" strokeweight="0pt" strokecolor="#dfdfdf">
              <v:stroke dashstyle="solid"/>
            </v:line>
            <v:shape style="position:absolute;left:8291;top:550;width:2;height:7" coordorigin="8292,550" coordsize="0,7" path="m8292,557l8292,550,8292,557xe" filled="true" fillcolor="#dfdfdf" stroked="false">
              <v:path arrowok="t"/>
              <v:fill type="solid"/>
            </v:shape>
            <v:shape style="position:absolute;left:7337;top:275;width:619;height:196" type="#_x0000_t202" filled="false" stroked="false">
              <v:textbox inset="0,0,0,0">
                <w:txbxContent>
                  <w:p>
                    <w:pPr>
                      <w:spacing w:line="196" w:lineRule="exact" w:before="0"/>
                      <w:ind w:left="0" w:right="0" w:firstLine="0"/>
                      <w:jc w:val="left"/>
                      <w:rPr>
                        <w:b/>
                        <w:sz w:val="19"/>
                      </w:rPr>
                    </w:pPr>
                    <w:r>
                      <w:rPr>
                        <w:b/>
                        <w:color w:val="FFFFFF"/>
                        <w:sz w:val="19"/>
                      </w:rPr>
                      <w:t>Change</w:t>
                    </w:r>
                  </w:p>
                </w:txbxContent>
              </v:textbox>
              <w10:wrap type="none"/>
            </v:shape>
            <v:shape style="position:absolute;left:6139;top:275;width:619;height:196" type="#_x0000_t202" filled="false" stroked="false">
              <v:textbox inset="0,0,0,0">
                <w:txbxContent>
                  <w:p>
                    <w:pPr>
                      <w:spacing w:line="196" w:lineRule="exact" w:before="0"/>
                      <w:ind w:left="0" w:right="0" w:firstLine="0"/>
                      <w:jc w:val="left"/>
                      <w:rPr>
                        <w:b/>
                        <w:sz w:val="19"/>
                      </w:rPr>
                    </w:pPr>
                    <w:r>
                      <w:rPr>
                        <w:b/>
                        <w:color w:val="FFFFFF"/>
                        <w:sz w:val="19"/>
                      </w:rPr>
                      <w:t>Change</w:t>
                    </w:r>
                  </w:p>
                </w:txbxContent>
              </v:textbox>
              <w10:wrap type="none"/>
            </v:shape>
            <v:shape style="position:absolute;left:4940;top:201;width:824;height:196" type="#_x0000_t202" filled="false" stroked="false">
              <v:textbox inset="0,0,0,0">
                <w:txbxContent>
                  <w:p>
                    <w:pPr>
                      <w:spacing w:line="196" w:lineRule="exact" w:before="0"/>
                      <w:ind w:left="0" w:right="0" w:firstLine="0"/>
                      <w:jc w:val="left"/>
                      <w:rPr>
                        <w:b/>
                        <w:sz w:val="19"/>
                      </w:rPr>
                    </w:pPr>
                    <w:r>
                      <w:rPr>
                        <w:b/>
                        <w:color w:val="FFFFFF"/>
                        <w:w w:val="105"/>
                        <w:sz w:val="19"/>
                      </w:rPr>
                      <w:t>Prior Year</w:t>
                    </w:r>
                  </w:p>
                </w:txbxContent>
              </v:textbox>
              <w10:wrap type="none"/>
            </v:shape>
            <v:shape style="position:absolute;left:3736;top:275;width:1044;height:196" type="#_x0000_t202" filled="false" stroked="false">
              <v:textbox inset="0,0,0,0">
                <w:txbxContent>
                  <w:p>
                    <w:pPr>
                      <w:spacing w:line="196" w:lineRule="exact" w:before="0"/>
                      <w:ind w:left="0" w:right="0" w:firstLine="0"/>
                      <w:jc w:val="left"/>
                      <w:rPr>
                        <w:b/>
                        <w:sz w:val="19"/>
                      </w:rPr>
                    </w:pPr>
                    <w:r>
                      <w:rPr>
                        <w:b/>
                        <w:color w:val="FFFFFF"/>
                        <w:w w:val="105"/>
                        <w:sz w:val="19"/>
                      </w:rPr>
                      <w:t>Current</w:t>
                    </w:r>
                    <w:r>
                      <w:rPr>
                        <w:b/>
                        <w:color w:val="FFFFFF"/>
                        <w:spacing w:val="-21"/>
                        <w:w w:val="105"/>
                        <w:sz w:val="19"/>
                      </w:rPr>
                      <w:t> </w:t>
                    </w:r>
                    <w:r>
                      <w:rPr>
                        <w:b/>
                        <w:color w:val="FFFFFF"/>
                        <w:w w:val="105"/>
                        <w:sz w:val="19"/>
                      </w:rPr>
                      <w:t>Year</w:t>
                    </w:r>
                  </w:p>
                </w:txbxContent>
              </v:textbox>
              <w10:wrap type="none"/>
            </v:shape>
            <v:shape style="position:absolute;left:5925;top:18;width:2359;height:196" type="#_x0000_t202" filled="false" stroked="false">
              <v:textbox inset="0,0,0,0">
                <w:txbxContent>
                  <w:p>
                    <w:pPr>
                      <w:spacing w:line="196" w:lineRule="exact" w:before="0"/>
                      <w:ind w:left="0" w:right="0" w:firstLine="0"/>
                      <w:jc w:val="left"/>
                      <w:rPr>
                        <w:b/>
                        <w:sz w:val="19"/>
                      </w:rPr>
                    </w:pPr>
                    <w:r>
                      <w:rPr>
                        <w:b/>
                        <w:color w:val="FFFFFF"/>
                        <w:w w:val="105"/>
                        <w:sz w:val="19"/>
                      </w:rPr>
                      <w:t>Current Year Current Year %</w:t>
                    </w:r>
                  </w:p>
                </w:txbxContent>
              </v:textbox>
              <w10:wrap type="none"/>
            </v:shape>
          </v:group>
        </w:pict>
      </w:r>
      <w:r>
        <w:rPr>
          <w:sz w:val="20"/>
        </w:rPr>
      </w:r>
    </w:p>
    <w:tbl>
      <w:tblPr>
        <w:tblW w:w="0" w:type="auto"/>
        <w:jc w:val="left"/>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6"/>
        <w:gridCol w:w="1611"/>
        <w:gridCol w:w="1086"/>
        <w:gridCol w:w="1157"/>
        <w:gridCol w:w="839"/>
      </w:tblGrid>
      <w:tr>
        <w:trPr>
          <w:trHeight w:val="211" w:hRule="atLeast"/>
        </w:trPr>
        <w:tc>
          <w:tcPr>
            <w:tcW w:w="3316" w:type="dxa"/>
          </w:tcPr>
          <w:p>
            <w:pPr>
              <w:pStyle w:val="TableParagraph"/>
              <w:spacing w:line="179" w:lineRule="exact"/>
              <w:ind w:left="50"/>
              <w:rPr>
                <w:rFonts w:ascii="Calibri"/>
                <w:sz w:val="17"/>
              </w:rPr>
            </w:pPr>
            <w:r>
              <w:rPr>
                <w:rFonts w:ascii="Calibri"/>
                <w:w w:val="105"/>
                <w:sz w:val="17"/>
              </w:rPr>
              <w:t>Current Assets</w:t>
            </w:r>
          </w:p>
        </w:tc>
        <w:tc>
          <w:tcPr>
            <w:tcW w:w="4693" w:type="dxa"/>
            <w:gridSpan w:val="4"/>
          </w:tcPr>
          <w:p>
            <w:pPr>
              <w:pStyle w:val="TableParagraph"/>
              <w:rPr>
                <w:rFonts w:ascii="Times New Roman"/>
                <w:sz w:val="14"/>
              </w:rPr>
            </w:pPr>
          </w:p>
        </w:tc>
      </w:tr>
      <w:tr>
        <w:trPr>
          <w:trHeight w:val="247" w:hRule="atLeast"/>
        </w:trPr>
        <w:tc>
          <w:tcPr>
            <w:tcW w:w="3316" w:type="dxa"/>
          </w:tcPr>
          <w:p>
            <w:pPr>
              <w:pStyle w:val="TableParagraph"/>
              <w:spacing w:before="5"/>
              <w:ind w:left="178"/>
              <w:rPr>
                <w:rFonts w:ascii="Calibri"/>
                <w:sz w:val="17"/>
              </w:rPr>
            </w:pPr>
            <w:r>
              <w:rPr>
                <w:rFonts w:ascii="Calibri"/>
                <w:w w:val="105"/>
                <w:sz w:val="17"/>
              </w:rPr>
              <w:t>Cash &amp; Cash Equivalents</w:t>
            </w:r>
          </w:p>
        </w:tc>
        <w:tc>
          <w:tcPr>
            <w:tcW w:w="1611" w:type="dxa"/>
          </w:tcPr>
          <w:p>
            <w:pPr>
              <w:pStyle w:val="TableParagraph"/>
              <w:spacing w:before="5"/>
              <w:ind w:right="136"/>
              <w:jc w:val="right"/>
              <w:rPr>
                <w:rFonts w:ascii="Calibri"/>
                <w:sz w:val="17"/>
              </w:rPr>
            </w:pPr>
            <w:r>
              <w:rPr>
                <w:rFonts w:ascii="Calibri"/>
                <w:sz w:val="17"/>
              </w:rPr>
              <w:t>23,825,349</w:t>
            </w:r>
          </w:p>
        </w:tc>
        <w:tc>
          <w:tcPr>
            <w:tcW w:w="1086" w:type="dxa"/>
          </w:tcPr>
          <w:p>
            <w:pPr>
              <w:pStyle w:val="TableParagraph"/>
              <w:spacing w:before="5"/>
              <w:ind w:right="127"/>
              <w:jc w:val="right"/>
              <w:rPr>
                <w:rFonts w:ascii="Calibri"/>
                <w:sz w:val="17"/>
              </w:rPr>
            </w:pPr>
            <w:r>
              <w:rPr>
                <w:rFonts w:ascii="Calibri"/>
                <w:sz w:val="17"/>
              </w:rPr>
              <w:t>19,370,586</w:t>
            </w:r>
          </w:p>
        </w:tc>
        <w:tc>
          <w:tcPr>
            <w:tcW w:w="1157" w:type="dxa"/>
          </w:tcPr>
          <w:p>
            <w:pPr>
              <w:pStyle w:val="TableParagraph"/>
              <w:spacing w:before="5"/>
              <w:ind w:right="190"/>
              <w:jc w:val="right"/>
              <w:rPr>
                <w:rFonts w:ascii="Calibri"/>
                <w:sz w:val="17"/>
              </w:rPr>
            </w:pPr>
            <w:r>
              <w:rPr>
                <w:rFonts w:ascii="Calibri"/>
                <w:sz w:val="17"/>
              </w:rPr>
              <w:t>4,454,763</w:t>
            </w:r>
          </w:p>
        </w:tc>
        <w:tc>
          <w:tcPr>
            <w:tcW w:w="839" w:type="dxa"/>
          </w:tcPr>
          <w:p>
            <w:pPr>
              <w:pStyle w:val="TableParagraph"/>
              <w:spacing w:before="11"/>
              <w:ind w:left="260"/>
              <w:rPr>
                <w:rFonts w:ascii="Calibri"/>
                <w:sz w:val="17"/>
              </w:rPr>
            </w:pPr>
            <w:r>
              <w:rPr>
                <w:rFonts w:ascii="Calibri"/>
                <w:w w:val="105"/>
                <w:sz w:val="17"/>
              </w:rPr>
              <w:t>23.0%</w:t>
            </w:r>
          </w:p>
        </w:tc>
      </w:tr>
      <w:tr>
        <w:trPr>
          <w:trHeight w:val="244" w:hRule="atLeast"/>
        </w:trPr>
        <w:tc>
          <w:tcPr>
            <w:tcW w:w="3316" w:type="dxa"/>
          </w:tcPr>
          <w:p>
            <w:pPr>
              <w:pStyle w:val="TableParagraph"/>
              <w:spacing w:before="1"/>
              <w:ind w:left="178"/>
              <w:rPr>
                <w:rFonts w:ascii="Calibri"/>
                <w:sz w:val="17"/>
              </w:rPr>
            </w:pPr>
            <w:r>
              <w:rPr>
                <w:rFonts w:ascii="Calibri"/>
                <w:w w:val="105"/>
                <w:sz w:val="17"/>
              </w:rPr>
              <w:t>Cash &amp; Cash Equivalents - Designated</w:t>
            </w:r>
          </w:p>
        </w:tc>
        <w:tc>
          <w:tcPr>
            <w:tcW w:w="1611" w:type="dxa"/>
          </w:tcPr>
          <w:p>
            <w:pPr>
              <w:pStyle w:val="TableParagraph"/>
              <w:spacing w:before="1"/>
              <w:ind w:right="136"/>
              <w:jc w:val="right"/>
              <w:rPr>
                <w:rFonts w:ascii="Calibri"/>
                <w:sz w:val="17"/>
              </w:rPr>
            </w:pPr>
            <w:r>
              <w:rPr>
                <w:rFonts w:ascii="Calibri"/>
                <w:sz w:val="17"/>
              </w:rPr>
              <w:t>16,637,394</w:t>
            </w:r>
          </w:p>
        </w:tc>
        <w:tc>
          <w:tcPr>
            <w:tcW w:w="1086" w:type="dxa"/>
          </w:tcPr>
          <w:p>
            <w:pPr>
              <w:pStyle w:val="TableParagraph"/>
              <w:spacing w:before="1"/>
              <w:ind w:right="127"/>
              <w:jc w:val="right"/>
              <w:rPr>
                <w:rFonts w:ascii="Calibri"/>
                <w:sz w:val="17"/>
              </w:rPr>
            </w:pPr>
            <w:r>
              <w:rPr>
                <w:rFonts w:ascii="Calibri"/>
                <w:sz w:val="17"/>
              </w:rPr>
              <w:t>18,238,473</w:t>
            </w:r>
          </w:p>
        </w:tc>
        <w:tc>
          <w:tcPr>
            <w:tcW w:w="1157" w:type="dxa"/>
          </w:tcPr>
          <w:p>
            <w:pPr>
              <w:pStyle w:val="TableParagraph"/>
              <w:spacing w:before="1"/>
              <w:ind w:right="189"/>
              <w:jc w:val="right"/>
              <w:rPr>
                <w:rFonts w:ascii="Calibri"/>
                <w:sz w:val="17"/>
              </w:rPr>
            </w:pPr>
            <w:r>
              <w:rPr>
                <w:rFonts w:ascii="Calibri"/>
                <w:color w:val="FF0000"/>
                <w:sz w:val="17"/>
              </w:rPr>
              <w:t>(1,601,079)</w:t>
            </w:r>
          </w:p>
        </w:tc>
        <w:tc>
          <w:tcPr>
            <w:tcW w:w="839" w:type="dxa"/>
          </w:tcPr>
          <w:p>
            <w:pPr>
              <w:pStyle w:val="TableParagraph"/>
              <w:spacing w:before="8"/>
              <w:ind w:left="278"/>
              <w:rPr>
                <w:rFonts w:ascii="Calibri"/>
                <w:sz w:val="17"/>
              </w:rPr>
            </w:pPr>
            <w:r>
              <w:rPr>
                <w:rFonts w:ascii="Calibri"/>
                <w:w w:val="105"/>
                <w:sz w:val="17"/>
              </w:rPr>
              <w:t>-8.8%</w:t>
            </w:r>
          </w:p>
        </w:tc>
      </w:tr>
      <w:tr>
        <w:trPr>
          <w:trHeight w:val="244" w:hRule="atLeast"/>
        </w:trPr>
        <w:tc>
          <w:tcPr>
            <w:tcW w:w="3316" w:type="dxa"/>
          </w:tcPr>
          <w:p>
            <w:pPr>
              <w:pStyle w:val="TableParagraph"/>
              <w:spacing w:before="1"/>
              <w:ind w:left="178"/>
              <w:rPr>
                <w:rFonts w:ascii="Calibri"/>
                <w:sz w:val="17"/>
              </w:rPr>
            </w:pPr>
            <w:r>
              <w:rPr>
                <w:rFonts w:ascii="Calibri"/>
                <w:w w:val="105"/>
                <w:sz w:val="17"/>
              </w:rPr>
              <w:t>Trade Accounts Receivable</w:t>
            </w:r>
          </w:p>
        </w:tc>
        <w:tc>
          <w:tcPr>
            <w:tcW w:w="1611" w:type="dxa"/>
          </w:tcPr>
          <w:p>
            <w:pPr>
              <w:pStyle w:val="TableParagraph"/>
              <w:spacing w:before="1"/>
              <w:ind w:right="136"/>
              <w:jc w:val="right"/>
              <w:rPr>
                <w:rFonts w:ascii="Calibri"/>
                <w:sz w:val="17"/>
              </w:rPr>
            </w:pPr>
            <w:r>
              <w:rPr>
                <w:rFonts w:ascii="Calibri"/>
                <w:w w:val="105"/>
                <w:sz w:val="17"/>
              </w:rPr>
              <w:t>566,283</w:t>
            </w:r>
          </w:p>
        </w:tc>
        <w:tc>
          <w:tcPr>
            <w:tcW w:w="1086" w:type="dxa"/>
          </w:tcPr>
          <w:p>
            <w:pPr>
              <w:pStyle w:val="TableParagraph"/>
              <w:spacing w:before="1"/>
              <w:ind w:right="127"/>
              <w:jc w:val="right"/>
              <w:rPr>
                <w:rFonts w:ascii="Calibri"/>
                <w:sz w:val="17"/>
              </w:rPr>
            </w:pPr>
            <w:r>
              <w:rPr>
                <w:rFonts w:ascii="Calibri"/>
                <w:sz w:val="17"/>
              </w:rPr>
              <w:t>1,057,096</w:t>
            </w:r>
          </w:p>
        </w:tc>
        <w:tc>
          <w:tcPr>
            <w:tcW w:w="1157" w:type="dxa"/>
          </w:tcPr>
          <w:p>
            <w:pPr>
              <w:pStyle w:val="TableParagraph"/>
              <w:spacing w:before="1"/>
              <w:ind w:right="189"/>
              <w:jc w:val="right"/>
              <w:rPr>
                <w:rFonts w:ascii="Calibri"/>
                <w:sz w:val="17"/>
              </w:rPr>
            </w:pPr>
            <w:r>
              <w:rPr>
                <w:rFonts w:ascii="Calibri"/>
                <w:color w:val="FF0000"/>
                <w:w w:val="105"/>
                <w:sz w:val="17"/>
              </w:rPr>
              <w:t>(490,813)</w:t>
            </w:r>
          </w:p>
        </w:tc>
        <w:tc>
          <w:tcPr>
            <w:tcW w:w="839" w:type="dxa"/>
          </w:tcPr>
          <w:p>
            <w:pPr>
              <w:pStyle w:val="TableParagraph"/>
              <w:spacing w:before="8"/>
              <w:ind w:left="236"/>
              <w:rPr>
                <w:rFonts w:ascii="Calibri"/>
                <w:sz w:val="17"/>
              </w:rPr>
            </w:pPr>
            <w:r>
              <w:rPr>
                <w:rFonts w:ascii="Calibri"/>
                <w:w w:val="105"/>
                <w:sz w:val="17"/>
              </w:rPr>
              <w:t>-46.4%</w:t>
            </w:r>
          </w:p>
        </w:tc>
      </w:tr>
      <w:tr>
        <w:trPr>
          <w:trHeight w:val="244" w:hRule="atLeast"/>
        </w:trPr>
        <w:tc>
          <w:tcPr>
            <w:tcW w:w="3316" w:type="dxa"/>
          </w:tcPr>
          <w:p>
            <w:pPr>
              <w:pStyle w:val="TableParagraph"/>
              <w:spacing w:before="1"/>
              <w:ind w:left="178"/>
              <w:rPr>
                <w:rFonts w:ascii="Calibri"/>
                <w:sz w:val="17"/>
              </w:rPr>
            </w:pPr>
            <w:r>
              <w:rPr>
                <w:rFonts w:ascii="Calibri"/>
                <w:w w:val="105"/>
                <w:sz w:val="17"/>
              </w:rPr>
              <w:t>Mortgage Tax Receivable</w:t>
            </w:r>
          </w:p>
        </w:tc>
        <w:tc>
          <w:tcPr>
            <w:tcW w:w="1611" w:type="dxa"/>
          </w:tcPr>
          <w:p>
            <w:pPr>
              <w:pStyle w:val="TableParagraph"/>
              <w:spacing w:before="1"/>
              <w:ind w:right="136"/>
              <w:jc w:val="right"/>
              <w:rPr>
                <w:rFonts w:ascii="Calibri"/>
                <w:sz w:val="17"/>
              </w:rPr>
            </w:pPr>
            <w:r>
              <w:rPr>
                <w:rFonts w:ascii="Calibri"/>
                <w:w w:val="105"/>
                <w:sz w:val="17"/>
              </w:rPr>
              <w:t>825,242</w:t>
            </w:r>
          </w:p>
        </w:tc>
        <w:tc>
          <w:tcPr>
            <w:tcW w:w="1086" w:type="dxa"/>
          </w:tcPr>
          <w:p>
            <w:pPr>
              <w:pStyle w:val="TableParagraph"/>
              <w:spacing w:before="1"/>
              <w:ind w:right="127"/>
              <w:jc w:val="right"/>
              <w:rPr>
                <w:rFonts w:ascii="Calibri"/>
                <w:sz w:val="17"/>
              </w:rPr>
            </w:pPr>
            <w:r>
              <w:rPr>
                <w:rFonts w:ascii="Calibri"/>
                <w:w w:val="105"/>
                <w:sz w:val="17"/>
              </w:rPr>
              <w:t>507,119</w:t>
            </w:r>
          </w:p>
        </w:tc>
        <w:tc>
          <w:tcPr>
            <w:tcW w:w="1157" w:type="dxa"/>
          </w:tcPr>
          <w:p>
            <w:pPr>
              <w:pStyle w:val="TableParagraph"/>
              <w:spacing w:before="1"/>
              <w:ind w:right="190"/>
              <w:jc w:val="right"/>
              <w:rPr>
                <w:rFonts w:ascii="Calibri"/>
                <w:sz w:val="17"/>
              </w:rPr>
            </w:pPr>
            <w:r>
              <w:rPr>
                <w:rFonts w:ascii="Calibri"/>
                <w:w w:val="105"/>
                <w:sz w:val="17"/>
              </w:rPr>
              <w:t>318,123</w:t>
            </w:r>
          </w:p>
        </w:tc>
        <w:tc>
          <w:tcPr>
            <w:tcW w:w="839" w:type="dxa"/>
          </w:tcPr>
          <w:p>
            <w:pPr>
              <w:pStyle w:val="TableParagraph"/>
              <w:spacing w:before="8"/>
              <w:ind w:left="260"/>
              <w:rPr>
                <w:rFonts w:ascii="Calibri"/>
                <w:sz w:val="17"/>
              </w:rPr>
            </w:pPr>
            <w:r>
              <w:rPr>
                <w:rFonts w:ascii="Calibri"/>
                <w:w w:val="105"/>
                <w:sz w:val="17"/>
              </w:rPr>
              <w:t>62.7%</w:t>
            </w:r>
          </w:p>
        </w:tc>
      </w:tr>
      <w:tr>
        <w:trPr>
          <w:trHeight w:val="244" w:hRule="atLeast"/>
        </w:trPr>
        <w:tc>
          <w:tcPr>
            <w:tcW w:w="3316" w:type="dxa"/>
          </w:tcPr>
          <w:p>
            <w:pPr>
              <w:pStyle w:val="TableParagraph"/>
              <w:spacing w:before="1"/>
              <w:ind w:left="178"/>
              <w:rPr>
                <w:rFonts w:ascii="Calibri"/>
                <w:sz w:val="17"/>
              </w:rPr>
            </w:pPr>
            <w:r>
              <w:rPr>
                <w:rFonts w:ascii="Calibri"/>
                <w:w w:val="105"/>
                <w:sz w:val="17"/>
              </w:rPr>
              <w:t>Operating Assistance Receivable</w:t>
            </w:r>
          </w:p>
        </w:tc>
        <w:tc>
          <w:tcPr>
            <w:tcW w:w="1611" w:type="dxa"/>
          </w:tcPr>
          <w:p>
            <w:pPr>
              <w:pStyle w:val="TableParagraph"/>
              <w:spacing w:before="1"/>
              <w:ind w:right="136"/>
              <w:jc w:val="right"/>
              <w:rPr>
                <w:rFonts w:ascii="Calibri"/>
                <w:sz w:val="17"/>
              </w:rPr>
            </w:pPr>
            <w:r>
              <w:rPr>
                <w:rFonts w:ascii="Calibri"/>
                <w:sz w:val="17"/>
              </w:rPr>
              <w:t>3,830,804</w:t>
            </w:r>
          </w:p>
        </w:tc>
        <w:tc>
          <w:tcPr>
            <w:tcW w:w="1086" w:type="dxa"/>
          </w:tcPr>
          <w:p>
            <w:pPr>
              <w:pStyle w:val="TableParagraph"/>
              <w:spacing w:before="1"/>
              <w:ind w:right="127"/>
              <w:jc w:val="right"/>
              <w:rPr>
                <w:rFonts w:ascii="Calibri"/>
                <w:sz w:val="17"/>
              </w:rPr>
            </w:pPr>
            <w:r>
              <w:rPr>
                <w:rFonts w:ascii="Calibri"/>
                <w:w w:val="105"/>
                <w:sz w:val="17"/>
              </w:rPr>
              <w:t>419,510</w:t>
            </w:r>
          </w:p>
        </w:tc>
        <w:tc>
          <w:tcPr>
            <w:tcW w:w="1157" w:type="dxa"/>
          </w:tcPr>
          <w:p>
            <w:pPr>
              <w:pStyle w:val="TableParagraph"/>
              <w:spacing w:before="1"/>
              <w:ind w:right="190"/>
              <w:jc w:val="right"/>
              <w:rPr>
                <w:rFonts w:ascii="Calibri"/>
                <w:sz w:val="17"/>
              </w:rPr>
            </w:pPr>
            <w:r>
              <w:rPr>
                <w:rFonts w:ascii="Calibri"/>
                <w:sz w:val="17"/>
              </w:rPr>
              <w:t>3,411,294</w:t>
            </w:r>
          </w:p>
        </w:tc>
        <w:tc>
          <w:tcPr>
            <w:tcW w:w="839" w:type="dxa"/>
          </w:tcPr>
          <w:p>
            <w:pPr>
              <w:pStyle w:val="TableParagraph"/>
              <w:spacing w:before="8"/>
              <w:ind w:left="218"/>
              <w:rPr>
                <w:rFonts w:ascii="Calibri"/>
                <w:sz w:val="17"/>
              </w:rPr>
            </w:pPr>
            <w:r>
              <w:rPr>
                <w:rFonts w:ascii="Calibri"/>
                <w:w w:val="105"/>
                <w:sz w:val="17"/>
              </w:rPr>
              <w:t>813.2%</w:t>
            </w:r>
          </w:p>
        </w:tc>
      </w:tr>
      <w:tr>
        <w:trPr>
          <w:trHeight w:val="244" w:hRule="atLeast"/>
        </w:trPr>
        <w:tc>
          <w:tcPr>
            <w:tcW w:w="3316" w:type="dxa"/>
          </w:tcPr>
          <w:p>
            <w:pPr>
              <w:pStyle w:val="TableParagraph"/>
              <w:spacing w:before="1"/>
              <w:ind w:left="178"/>
              <w:rPr>
                <w:rFonts w:ascii="Calibri"/>
                <w:sz w:val="17"/>
              </w:rPr>
            </w:pPr>
            <w:r>
              <w:rPr>
                <w:rFonts w:ascii="Calibri"/>
                <w:w w:val="105"/>
                <w:sz w:val="17"/>
              </w:rPr>
              <w:t>Grants Receivable</w:t>
            </w:r>
          </w:p>
        </w:tc>
        <w:tc>
          <w:tcPr>
            <w:tcW w:w="1611" w:type="dxa"/>
          </w:tcPr>
          <w:p>
            <w:pPr>
              <w:pStyle w:val="TableParagraph"/>
              <w:spacing w:before="1"/>
              <w:ind w:right="136"/>
              <w:jc w:val="right"/>
              <w:rPr>
                <w:rFonts w:ascii="Calibri"/>
                <w:sz w:val="17"/>
              </w:rPr>
            </w:pPr>
            <w:r>
              <w:rPr>
                <w:rFonts w:ascii="Calibri"/>
                <w:sz w:val="17"/>
              </w:rPr>
              <w:t>6,480,524</w:t>
            </w:r>
          </w:p>
        </w:tc>
        <w:tc>
          <w:tcPr>
            <w:tcW w:w="1086" w:type="dxa"/>
          </w:tcPr>
          <w:p>
            <w:pPr>
              <w:pStyle w:val="TableParagraph"/>
              <w:spacing w:before="1"/>
              <w:ind w:right="127"/>
              <w:jc w:val="right"/>
              <w:rPr>
                <w:rFonts w:ascii="Calibri"/>
                <w:sz w:val="17"/>
              </w:rPr>
            </w:pPr>
            <w:r>
              <w:rPr>
                <w:rFonts w:ascii="Calibri"/>
                <w:sz w:val="17"/>
              </w:rPr>
              <w:t>6,907,814</w:t>
            </w:r>
          </w:p>
        </w:tc>
        <w:tc>
          <w:tcPr>
            <w:tcW w:w="1157" w:type="dxa"/>
          </w:tcPr>
          <w:p>
            <w:pPr>
              <w:pStyle w:val="TableParagraph"/>
              <w:spacing w:before="1"/>
              <w:ind w:right="189"/>
              <w:jc w:val="right"/>
              <w:rPr>
                <w:rFonts w:ascii="Calibri"/>
                <w:sz w:val="17"/>
              </w:rPr>
            </w:pPr>
            <w:r>
              <w:rPr>
                <w:rFonts w:ascii="Calibri"/>
                <w:color w:val="FF0000"/>
                <w:w w:val="105"/>
                <w:sz w:val="17"/>
              </w:rPr>
              <w:t>(427,290)</w:t>
            </w:r>
          </w:p>
        </w:tc>
        <w:tc>
          <w:tcPr>
            <w:tcW w:w="839" w:type="dxa"/>
          </w:tcPr>
          <w:p>
            <w:pPr>
              <w:pStyle w:val="TableParagraph"/>
              <w:spacing w:before="8"/>
              <w:ind w:left="279"/>
              <w:rPr>
                <w:rFonts w:ascii="Calibri"/>
                <w:sz w:val="17"/>
              </w:rPr>
            </w:pPr>
            <w:r>
              <w:rPr>
                <w:rFonts w:ascii="Calibri"/>
                <w:w w:val="105"/>
                <w:sz w:val="17"/>
              </w:rPr>
              <w:t>-6.2%</w:t>
            </w:r>
          </w:p>
        </w:tc>
      </w:tr>
      <w:tr>
        <w:trPr>
          <w:trHeight w:val="244" w:hRule="atLeast"/>
        </w:trPr>
        <w:tc>
          <w:tcPr>
            <w:tcW w:w="3316" w:type="dxa"/>
          </w:tcPr>
          <w:p>
            <w:pPr>
              <w:pStyle w:val="TableParagraph"/>
              <w:spacing w:before="1"/>
              <w:ind w:left="178"/>
              <w:rPr>
                <w:rFonts w:ascii="Calibri"/>
                <w:sz w:val="17"/>
              </w:rPr>
            </w:pPr>
            <w:r>
              <w:rPr>
                <w:rFonts w:ascii="Calibri"/>
                <w:w w:val="105"/>
                <w:sz w:val="17"/>
              </w:rPr>
              <w:t>Lease Receivable</w:t>
            </w:r>
          </w:p>
        </w:tc>
        <w:tc>
          <w:tcPr>
            <w:tcW w:w="1611" w:type="dxa"/>
          </w:tcPr>
          <w:p>
            <w:pPr>
              <w:pStyle w:val="TableParagraph"/>
              <w:spacing w:before="1"/>
              <w:ind w:right="137"/>
              <w:jc w:val="right"/>
              <w:rPr>
                <w:rFonts w:ascii="Calibri"/>
                <w:sz w:val="17"/>
              </w:rPr>
            </w:pPr>
            <w:r>
              <w:rPr>
                <w:rFonts w:ascii="Calibri"/>
                <w:w w:val="104"/>
                <w:sz w:val="17"/>
              </w:rPr>
              <w:t>0</w:t>
            </w:r>
          </w:p>
        </w:tc>
        <w:tc>
          <w:tcPr>
            <w:tcW w:w="1086" w:type="dxa"/>
          </w:tcPr>
          <w:p>
            <w:pPr>
              <w:pStyle w:val="TableParagraph"/>
              <w:spacing w:before="1"/>
              <w:ind w:right="127"/>
              <w:jc w:val="right"/>
              <w:rPr>
                <w:rFonts w:ascii="Calibri"/>
                <w:sz w:val="17"/>
              </w:rPr>
            </w:pPr>
            <w:r>
              <w:rPr>
                <w:rFonts w:ascii="Calibri"/>
                <w:w w:val="105"/>
                <w:sz w:val="17"/>
              </w:rPr>
              <w:t>239,446</w:t>
            </w:r>
          </w:p>
        </w:tc>
        <w:tc>
          <w:tcPr>
            <w:tcW w:w="1157" w:type="dxa"/>
          </w:tcPr>
          <w:p>
            <w:pPr>
              <w:pStyle w:val="TableParagraph"/>
              <w:spacing w:before="1"/>
              <w:ind w:right="189"/>
              <w:jc w:val="right"/>
              <w:rPr>
                <w:rFonts w:ascii="Calibri"/>
                <w:sz w:val="17"/>
              </w:rPr>
            </w:pPr>
            <w:r>
              <w:rPr>
                <w:rFonts w:ascii="Calibri"/>
                <w:color w:val="FF0000"/>
                <w:w w:val="105"/>
                <w:sz w:val="17"/>
              </w:rPr>
              <w:t>(239,446)</w:t>
            </w:r>
          </w:p>
        </w:tc>
        <w:tc>
          <w:tcPr>
            <w:tcW w:w="839" w:type="dxa"/>
          </w:tcPr>
          <w:p>
            <w:pPr>
              <w:pStyle w:val="TableParagraph"/>
              <w:spacing w:before="8"/>
              <w:ind w:left="187"/>
              <w:rPr>
                <w:rFonts w:ascii="Calibri"/>
                <w:sz w:val="17"/>
              </w:rPr>
            </w:pPr>
            <w:r>
              <w:rPr>
                <w:rFonts w:ascii="Calibri"/>
                <w:w w:val="105"/>
                <w:sz w:val="17"/>
              </w:rPr>
              <w:t>-100.0%</w:t>
            </w:r>
          </w:p>
        </w:tc>
      </w:tr>
      <w:tr>
        <w:trPr>
          <w:trHeight w:val="214" w:hRule="atLeast"/>
        </w:trPr>
        <w:tc>
          <w:tcPr>
            <w:tcW w:w="3316" w:type="dxa"/>
          </w:tcPr>
          <w:p>
            <w:pPr>
              <w:pStyle w:val="TableParagraph"/>
              <w:spacing w:line="192" w:lineRule="exact" w:before="1"/>
              <w:ind w:left="178"/>
              <w:rPr>
                <w:rFonts w:ascii="Calibri"/>
                <w:sz w:val="17"/>
              </w:rPr>
            </w:pPr>
            <w:r>
              <w:rPr>
                <w:rFonts w:ascii="Calibri"/>
                <w:w w:val="105"/>
                <w:sz w:val="17"/>
              </w:rPr>
              <w:t>Materials &amp; Supplies</w:t>
            </w:r>
          </w:p>
        </w:tc>
        <w:tc>
          <w:tcPr>
            <w:tcW w:w="1611" w:type="dxa"/>
          </w:tcPr>
          <w:p>
            <w:pPr>
              <w:pStyle w:val="TableParagraph"/>
              <w:spacing w:line="192" w:lineRule="exact" w:before="1"/>
              <w:ind w:right="136"/>
              <w:jc w:val="right"/>
              <w:rPr>
                <w:rFonts w:ascii="Calibri"/>
                <w:sz w:val="17"/>
              </w:rPr>
            </w:pPr>
            <w:r>
              <w:rPr>
                <w:rFonts w:ascii="Calibri"/>
                <w:sz w:val="17"/>
              </w:rPr>
              <w:t>3,589,671</w:t>
            </w:r>
          </w:p>
        </w:tc>
        <w:tc>
          <w:tcPr>
            <w:tcW w:w="1086" w:type="dxa"/>
          </w:tcPr>
          <w:p>
            <w:pPr>
              <w:pStyle w:val="TableParagraph"/>
              <w:spacing w:line="192" w:lineRule="exact" w:before="1"/>
              <w:ind w:right="127"/>
              <w:jc w:val="right"/>
              <w:rPr>
                <w:rFonts w:ascii="Calibri"/>
                <w:sz w:val="17"/>
              </w:rPr>
            </w:pPr>
            <w:r>
              <w:rPr>
                <w:rFonts w:ascii="Calibri"/>
                <w:sz w:val="17"/>
              </w:rPr>
              <w:t>4,153,532</w:t>
            </w:r>
          </w:p>
        </w:tc>
        <w:tc>
          <w:tcPr>
            <w:tcW w:w="1157" w:type="dxa"/>
          </w:tcPr>
          <w:p>
            <w:pPr>
              <w:pStyle w:val="TableParagraph"/>
              <w:spacing w:line="192" w:lineRule="exact" w:before="1"/>
              <w:ind w:right="189"/>
              <w:jc w:val="right"/>
              <w:rPr>
                <w:rFonts w:ascii="Calibri"/>
                <w:sz w:val="17"/>
              </w:rPr>
            </w:pPr>
            <w:r>
              <w:rPr>
                <w:rFonts w:ascii="Calibri"/>
                <w:color w:val="FF0000"/>
                <w:w w:val="105"/>
                <w:sz w:val="17"/>
              </w:rPr>
              <w:t>(563,860)</w:t>
            </w:r>
          </w:p>
        </w:tc>
        <w:tc>
          <w:tcPr>
            <w:tcW w:w="839" w:type="dxa"/>
          </w:tcPr>
          <w:p>
            <w:pPr>
              <w:pStyle w:val="TableParagraph"/>
              <w:spacing w:line="186" w:lineRule="exact" w:before="8"/>
              <w:ind w:left="236"/>
              <w:rPr>
                <w:rFonts w:ascii="Calibri"/>
                <w:sz w:val="17"/>
              </w:rPr>
            </w:pPr>
            <w:r>
              <w:rPr>
                <w:rFonts w:ascii="Calibri"/>
                <w:w w:val="105"/>
                <w:sz w:val="17"/>
              </w:rPr>
              <w:t>-13.6%</w:t>
            </w:r>
          </w:p>
        </w:tc>
      </w:tr>
    </w:tbl>
    <w:p>
      <w:pPr>
        <w:spacing w:line="20" w:lineRule="exact"/>
        <w:ind w:left="8451" w:right="0" w:firstLine="0"/>
        <w:rPr>
          <w:sz w:val="2"/>
        </w:rPr>
      </w:pPr>
      <w:r>
        <w:rPr>
          <w:sz w:val="2"/>
        </w:rPr>
        <w:pict>
          <v:group style="width:.1pt;height:.35pt;mso-position-horizontal-relative:char;mso-position-vertical-relative:line" coordorigin="0,0" coordsize="2,7">
            <v:line style="position:absolute" from="0,0" to="0,0" stroked="true" strokeweight="0pt" strokecolor="#dfdfdf">
              <v:stroke dashstyle="solid"/>
            </v:line>
            <v:shape style="position:absolute;left:0;top:0;width:2;height:7" coordorigin="0,0" coordsize="0,7" path="m0,6l0,0,0,6xe" filled="true" fillcolor="#dfdfdf" stroked="false">
              <v:path arrowok="t"/>
              <v:fill type="solid"/>
            </v:shape>
          </v:group>
        </w:pict>
      </w:r>
      <w:r>
        <w:rPr>
          <w:sz w:val="2"/>
        </w:rPr>
      </w:r>
    </w:p>
    <w:p>
      <w:pPr>
        <w:tabs>
          <w:tab w:pos="3859" w:val="left" w:leader="none"/>
          <w:tab w:pos="4110" w:val="left" w:leader="none"/>
          <w:tab w:pos="4201" w:val="left" w:leader="none"/>
          <w:tab w:pos="5204" w:val="left" w:leader="none"/>
          <w:tab w:pos="5296" w:val="left" w:leader="none"/>
          <w:tab w:pos="6280" w:val="left" w:leader="none"/>
          <w:tab w:pos="6390" w:val="left" w:leader="none"/>
          <w:tab w:pos="7546" w:val="left" w:leader="none"/>
          <w:tab w:pos="7620" w:val="left" w:leader="none"/>
          <w:tab w:pos="8445" w:val="left" w:leader="none"/>
        </w:tabs>
        <w:spacing w:line="271" w:lineRule="auto" w:before="11"/>
        <w:ind w:left="447" w:right="2666" w:hanging="129"/>
        <w:jc w:val="left"/>
        <w:rPr>
          <w:sz w:val="17"/>
        </w:rPr>
      </w:pPr>
      <w:r>
        <w:rPr/>
        <w:pict>
          <v:group style="position:absolute;margin-left:220.975174pt;margin-top:11.899782pt;width:229.65pt;height:.35pt;mso-position-horizontal-relative:page;mso-position-vertical-relative:paragraph;z-index:-266915840" coordorigin="4420,238" coordsize="4593,7">
            <v:line style="position:absolute" from="4420,238" to="9012,238" stroked="true" strokeweight="0pt" strokecolor="#000000">
              <v:stroke dashstyle="solid"/>
            </v:line>
            <v:line style="position:absolute" from="9012,238" to="9012,238" stroked="true" strokeweight="0pt" strokecolor="#dfdfdf">
              <v:stroke dashstyle="solid"/>
            </v:line>
            <v:shape style="position:absolute;left:9011;top:238;width:2;height:7" coordorigin="9012,238" coordsize="0,7" path="m9012,244l9012,238,9012,244xe" filled="true" fillcolor="#dfdfdf" stroked="false">
              <v:path arrowok="t"/>
              <v:fill type="solid"/>
            </v:shape>
            <w10:wrap type="none"/>
          </v:group>
        </w:pict>
      </w:r>
      <w:r>
        <w:rPr/>
        <w:pict>
          <v:group style="position:absolute;margin-left:450.588867pt;margin-top:-61.49683pt;width:.1pt;height:.35pt;mso-position-horizontal-relative:page;mso-position-vertical-relative:paragraph;z-index:251789312" coordorigin="9012,-1230" coordsize="2,7">
            <v:line style="position:absolute" from="9012,-1230" to="9012,-1230" stroked="true" strokeweight="0pt" strokecolor="#dfdfdf">
              <v:stroke dashstyle="solid"/>
            </v:line>
            <v:shape style="position:absolute;left:9011;top:-1230;width:2;height:7" coordorigin="9012,-1230" coordsize="0,7" path="m9012,-1224l9012,-1230,9012,-1224xe" filled="true" fillcolor="#dfdfdf" stroked="false">
              <v:path arrowok="t"/>
              <v:fill type="solid"/>
            </v:shape>
            <w10:wrap type="none"/>
          </v:group>
        </w:pict>
      </w:r>
      <w:r>
        <w:rPr/>
        <w:pict>
          <v:group style="position:absolute;margin-left:450.588867pt;margin-top:-49.264061pt;width:.1pt;height:.35pt;mso-position-horizontal-relative:page;mso-position-vertical-relative:paragraph;z-index:251790336" coordorigin="9012,-985" coordsize="2,7">
            <v:line style="position:absolute" from="9012,-985" to="9012,-985" stroked="true" strokeweight="0pt" strokecolor="#dfdfdf">
              <v:stroke dashstyle="solid"/>
            </v:line>
            <v:shape style="position:absolute;left:9011;top:-986;width:2;height:7" coordorigin="9012,-985" coordsize="0,7" path="m9012,-979l9012,-985,9012,-979xe" filled="true" fillcolor="#dfdfdf" stroked="false">
              <v:path arrowok="t"/>
              <v:fill type="solid"/>
            </v:shape>
            <w10:wrap type="none"/>
          </v:group>
        </w:pict>
      </w:r>
      <w:r>
        <w:rPr/>
        <w:pict>
          <v:group style="position:absolute;margin-left:450.588867pt;margin-top:-37.031292pt;width:.1pt;height:.35pt;mso-position-horizontal-relative:page;mso-position-vertical-relative:paragraph;z-index:251791360" coordorigin="9012,-741" coordsize="2,7">
            <v:line style="position:absolute" from="9012,-741" to="9012,-741" stroked="true" strokeweight="0pt" strokecolor="#dfdfdf">
              <v:stroke dashstyle="solid"/>
            </v:line>
            <v:shape style="position:absolute;left:9011;top:-741;width:2;height:7" coordorigin="9012,-741" coordsize="0,7" path="m9012,-735l9012,-741,9012,-735xe" filled="true" fillcolor="#dfdfdf" stroked="false">
              <v:path arrowok="t"/>
              <v:fill type="solid"/>
            </v:shape>
            <w10:wrap type="none"/>
          </v:group>
        </w:pict>
      </w:r>
      <w:r>
        <w:rPr/>
        <w:pict>
          <v:group style="position:absolute;margin-left:450.588867pt;margin-top:-24.798525pt;width:.1pt;height:.35pt;mso-position-horizontal-relative:page;mso-position-vertical-relative:paragraph;z-index:251792384" coordorigin="9012,-496" coordsize="2,7">
            <v:line style="position:absolute" from="9012,-496" to="9012,-496" stroked="true" strokeweight="0pt" strokecolor="#dfdfdf">
              <v:stroke dashstyle="solid"/>
            </v:line>
            <v:shape style="position:absolute;left:9011;top:-496;width:2;height:7" coordorigin="9012,-496" coordsize="0,7" path="m9012,-490l9012,-496,9012,-490xe" filled="true" fillcolor="#dfdfdf" stroked="false">
              <v:path arrowok="t"/>
              <v:fill type="solid"/>
            </v:shape>
            <w10:wrap type="none"/>
          </v:group>
        </w:pict>
      </w:r>
      <w:r>
        <w:rPr/>
        <w:pict>
          <v:group style="position:absolute;margin-left:450.588867pt;margin-top:-12.565756pt;width:.1pt;height:.35pt;mso-position-horizontal-relative:page;mso-position-vertical-relative:paragraph;z-index:251793408" coordorigin="9012,-251" coordsize="2,7">
            <v:line style="position:absolute" from="9012,-251" to="9012,-251" stroked="true" strokeweight="0pt" strokecolor="#dfdfdf">
              <v:stroke dashstyle="solid"/>
            </v:line>
            <v:shape style="position:absolute;left:9011;top:-252;width:2;height:7" coordorigin="9012,-251" coordsize="0,7" path="m9012,-245l9012,-251,9012,-245xe" filled="true" fillcolor="#dfdfdf" stroked="false">
              <v:path arrowok="t"/>
              <v:fill type="solid"/>
            </v:shape>
            <w10:wrap type="none"/>
          </v:group>
        </w:pict>
      </w:r>
      <w:r>
        <w:rPr>
          <w:w w:val="105"/>
          <w:position w:val="1"/>
          <w:sz w:val="17"/>
        </w:rPr>
        <w:t>Prepaid Expenses &amp; Other</w:t>
      </w:r>
      <w:r>
        <w:rPr>
          <w:spacing w:val="-27"/>
          <w:w w:val="105"/>
          <w:position w:val="1"/>
          <w:sz w:val="17"/>
        </w:rPr>
        <w:t> </w:t>
      </w:r>
      <w:r>
        <w:rPr>
          <w:w w:val="105"/>
          <w:position w:val="1"/>
          <w:sz w:val="17"/>
        </w:rPr>
        <w:t>Current</w:t>
      </w:r>
      <w:r>
        <w:rPr>
          <w:spacing w:val="-5"/>
          <w:w w:val="105"/>
          <w:position w:val="1"/>
          <w:sz w:val="17"/>
        </w:rPr>
        <w:t> </w:t>
      </w:r>
      <w:r>
        <w:rPr>
          <w:w w:val="105"/>
          <w:position w:val="1"/>
          <w:sz w:val="17"/>
        </w:rPr>
        <w:t>Assets</w:t>
        <w:tab/>
      </w:r>
      <w:r>
        <w:rPr>
          <w:w w:val="105"/>
          <w:position w:val="1"/>
          <w:sz w:val="17"/>
          <w:u w:val="single"/>
        </w:rPr>
        <w:t> </w:t>
        <w:tab/>
        <w:tab/>
        <w:t>5,560,582</w:t>
        <w:tab/>
        <w:tab/>
        <w:t>6,703,550</w:t>
        <w:tab/>
      </w:r>
      <w:r>
        <w:rPr>
          <w:color w:val="FF0000"/>
          <w:w w:val="105"/>
          <w:position w:val="1"/>
          <w:sz w:val="17"/>
          <w:u w:val="single" w:color="000000"/>
        </w:rPr>
        <w:t>(1,142,967)</w:t>
        <w:tab/>
      </w:r>
      <w:r>
        <w:rPr>
          <w:w w:val="105"/>
          <w:sz w:val="17"/>
          <w:u w:val="single"/>
        </w:rPr>
        <w:t>-17.1%</w:t>
        <w:tab/>
      </w:r>
      <w:r>
        <w:rPr>
          <w:w w:val="105"/>
          <w:sz w:val="17"/>
        </w:rPr>
        <w:t> </w:t>
      </w:r>
      <w:r>
        <w:rPr>
          <w:w w:val="105"/>
          <w:position w:val="1"/>
          <w:sz w:val="17"/>
        </w:rPr>
        <w:t>Total</w:t>
      </w:r>
      <w:r>
        <w:rPr>
          <w:spacing w:val="-3"/>
          <w:w w:val="105"/>
          <w:position w:val="1"/>
          <w:sz w:val="17"/>
        </w:rPr>
        <w:t> </w:t>
      </w:r>
      <w:r>
        <w:rPr>
          <w:w w:val="105"/>
          <w:position w:val="1"/>
          <w:sz w:val="17"/>
        </w:rPr>
        <w:t>Current</w:t>
      </w:r>
      <w:r>
        <w:rPr>
          <w:spacing w:val="-3"/>
          <w:w w:val="105"/>
          <w:position w:val="1"/>
          <w:sz w:val="17"/>
        </w:rPr>
        <w:t> </w:t>
      </w:r>
      <w:r>
        <w:rPr>
          <w:w w:val="105"/>
          <w:position w:val="1"/>
          <w:sz w:val="17"/>
        </w:rPr>
        <w:t>Assets</w:t>
        <w:tab/>
      </w:r>
      <w:r>
        <w:rPr>
          <w:w w:val="105"/>
          <w:position w:val="1"/>
          <w:sz w:val="17"/>
          <w:u w:val="double"/>
        </w:rPr>
        <w:t> </w:t>
        <w:tab/>
        <w:t>61,315,</w:t>
      </w:r>
      <w:r>
        <w:rPr>
          <w:w w:val="105"/>
          <w:position w:val="1"/>
          <w:sz w:val="17"/>
          <w:u w:val="single"/>
        </w:rPr>
        <w:t>85</w:t>
      </w:r>
      <w:r>
        <w:rPr>
          <w:w w:val="105"/>
          <w:position w:val="1"/>
          <w:sz w:val="17"/>
        </w:rPr>
        <w:t>1</w:t>
        <w:tab/>
        <w:t>57,597,</w:t>
      </w:r>
      <w:r>
        <w:rPr>
          <w:w w:val="105"/>
          <w:position w:val="1"/>
          <w:sz w:val="17"/>
          <w:u w:val="single"/>
        </w:rPr>
        <w:t>12</w:t>
      </w:r>
      <w:r>
        <w:rPr>
          <w:w w:val="105"/>
          <w:position w:val="1"/>
          <w:sz w:val="17"/>
        </w:rPr>
        <w:t>6</w:t>
        <w:tab/>
        <w:tab/>
        <w:t>3,718,</w:t>
      </w:r>
      <w:r>
        <w:rPr>
          <w:w w:val="105"/>
          <w:position w:val="1"/>
          <w:sz w:val="17"/>
          <w:u w:val="single"/>
        </w:rPr>
        <w:t>72</w:t>
      </w:r>
      <w:r>
        <w:rPr>
          <w:w w:val="105"/>
          <w:position w:val="1"/>
          <w:sz w:val="17"/>
        </w:rPr>
        <w:t>5</w:t>
        <w:tab/>
        <w:tab/>
      </w:r>
      <w:r>
        <w:rPr>
          <w:w w:val="105"/>
          <w:sz w:val="17"/>
        </w:rPr>
        <w:t>6.</w:t>
      </w:r>
      <w:r>
        <w:rPr>
          <w:w w:val="105"/>
          <w:sz w:val="17"/>
          <w:u w:val="single"/>
        </w:rPr>
        <w:t>5</w:t>
      </w:r>
      <w:r>
        <w:rPr>
          <w:w w:val="105"/>
          <w:sz w:val="17"/>
        </w:rPr>
        <w:t>%</w:t>
      </w:r>
      <w:r>
        <w:rPr>
          <w:sz w:val="17"/>
        </w:rPr>
        <w:tab/>
      </w:r>
    </w:p>
    <w:p>
      <w:pPr>
        <w:spacing w:line="20" w:lineRule="exact"/>
        <w:ind w:left="3861" w:right="0" w:firstLine="0"/>
        <w:rPr>
          <w:sz w:val="2"/>
        </w:rPr>
      </w:pPr>
      <w:r>
        <w:rPr>
          <w:sz w:val="2"/>
        </w:rPr>
        <w:pict>
          <v:group style="width:229.35pt;height:.65pt;mso-position-horizontal-relative:char;mso-position-vertical-relative:line" coordorigin="0,0" coordsize="4587,13">
            <v:line style="position:absolute" from="0,6" to="4580,6" stroked="true" strokeweight="0pt" strokecolor="#000000">
              <v:stroke dashstyle="solid"/>
            </v:line>
            <v:line style="position:absolute" from="0,9" to="4580,9" stroked="true" strokeweight=".305819pt" strokecolor="#000000">
              <v:stroke dashstyle="solid"/>
            </v:line>
            <v:line style="position:absolute" from="4586,0" to="4586,0" stroked="true" strokeweight="0pt" strokecolor="#dfdfdf">
              <v:stroke dashstyle="solid"/>
            </v:line>
            <v:shape style="position:absolute;left:4586;top:0;width:2;height:7" coordorigin="4586,0" coordsize="0,7" path="m4586,6l4586,0,4586,6xe" filled="true" fillcolor="#dfdfdf" stroked="false">
              <v:path arrowok="t"/>
              <v:fill type="solid"/>
            </v:shape>
          </v:group>
        </w:pict>
      </w:r>
      <w:r>
        <w:rPr>
          <w:sz w:val="2"/>
        </w:rPr>
      </w:r>
    </w:p>
    <w:p>
      <w:pPr>
        <w:spacing w:line="240" w:lineRule="auto" w:before="12"/>
        <w:rPr>
          <w:sz w:val="6"/>
        </w:rPr>
      </w:pPr>
    </w:p>
    <w:p>
      <w:pPr>
        <w:spacing w:line="20" w:lineRule="exact"/>
        <w:ind w:left="8451" w:right="0" w:firstLine="0"/>
        <w:rPr>
          <w:sz w:val="2"/>
        </w:rPr>
      </w:pPr>
      <w:r>
        <w:rPr>
          <w:sz w:val="2"/>
        </w:rPr>
        <w:pict>
          <v:group style="width:.1pt;height:.35pt;mso-position-horizontal-relative:char;mso-position-vertical-relative:line" coordorigin="0,0" coordsize="2,7">
            <v:line style="position:absolute" from="0,0" to="0,0" stroked="true" strokeweight="0pt" strokecolor="#dfdfdf">
              <v:stroke dashstyle="solid"/>
            </v:line>
            <v:shape style="position:absolute;left:0;top:0;width:2;height:7" coordorigin="0,0" coordsize="0,7" path="m0,6l0,0,0,6xe" filled="true" fillcolor="#dfdfdf" stroked="false">
              <v:path arrowok="t"/>
              <v:fill type="solid"/>
            </v:shape>
          </v:group>
        </w:pict>
      </w:r>
      <w:r>
        <w:rPr>
          <w:sz w:val="2"/>
        </w:rPr>
      </w:r>
    </w:p>
    <w:p>
      <w:pPr>
        <w:spacing w:before="1" w:after="16"/>
        <w:ind w:left="190" w:right="0" w:firstLine="0"/>
        <w:jc w:val="left"/>
        <w:rPr>
          <w:sz w:val="17"/>
        </w:rPr>
      </w:pPr>
      <w:r>
        <w:rPr>
          <w:w w:val="105"/>
          <w:sz w:val="17"/>
        </w:rPr>
        <w:t>Non-Current Assets</w:t>
      </w:r>
    </w:p>
    <w:p>
      <w:pPr>
        <w:spacing w:line="20" w:lineRule="exact"/>
        <w:ind w:left="8451" w:right="0" w:firstLine="0"/>
        <w:rPr>
          <w:sz w:val="2"/>
        </w:rPr>
      </w:pPr>
      <w:r>
        <w:rPr>
          <w:sz w:val="2"/>
        </w:rPr>
        <w:pict>
          <v:group style="width:.1pt;height:.35pt;mso-position-horizontal-relative:char;mso-position-vertical-relative:line" coordorigin="0,0" coordsize="2,7">
            <v:line style="position:absolute" from="0,0" to="0,0" stroked="true" strokeweight="0pt" strokecolor="#dfdfdf">
              <v:stroke dashstyle="solid"/>
            </v:line>
            <v:shape style="position:absolute;left:0;top:0;width:2;height:7" coordorigin="0,0" coordsize="0,7" path="m0,6l0,0,0,6xe" filled="true" fillcolor="#dfdfdf" stroked="false">
              <v:path arrowok="t"/>
              <v:fill type="solid"/>
            </v:shape>
          </v:group>
        </w:pict>
      </w:r>
      <w:r>
        <w:rPr>
          <w:sz w:val="2"/>
        </w:rPr>
      </w:r>
    </w:p>
    <w:p>
      <w:pPr>
        <w:spacing w:line="240" w:lineRule="auto" w:before="6"/>
        <w:rPr>
          <w:sz w:val="2"/>
        </w:rPr>
      </w:pPr>
    </w:p>
    <w:tbl>
      <w:tblPr>
        <w:tblW w:w="0" w:type="auto"/>
        <w:jc w:val="left"/>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23"/>
        <w:gridCol w:w="1204"/>
        <w:gridCol w:w="1095"/>
        <w:gridCol w:w="1172"/>
        <w:gridCol w:w="1120"/>
      </w:tblGrid>
      <w:tr>
        <w:trPr>
          <w:trHeight w:val="183" w:hRule="atLeast"/>
        </w:trPr>
        <w:tc>
          <w:tcPr>
            <w:tcW w:w="3723" w:type="dxa"/>
          </w:tcPr>
          <w:p>
            <w:pPr>
              <w:pStyle w:val="TableParagraph"/>
              <w:spacing w:line="163" w:lineRule="exact"/>
              <w:ind w:left="178"/>
              <w:rPr>
                <w:rFonts w:ascii="Calibri"/>
                <w:sz w:val="17"/>
              </w:rPr>
            </w:pPr>
            <w:r>
              <w:rPr>
                <w:rFonts w:ascii="Calibri"/>
                <w:w w:val="105"/>
                <w:sz w:val="17"/>
              </w:rPr>
              <w:t>Capital Assets - Net of Accumulated</w:t>
            </w:r>
          </w:p>
        </w:tc>
        <w:tc>
          <w:tcPr>
            <w:tcW w:w="1204" w:type="dxa"/>
          </w:tcPr>
          <w:p>
            <w:pPr>
              <w:pStyle w:val="TableParagraph"/>
              <w:spacing w:line="163" w:lineRule="exact"/>
              <w:ind w:right="136"/>
              <w:jc w:val="right"/>
              <w:rPr>
                <w:rFonts w:ascii="Calibri"/>
                <w:sz w:val="17"/>
              </w:rPr>
            </w:pPr>
            <w:r>
              <w:rPr>
                <w:rFonts w:ascii="Calibri"/>
                <w:sz w:val="17"/>
              </w:rPr>
              <w:t>125,258,070</w:t>
            </w:r>
          </w:p>
        </w:tc>
        <w:tc>
          <w:tcPr>
            <w:tcW w:w="1095" w:type="dxa"/>
          </w:tcPr>
          <w:p>
            <w:pPr>
              <w:pStyle w:val="TableParagraph"/>
              <w:spacing w:line="163" w:lineRule="exact"/>
              <w:ind w:left="120" w:right="121"/>
              <w:jc w:val="center"/>
              <w:rPr>
                <w:rFonts w:ascii="Calibri"/>
                <w:sz w:val="17"/>
              </w:rPr>
            </w:pPr>
            <w:r>
              <w:rPr>
                <w:rFonts w:ascii="Calibri"/>
                <w:w w:val="105"/>
                <w:sz w:val="17"/>
              </w:rPr>
              <w:t>79,494,927</w:t>
            </w:r>
          </w:p>
        </w:tc>
        <w:tc>
          <w:tcPr>
            <w:tcW w:w="1172" w:type="dxa"/>
          </w:tcPr>
          <w:p>
            <w:pPr>
              <w:pStyle w:val="TableParagraph"/>
              <w:spacing w:line="163" w:lineRule="exact"/>
              <w:ind w:right="214"/>
              <w:jc w:val="right"/>
              <w:rPr>
                <w:rFonts w:ascii="Calibri"/>
                <w:sz w:val="17"/>
              </w:rPr>
            </w:pPr>
            <w:r>
              <w:rPr>
                <w:rFonts w:ascii="Calibri"/>
                <w:sz w:val="17"/>
              </w:rPr>
              <w:t>45,763,143</w:t>
            </w:r>
          </w:p>
        </w:tc>
        <w:tc>
          <w:tcPr>
            <w:tcW w:w="1120" w:type="dxa"/>
          </w:tcPr>
          <w:p>
            <w:pPr>
              <w:pStyle w:val="TableParagraph"/>
              <w:spacing w:line="163" w:lineRule="exact"/>
              <w:ind w:left="236"/>
              <w:rPr>
                <w:rFonts w:ascii="Calibri"/>
                <w:sz w:val="17"/>
              </w:rPr>
            </w:pPr>
            <w:r>
              <w:rPr>
                <w:rFonts w:ascii="Calibri"/>
                <w:w w:val="105"/>
                <w:sz w:val="17"/>
              </w:rPr>
              <w:t>57.6%</w:t>
            </w:r>
          </w:p>
        </w:tc>
      </w:tr>
      <w:tr>
        <w:trPr>
          <w:trHeight w:val="252" w:hRule="atLeast"/>
        </w:trPr>
        <w:tc>
          <w:tcPr>
            <w:tcW w:w="3723" w:type="dxa"/>
          </w:tcPr>
          <w:p>
            <w:pPr>
              <w:pStyle w:val="TableParagraph"/>
              <w:spacing w:line="201" w:lineRule="exact" w:before="21"/>
              <w:ind w:left="178"/>
              <w:rPr>
                <w:rFonts w:ascii="Calibri"/>
                <w:sz w:val="17"/>
              </w:rPr>
            </w:pPr>
            <w:r>
              <w:rPr>
                <w:rFonts w:ascii="Calibri"/>
                <w:w w:val="105"/>
                <w:sz w:val="17"/>
              </w:rPr>
              <w:t>Net Pension Asset</w:t>
            </w:r>
          </w:p>
        </w:tc>
        <w:tc>
          <w:tcPr>
            <w:tcW w:w="4591" w:type="dxa"/>
            <w:gridSpan w:val="4"/>
            <w:tcBorders>
              <w:bottom w:val="single" w:sz="2" w:space="0" w:color="000000"/>
            </w:tcBorders>
          </w:tcPr>
          <w:p>
            <w:pPr>
              <w:pStyle w:val="TableParagraph"/>
              <w:spacing w:line="20" w:lineRule="exact"/>
              <w:ind w:left="4588" w:right="-87"/>
              <w:rPr>
                <w:rFonts w:ascii="Calibri"/>
                <w:sz w:val="2"/>
              </w:rPr>
            </w:pPr>
            <w:r>
              <w:rPr>
                <w:rFonts w:ascii="Calibri"/>
                <w:sz w:val="2"/>
              </w:rPr>
              <w:pict>
                <v:group style="width:.1pt;height:.35pt;mso-position-horizontal-relative:char;mso-position-vertical-relative:line" coordorigin="0,0" coordsize="2,7">
                  <v:line style="position:absolute" from="0,0" to="0,0" stroked="true" strokeweight="0pt" strokecolor="#dfdfdf">
                    <v:stroke dashstyle="solid"/>
                  </v:line>
                  <v:shape style="position:absolute;left:0;top:0;width:2;height:7" coordorigin="0,0" coordsize="0,7" path="m0,6l0,0,0,6xe" filled="true" fillcolor="#dfdfdf" stroked="false">
                    <v:path arrowok="t"/>
                    <v:fill type="solid"/>
                  </v:shape>
                </v:group>
              </w:pict>
            </w:r>
            <w:r>
              <w:rPr>
                <w:rFonts w:ascii="Calibri"/>
                <w:sz w:val="2"/>
              </w:rPr>
            </w:r>
          </w:p>
          <w:p>
            <w:pPr>
              <w:pStyle w:val="TableParagraph"/>
              <w:tabs>
                <w:tab w:pos="338" w:val="left" w:leader="none"/>
                <w:tab w:pos="1432" w:val="left" w:leader="none"/>
                <w:tab w:pos="2527" w:val="left" w:leader="none"/>
                <w:tab w:pos="3664" w:val="left" w:leader="none"/>
                <w:tab w:pos="4588" w:val="left" w:leader="none"/>
              </w:tabs>
              <w:spacing w:line="201" w:lineRule="exact"/>
              <w:ind w:left="-5"/>
              <w:rPr>
                <w:rFonts w:ascii="Calibri"/>
                <w:sz w:val="17"/>
              </w:rPr>
            </w:pPr>
            <w:r>
              <w:rPr>
                <w:rFonts w:ascii="Calibri"/>
                <w:w w:val="104"/>
                <w:position w:val="1"/>
                <w:sz w:val="17"/>
                <w:u w:val="single"/>
              </w:rPr>
              <w:t> </w:t>
            </w:r>
            <w:r>
              <w:rPr>
                <w:rFonts w:ascii="Calibri"/>
                <w:position w:val="1"/>
                <w:sz w:val="17"/>
                <w:u w:val="single"/>
              </w:rPr>
              <w:tab/>
            </w:r>
            <w:r>
              <w:rPr>
                <w:rFonts w:ascii="Calibri"/>
                <w:w w:val="105"/>
                <w:position w:val="1"/>
                <w:sz w:val="17"/>
                <w:u w:val="single"/>
              </w:rPr>
              <w:t>7,125,035</w:t>
              <w:tab/>
              <w:t>3,505,148</w:t>
              <w:tab/>
              <w:t>3,619,887</w:t>
              <w:tab/>
            </w:r>
            <w:r>
              <w:rPr>
                <w:rFonts w:ascii="Calibri"/>
                <w:w w:val="105"/>
                <w:sz w:val="17"/>
                <w:u w:val="single"/>
              </w:rPr>
              <w:t>103.3%</w:t>
            </w:r>
            <w:r>
              <w:rPr>
                <w:rFonts w:ascii="Calibri"/>
                <w:sz w:val="17"/>
                <w:u w:val="single"/>
              </w:rPr>
              <w:tab/>
            </w:r>
          </w:p>
        </w:tc>
      </w:tr>
      <w:tr>
        <w:trPr>
          <w:trHeight w:val="246" w:hRule="atLeast"/>
        </w:trPr>
        <w:tc>
          <w:tcPr>
            <w:tcW w:w="3723" w:type="dxa"/>
          </w:tcPr>
          <w:p>
            <w:pPr>
              <w:pStyle w:val="TableParagraph"/>
              <w:spacing w:line="207" w:lineRule="exact" w:before="19"/>
              <w:ind w:left="306"/>
              <w:rPr>
                <w:rFonts w:ascii="Calibri"/>
                <w:sz w:val="17"/>
              </w:rPr>
            </w:pPr>
            <w:r>
              <w:rPr>
                <w:rFonts w:ascii="Calibri"/>
                <w:w w:val="105"/>
                <w:sz w:val="17"/>
              </w:rPr>
              <w:t>Total Non-Current Assets</w:t>
            </w:r>
          </w:p>
        </w:tc>
        <w:tc>
          <w:tcPr>
            <w:tcW w:w="4591" w:type="dxa"/>
            <w:gridSpan w:val="4"/>
            <w:tcBorders>
              <w:top w:val="single" w:sz="2" w:space="0" w:color="000000"/>
              <w:bottom w:val="single" w:sz="4" w:space="0" w:color="000000"/>
            </w:tcBorders>
          </w:tcPr>
          <w:p>
            <w:pPr>
              <w:pStyle w:val="TableParagraph"/>
              <w:tabs>
                <w:tab w:pos="1341" w:val="left" w:leader="none"/>
                <w:tab w:pos="2435" w:val="left" w:leader="none"/>
                <w:tab w:pos="3707" w:val="left" w:leader="none"/>
                <w:tab w:pos="4582" w:val="left" w:leader="none"/>
              </w:tabs>
              <w:spacing w:line="211" w:lineRule="exact" w:before="15"/>
              <w:ind w:left="2"/>
              <w:rPr>
                <w:rFonts w:ascii="Calibri"/>
                <w:sz w:val="17"/>
              </w:rPr>
            </w:pPr>
            <w:r>
              <w:rPr>
                <w:rFonts w:ascii="Calibri"/>
                <w:w w:val="104"/>
                <w:position w:val="1"/>
                <w:sz w:val="17"/>
                <w:u w:val="double"/>
              </w:rPr>
              <w:t> </w:t>
            </w:r>
            <w:r>
              <w:rPr>
                <w:rFonts w:ascii="Calibri"/>
                <w:position w:val="1"/>
                <w:sz w:val="17"/>
                <w:u w:val="double"/>
              </w:rPr>
              <w:t>  </w:t>
            </w:r>
            <w:r>
              <w:rPr>
                <w:rFonts w:ascii="Calibri"/>
                <w:spacing w:val="-3"/>
                <w:position w:val="1"/>
                <w:sz w:val="17"/>
                <w:u w:val="double"/>
              </w:rPr>
              <w:t> </w:t>
            </w:r>
            <w:r>
              <w:rPr>
                <w:rFonts w:ascii="Calibri"/>
                <w:w w:val="105"/>
                <w:position w:val="1"/>
                <w:sz w:val="17"/>
                <w:u w:val="double"/>
              </w:rPr>
              <w:t>132,383,</w:t>
            </w:r>
            <w:r>
              <w:rPr>
                <w:rFonts w:ascii="Calibri"/>
                <w:w w:val="105"/>
                <w:position w:val="1"/>
                <w:sz w:val="17"/>
                <w:u w:val="single"/>
              </w:rPr>
              <w:t>10</w:t>
            </w:r>
            <w:r>
              <w:rPr>
                <w:rFonts w:ascii="Calibri"/>
                <w:w w:val="105"/>
                <w:position w:val="1"/>
                <w:sz w:val="17"/>
              </w:rPr>
              <w:t>5</w:t>
              <w:tab/>
              <w:t>83,000,</w:t>
            </w:r>
            <w:r>
              <w:rPr>
                <w:rFonts w:ascii="Calibri"/>
                <w:w w:val="105"/>
                <w:position w:val="1"/>
                <w:sz w:val="17"/>
                <w:u w:val="single"/>
              </w:rPr>
              <w:t>07</w:t>
            </w:r>
            <w:r>
              <w:rPr>
                <w:rFonts w:ascii="Calibri"/>
                <w:w w:val="105"/>
                <w:position w:val="1"/>
                <w:sz w:val="17"/>
              </w:rPr>
              <w:t>5</w:t>
              <w:tab/>
              <w:t>49,383,</w:t>
            </w:r>
            <w:r>
              <w:rPr>
                <w:rFonts w:ascii="Calibri"/>
                <w:w w:val="105"/>
                <w:position w:val="1"/>
                <w:sz w:val="17"/>
                <w:u w:val="single"/>
              </w:rPr>
              <w:t>03</w:t>
            </w:r>
            <w:r>
              <w:rPr>
                <w:rFonts w:ascii="Calibri"/>
                <w:w w:val="105"/>
                <w:position w:val="1"/>
                <w:sz w:val="17"/>
              </w:rPr>
              <w:t>0</w:t>
              <w:tab/>
            </w:r>
            <w:r>
              <w:rPr>
                <w:rFonts w:ascii="Calibri"/>
                <w:w w:val="105"/>
                <w:sz w:val="17"/>
              </w:rPr>
              <w:t>59.</w:t>
            </w:r>
            <w:r>
              <w:rPr>
                <w:rFonts w:ascii="Calibri"/>
                <w:w w:val="105"/>
                <w:sz w:val="17"/>
                <w:u w:val="single"/>
              </w:rPr>
              <w:t>5</w:t>
            </w:r>
            <w:r>
              <w:rPr>
                <w:rFonts w:ascii="Calibri"/>
                <w:w w:val="105"/>
                <w:sz w:val="17"/>
              </w:rPr>
              <w:t>%</w:t>
            </w:r>
            <w:r>
              <w:rPr>
                <w:rFonts w:ascii="Calibri"/>
                <w:sz w:val="17"/>
              </w:rPr>
              <w:tab/>
            </w:r>
          </w:p>
        </w:tc>
      </w:tr>
      <w:tr>
        <w:trPr>
          <w:trHeight w:val="350" w:hRule="atLeast"/>
        </w:trPr>
        <w:tc>
          <w:tcPr>
            <w:tcW w:w="3723" w:type="dxa"/>
          </w:tcPr>
          <w:p>
            <w:pPr>
              <w:pStyle w:val="TableParagraph"/>
              <w:spacing w:line="201" w:lineRule="exact" w:before="129"/>
              <w:ind w:left="178"/>
              <w:rPr>
                <w:rFonts w:ascii="Calibri"/>
                <w:sz w:val="17"/>
              </w:rPr>
            </w:pPr>
            <w:r>
              <w:rPr>
                <w:rFonts w:ascii="Calibri"/>
                <w:w w:val="105"/>
                <w:sz w:val="17"/>
              </w:rPr>
              <w:t>Deferred Outflows of Resources</w:t>
            </w:r>
          </w:p>
        </w:tc>
        <w:tc>
          <w:tcPr>
            <w:tcW w:w="4591" w:type="dxa"/>
            <w:gridSpan w:val="4"/>
            <w:tcBorders>
              <w:top w:val="single" w:sz="4" w:space="0" w:color="000000"/>
              <w:bottom w:val="single" w:sz="2" w:space="0" w:color="000000"/>
            </w:tcBorders>
          </w:tcPr>
          <w:p>
            <w:pPr>
              <w:pStyle w:val="TableParagraph"/>
              <w:spacing w:before="10"/>
              <w:rPr>
                <w:rFonts w:ascii="Calibri"/>
                <w:sz w:val="8"/>
              </w:rPr>
            </w:pPr>
          </w:p>
          <w:p>
            <w:pPr>
              <w:pStyle w:val="TableParagraph"/>
              <w:spacing w:line="20" w:lineRule="exact"/>
              <w:ind w:left="4588" w:right="-87"/>
              <w:rPr>
                <w:rFonts w:ascii="Calibri"/>
                <w:sz w:val="2"/>
              </w:rPr>
            </w:pPr>
            <w:r>
              <w:rPr>
                <w:rFonts w:ascii="Calibri"/>
                <w:sz w:val="2"/>
              </w:rPr>
              <w:pict>
                <v:group style="width:.1pt;height:.35pt;mso-position-horizontal-relative:char;mso-position-vertical-relative:line" coordorigin="0,0" coordsize="2,7">
                  <v:line style="position:absolute" from="0,0" to="0,0" stroked="true" strokeweight="0pt" strokecolor="#dfdfdf">
                    <v:stroke dashstyle="solid"/>
                  </v:line>
                  <v:shape style="position:absolute;left:0;top:0;width:2;height:7" coordorigin="0,0" coordsize="0,7" path="m0,6l0,0,0,6xe" filled="true" fillcolor="#dfdfdf" stroked="false">
                    <v:path arrowok="t"/>
                    <v:fill type="solid"/>
                  </v:shape>
                </v:group>
              </w:pict>
            </w:r>
            <w:r>
              <w:rPr>
                <w:rFonts w:ascii="Calibri"/>
                <w:sz w:val="2"/>
              </w:rPr>
            </w:r>
          </w:p>
          <w:p>
            <w:pPr>
              <w:pStyle w:val="TableParagraph"/>
              <w:tabs>
                <w:tab w:pos="338" w:val="left" w:leader="none"/>
                <w:tab w:pos="1432" w:val="left" w:leader="none"/>
                <w:tab w:pos="2417" w:val="left" w:leader="none"/>
                <w:tab w:pos="3683" w:val="left" w:leader="none"/>
                <w:tab w:pos="4588" w:val="left" w:leader="none"/>
              </w:tabs>
              <w:spacing w:line="201" w:lineRule="exact"/>
              <w:ind w:left="-5"/>
              <w:rPr>
                <w:rFonts w:ascii="Calibri"/>
                <w:sz w:val="17"/>
              </w:rPr>
            </w:pPr>
            <w:r>
              <w:rPr>
                <w:rFonts w:ascii="Calibri"/>
                <w:w w:val="104"/>
                <w:position w:val="1"/>
                <w:sz w:val="17"/>
                <w:u w:val="single"/>
              </w:rPr>
              <w:t> </w:t>
            </w:r>
            <w:r>
              <w:rPr>
                <w:rFonts w:ascii="Calibri"/>
                <w:position w:val="1"/>
                <w:sz w:val="17"/>
                <w:u w:val="single"/>
              </w:rPr>
              <w:tab/>
            </w:r>
            <w:r>
              <w:rPr>
                <w:rFonts w:ascii="Calibri"/>
                <w:w w:val="105"/>
                <w:position w:val="1"/>
                <w:sz w:val="17"/>
                <w:u w:val="single"/>
              </w:rPr>
              <w:t>3,924,287</w:t>
              <w:tab/>
              <w:t>8,099,570</w:t>
              <w:tab/>
            </w:r>
            <w:r>
              <w:rPr>
                <w:rFonts w:ascii="Calibri"/>
                <w:color w:val="FF0000"/>
                <w:w w:val="105"/>
                <w:position w:val="1"/>
                <w:sz w:val="17"/>
                <w:u w:val="single" w:color="000000"/>
              </w:rPr>
              <w:t>(4,175,283)</w:t>
              <w:tab/>
            </w:r>
            <w:r>
              <w:rPr>
                <w:rFonts w:ascii="Calibri"/>
                <w:w w:val="105"/>
                <w:sz w:val="17"/>
                <w:u w:val="single"/>
              </w:rPr>
              <w:t>-51.6%</w:t>
            </w:r>
            <w:r>
              <w:rPr>
                <w:rFonts w:ascii="Calibri"/>
                <w:sz w:val="17"/>
                <w:u w:val="single"/>
              </w:rPr>
              <w:tab/>
            </w:r>
          </w:p>
        </w:tc>
      </w:tr>
      <w:tr>
        <w:trPr>
          <w:trHeight w:val="246" w:hRule="atLeast"/>
        </w:trPr>
        <w:tc>
          <w:tcPr>
            <w:tcW w:w="3723" w:type="dxa"/>
          </w:tcPr>
          <w:p>
            <w:pPr>
              <w:pStyle w:val="TableParagraph"/>
              <w:spacing w:line="207" w:lineRule="exact" w:before="19"/>
              <w:ind w:left="306"/>
              <w:rPr>
                <w:rFonts w:ascii="Calibri"/>
                <w:sz w:val="17"/>
              </w:rPr>
            </w:pPr>
            <w:r>
              <w:rPr>
                <w:rFonts w:ascii="Calibri"/>
                <w:w w:val="105"/>
                <w:sz w:val="17"/>
              </w:rPr>
              <w:t>Total Deferred Outflows of Resources</w:t>
            </w:r>
          </w:p>
        </w:tc>
        <w:tc>
          <w:tcPr>
            <w:tcW w:w="4591" w:type="dxa"/>
            <w:gridSpan w:val="4"/>
            <w:tcBorders>
              <w:top w:val="single" w:sz="2" w:space="0" w:color="000000"/>
              <w:bottom w:val="single" w:sz="4" w:space="0" w:color="000000"/>
            </w:tcBorders>
          </w:tcPr>
          <w:p>
            <w:pPr>
              <w:pStyle w:val="TableParagraph"/>
              <w:tabs>
                <w:tab w:pos="338" w:val="left" w:leader="none"/>
                <w:tab w:pos="1432" w:val="left" w:leader="none"/>
                <w:tab w:pos="2417" w:val="left" w:leader="none"/>
                <w:tab w:pos="3683" w:val="left" w:leader="none"/>
                <w:tab w:pos="4582" w:val="left" w:leader="none"/>
              </w:tabs>
              <w:spacing w:line="211" w:lineRule="exact" w:before="15"/>
              <w:ind w:left="2"/>
              <w:rPr>
                <w:rFonts w:ascii="Calibri"/>
                <w:sz w:val="17"/>
              </w:rPr>
            </w:pPr>
            <w:r>
              <w:rPr>
                <w:rFonts w:ascii="Calibri"/>
                <w:w w:val="104"/>
                <w:position w:val="1"/>
                <w:sz w:val="17"/>
                <w:u w:val="double"/>
              </w:rPr>
              <w:t> </w:t>
            </w:r>
            <w:r>
              <w:rPr>
                <w:rFonts w:ascii="Calibri"/>
                <w:position w:val="1"/>
                <w:sz w:val="17"/>
                <w:u w:val="double"/>
              </w:rPr>
              <w:tab/>
            </w:r>
            <w:r>
              <w:rPr>
                <w:rFonts w:ascii="Calibri"/>
                <w:w w:val="105"/>
                <w:position w:val="1"/>
                <w:sz w:val="17"/>
                <w:u w:val="double"/>
              </w:rPr>
              <w:t>3,924,</w:t>
            </w:r>
            <w:r>
              <w:rPr>
                <w:rFonts w:ascii="Calibri"/>
                <w:w w:val="105"/>
                <w:position w:val="1"/>
                <w:sz w:val="17"/>
                <w:u w:val="single"/>
              </w:rPr>
              <w:t>28</w:t>
            </w:r>
            <w:r>
              <w:rPr>
                <w:rFonts w:ascii="Calibri"/>
                <w:w w:val="105"/>
                <w:position w:val="1"/>
                <w:sz w:val="17"/>
              </w:rPr>
              <w:t>7</w:t>
              <w:tab/>
              <w:t>8,099,</w:t>
            </w:r>
            <w:r>
              <w:rPr>
                <w:rFonts w:ascii="Calibri"/>
                <w:w w:val="105"/>
                <w:position w:val="1"/>
                <w:sz w:val="17"/>
                <w:u w:val="single"/>
              </w:rPr>
              <w:t>57</w:t>
            </w:r>
            <w:r>
              <w:rPr>
                <w:rFonts w:ascii="Calibri"/>
                <w:w w:val="105"/>
                <w:position w:val="1"/>
                <w:sz w:val="17"/>
              </w:rPr>
              <w:t>0</w:t>
              <w:tab/>
            </w:r>
            <w:r>
              <w:rPr>
                <w:rFonts w:ascii="Calibri"/>
                <w:color w:val="FF0000"/>
                <w:w w:val="105"/>
                <w:position w:val="1"/>
                <w:sz w:val="17"/>
              </w:rPr>
              <w:t>(4,175,</w:t>
            </w:r>
            <w:r>
              <w:rPr>
                <w:rFonts w:ascii="Calibri"/>
                <w:color w:val="FF0000"/>
                <w:w w:val="105"/>
                <w:position w:val="1"/>
                <w:sz w:val="17"/>
                <w:u w:val="single" w:color="000000"/>
              </w:rPr>
              <w:t>283</w:t>
            </w:r>
            <w:r>
              <w:rPr>
                <w:rFonts w:ascii="Calibri"/>
                <w:color w:val="FF0000"/>
                <w:w w:val="105"/>
                <w:position w:val="1"/>
                <w:sz w:val="17"/>
              </w:rPr>
              <w:t>)</w:t>
              <w:tab/>
            </w:r>
            <w:r>
              <w:rPr>
                <w:rFonts w:ascii="Calibri"/>
                <w:w w:val="105"/>
                <w:sz w:val="17"/>
              </w:rPr>
              <w:t>-51.</w:t>
            </w:r>
            <w:r>
              <w:rPr>
                <w:rFonts w:ascii="Calibri"/>
                <w:w w:val="105"/>
                <w:sz w:val="17"/>
                <w:u w:val="single"/>
              </w:rPr>
              <w:t>6</w:t>
            </w:r>
            <w:r>
              <w:rPr>
                <w:rFonts w:ascii="Calibri"/>
                <w:w w:val="105"/>
                <w:sz w:val="17"/>
              </w:rPr>
              <w:t>%</w:t>
            </w:r>
            <w:r>
              <w:rPr>
                <w:rFonts w:ascii="Calibri"/>
                <w:sz w:val="17"/>
              </w:rPr>
              <w:tab/>
            </w:r>
          </w:p>
        </w:tc>
      </w:tr>
      <w:tr>
        <w:trPr>
          <w:trHeight w:val="106" w:hRule="atLeast"/>
        </w:trPr>
        <w:tc>
          <w:tcPr>
            <w:tcW w:w="3723" w:type="dxa"/>
          </w:tcPr>
          <w:p>
            <w:pPr>
              <w:pStyle w:val="TableParagraph"/>
              <w:rPr>
                <w:rFonts w:ascii="Times New Roman"/>
                <w:sz w:val="4"/>
              </w:rPr>
            </w:pPr>
          </w:p>
        </w:tc>
        <w:tc>
          <w:tcPr>
            <w:tcW w:w="4591" w:type="dxa"/>
            <w:gridSpan w:val="4"/>
            <w:tcBorders>
              <w:top w:val="single" w:sz="4" w:space="0" w:color="000000"/>
              <w:bottom w:val="single" w:sz="4" w:space="0" w:color="000000"/>
            </w:tcBorders>
          </w:tcPr>
          <w:p>
            <w:pPr>
              <w:pStyle w:val="TableParagraph"/>
              <w:rPr>
                <w:rFonts w:ascii="Times New Roman"/>
                <w:sz w:val="4"/>
              </w:rPr>
            </w:pPr>
          </w:p>
        </w:tc>
      </w:tr>
      <w:tr>
        <w:trPr>
          <w:trHeight w:val="240" w:hRule="atLeast"/>
        </w:trPr>
        <w:tc>
          <w:tcPr>
            <w:tcW w:w="3723" w:type="dxa"/>
          </w:tcPr>
          <w:p>
            <w:pPr>
              <w:pStyle w:val="TableParagraph"/>
              <w:spacing w:line="207" w:lineRule="exact" w:before="13"/>
              <w:ind w:left="50"/>
              <w:rPr>
                <w:rFonts w:ascii="Calibri"/>
                <w:sz w:val="17"/>
              </w:rPr>
            </w:pPr>
            <w:r>
              <w:rPr>
                <w:rFonts w:ascii="Calibri"/>
                <w:w w:val="105"/>
                <w:sz w:val="17"/>
              </w:rPr>
              <w:t>Total Assets</w:t>
            </w:r>
          </w:p>
        </w:tc>
        <w:tc>
          <w:tcPr>
            <w:tcW w:w="4591" w:type="dxa"/>
            <w:gridSpan w:val="4"/>
            <w:tcBorders>
              <w:top w:val="single" w:sz="4" w:space="0" w:color="000000"/>
              <w:bottom w:val="single" w:sz="4" w:space="0" w:color="000000"/>
            </w:tcBorders>
          </w:tcPr>
          <w:p>
            <w:pPr>
              <w:pStyle w:val="TableParagraph"/>
              <w:tabs>
                <w:tab w:pos="2435" w:val="left" w:leader="none"/>
                <w:tab w:pos="3707" w:val="left" w:leader="none"/>
                <w:tab w:pos="4582" w:val="left" w:leader="none"/>
              </w:tabs>
              <w:spacing w:line="211" w:lineRule="exact" w:before="9"/>
              <w:ind w:left="2"/>
              <w:rPr>
                <w:rFonts w:ascii="Calibri"/>
                <w:sz w:val="17"/>
              </w:rPr>
            </w:pPr>
            <w:r>
              <w:rPr>
                <w:rFonts w:ascii="Calibri"/>
                <w:w w:val="104"/>
                <w:position w:val="1"/>
                <w:sz w:val="17"/>
                <w:u w:val="double"/>
              </w:rPr>
              <w:t> </w:t>
            </w:r>
            <w:r>
              <w:rPr>
                <w:rFonts w:ascii="Calibri"/>
                <w:position w:val="1"/>
                <w:sz w:val="17"/>
                <w:u w:val="double"/>
              </w:rPr>
              <w:t>  </w:t>
            </w:r>
            <w:r>
              <w:rPr>
                <w:rFonts w:ascii="Calibri"/>
                <w:spacing w:val="-3"/>
                <w:position w:val="1"/>
                <w:sz w:val="17"/>
                <w:u w:val="double"/>
              </w:rPr>
              <w:t> </w:t>
            </w:r>
            <w:r>
              <w:rPr>
                <w:rFonts w:ascii="Calibri"/>
                <w:w w:val="105"/>
                <w:position w:val="1"/>
                <w:sz w:val="17"/>
                <w:u w:val="double"/>
              </w:rPr>
              <w:t>197,623,</w:t>
            </w:r>
            <w:r>
              <w:rPr>
                <w:rFonts w:ascii="Calibri"/>
                <w:w w:val="105"/>
                <w:position w:val="1"/>
                <w:sz w:val="17"/>
                <w:u w:val="single"/>
              </w:rPr>
              <w:t>24</w:t>
            </w:r>
            <w:r>
              <w:rPr>
                <w:rFonts w:ascii="Calibri"/>
                <w:w w:val="105"/>
                <w:position w:val="1"/>
                <w:sz w:val="17"/>
              </w:rPr>
              <w:t>3   </w:t>
            </w:r>
            <w:r>
              <w:rPr>
                <w:rFonts w:ascii="Calibri"/>
                <w:spacing w:val="21"/>
                <w:w w:val="105"/>
                <w:position w:val="1"/>
                <w:sz w:val="17"/>
              </w:rPr>
              <w:t> </w:t>
            </w:r>
            <w:r>
              <w:rPr>
                <w:rFonts w:ascii="Calibri"/>
                <w:w w:val="105"/>
                <w:position w:val="1"/>
                <w:sz w:val="17"/>
              </w:rPr>
              <w:t>148,696,</w:t>
            </w:r>
            <w:r>
              <w:rPr>
                <w:rFonts w:ascii="Calibri"/>
                <w:w w:val="105"/>
                <w:position w:val="1"/>
                <w:sz w:val="17"/>
                <w:u w:val="single"/>
              </w:rPr>
              <w:t>77</w:t>
            </w:r>
            <w:r>
              <w:rPr>
                <w:rFonts w:ascii="Calibri"/>
                <w:w w:val="105"/>
                <w:position w:val="1"/>
                <w:sz w:val="17"/>
              </w:rPr>
              <w:t>1</w:t>
              <w:tab/>
              <w:t>48,926,</w:t>
            </w:r>
            <w:r>
              <w:rPr>
                <w:rFonts w:ascii="Calibri"/>
                <w:w w:val="105"/>
                <w:position w:val="1"/>
                <w:sz w:val="17"/>
                <w:u w:val="single"/>
              </w:rPr>
              <w:t>47</w:t>
            </w:r>
            <w:r>
              <w:rPr>
                <w:rFonts w:ascii="Calibri"/>
                <w:w w:val="105"/>
                <w:position w:val="1"/>
                <w:sz w:val="17"/>
              </w:rPr>
              <w:t>2</w:t>
              <w:tab/>
            </w:r>
            <w:r>
              <w:rPr>
                <w:rFonts w:ascii="Calibri"/>
                <w:w w:val="105"/>
                <w:sz w:val="17"/>
              </w:rPr>
              <w:t>32.</w:t>
            </w:r>
            <w:r>
              <w:rPr>
                <w:rFonts w:ascii="Calibri"/>
                <w:w w:val="105"/>
                <w:sz w:val="17"/>
                <w:u w:val="single"/>
              </w:rPr>
              <w:t>9</w:t>
            </w:r>
            <w:r>
              <w:rPr>
                <w:rFonts w:ascii="Calibri"/>
                <w:w w:val="105"/>
                <w:sz w:val="17"/>
              </w:rPr>
              <w:t>%</w:t>
            </w:r>
            <w:r>
              <w:rPr>
                <w:rFonts w:ascii="Calibri"/>
                <w:sz w:val="17"/>
              </w:rPr>
              <w:tab/>
            </w:r>
          </w:p>
        </w:tc>
      </w:tr>
      <w:tr>
        <w:trPr>
          <w:trHeight w:val="358" w:hRule="atLeast"/>
        </w:trPr>
        <w:tc>
          <w:tcPr>
            <w:tcW w:w="3723" w:type="dxa"/>
          </w:tcPr>
          <w:p>
            <w:pPr>
              <w:pStyle w:val="TableParagraph"/>
              <w:spacing w:before="129"/>
              <w:ind w:left="50"/>
              <w:rPr>
                <w:rFonts w:ascii="Calibri"/>
                <w:sz w:val="17"/>
              </w:rPr>
            </w:pPr>
            <w:r>
              <w:rPr>
                <w:rFonts w:ascii="Calibri"/>
                <w:w w:val="105"/>
                <w:sz w:val="17"/>
              </w:rPr>
              <w:t>Current Liabilities</w:t>
            </w:r>
          </w:p>
        </w:tc>
        <w:tc>
          <w:tcPr>
            <w:tcW w:w="4591" w:type="dxa"/>
            <w:gridSpan w:val="4"/>
            <w:tcBorders>
              <w:top w:val="single" w:sz="4" w:space="0" w:color="000000"/>
            </w:tcBorders>
          </w:tcPr>
          <w:p>
            <w:pPr>
              <w:pStyle w:val="TableParagraph"/>
              <w:spacing w:before="10"/>
              <w:rPr>
                <w:rFonts w:ascii="Calibri"/>
                <w:sz w:val="8"/>
              </w:rPr>
            </w:pPr>
          </w:p>
          <w:p>
            <w:pPr>
              <w:pStyle w:val="TableParagraph"/>
              <w:spacing w:line="20" w:lineRule="exact"/>
              <w:ind w:left="4588" w:right="-87"/>
              <w:rPr>
                <w:rFonts w:ascii="Calibri"/>
                <w:sz w:val="2"/>
              </w:rPr>
            </w:pPr>
            <w:r>
              <w:rPr>
                <w:rFonts w:ascii="Calibri"/>
                <w:sz w:val="2"/>
              </w:rPr>
              <w:pict>
                <v:group style="width:.1pt;height:.35pt;mso-position-horizontal-relative:char;mso-position-vertical-relative:line" coordorigin="0,0" coordsize="2,7">
                  <v:line style="position:absolute" from="0,0" to="0,0" stroked="true" strokeweight="0pt" strokecolor="#dfdfdf">
                    <v:stroke dashstyle="solid"/>
                  </v:line>
                  <v:shape style="position:absolute;left:0;top:0;width:2;height:7" coordorigin="0,0" coordsize="0,7" path="m0,6l0,0,0,6xe" filled="true" fillcolor="#dfdfdf" stroked="false">
                    <v:path arrowok="t"/>
                    <v:fill type="solid"/>
                  </v:shape>
                </v:group>
              </w:pict>
            </w:r>
            <w:r>
              <w:rPr>
                <w:rFonts w:ascii="Calibri"/>
                <w:sz w:val="2"/>
              </w:rPr>
            </w:r>
          </w:p>
          <w:p>
            <w:pPr>
              <w:pStyle w:val="TableParagraph"/>
              <w:spacing w:before="4" w:after="1"/>
              <w:rPr>
                <w:rFonts w:ascii="Calibri"/>
                <w:sz w:val="18"/>
              </w:rPr>
            </w:pPr>
          </w:p>
          <w:p>
            <w:pPr>
              <w:pStyle w:val="TableParagraph"/>
              <w:spacing w:line="20" w:lineRule="exact"/>
              <w:ind w:left="4588" w:right="-87"/>
              <w:rPr>
                <w:rFonts w:ascii="Calibri"/>
                <w:sz w:val="2"/>
              </w:rPr>
            </w:pPr>
            <w:r>
              <w:rPr>
                <w:rFonts w:ascii="Calibri"/>
                <w:sz w:val="2"/>
              </w:rPr>
              <w:pict>
                <v:group style="width:.1pt;height:.35pt;mso-position-horizontal-relative:char;mso-position-vertical-relative:line" coordorigin="0,0" coordsize="2,7">
                  <v:line style="position:absolute" from="0,0" to="0,0" stroked="true" strokeweight="0pt" strokecolor="#dfdfdf">
                    <v:stroke dashstyle="solid"/>
                  </v:line>
                  <v:shape style="position:absolute;left:0;top:0;width:2;height:7" coordorigin="0,0" coordsize="0,7" path="m0,6l0,0,0,6xe" filled="true" fillcolor="#dfdfdf" stroked="false">
                    <v:path arrowok="t"/>
                    <v:fill type="solid"/>
                  </v:shape>
                </v:group>
              </w:pict>
            </w:r>
            <w:r>
              <w:rPr>
                <w:rFonts w:ascii="Calibri"/>
                <w:sz w:val="2"/>
              </w:rPr>
            </w:r>
          </w:p>
        </w:tc>
      </w:tr>
      <w:tr>
        <w:trPr>
          <w:trHeight w:val="244" w:hRule="atLeast"/>
        </w:trPr>
        <w:tc>
          <w:tcPr>
            <w:tcW w:w="3723" w:type="dxa"/>
          </w:tcPr>
          <w:p>
            <w:pPr>
              <w:pStyle w:val="TableParagraph"/>
              <w:spacing w:before="1"/>
              <w:ind w:right="649"/>
              <w:jc w:val="right"/>
              <w:rPr>
                <w:rFonts w:ascii="Calibri"/>
                <w:sz w:val="17"/>
              </w:rPr>
            </w:pPr>
            <w:r>
              <w:rPr>
                <w:rFonts w:ascii="Calibri"/>
                <w:w w:val="105"/>
                <w:sz w:val="17"/>
              </w:rPr>
              <w:t>Accounts Payable and Accrued Expenses</w:t>
            </w:r>
          </w:p>
        </w:tc>
        <w:tc>
          <w:tcPr>
            <w:tcW w:w="1204" w:type="dxa"/>
          </w:tcPr>
          <w:p>
            <w:pPr>
              <w:pStyle w:val="TableParagraph"/>
              <w:spacing w:before="1"/>
              <w:ind w:right="136"/>
              <w:jc w:val="right"/>
              <w:rPr>
                <w:rFonts w:ascii="Calibri"/>
                <w:sz w:val="17"/>
              </w:rPr>
            </w:pPr>
            <w:r>
              <w:rPr>
                <w:rFonts w:ascii="Calibri"/>
                <w:sz w:val="17"/>
              </w:rPr>
              <w:t>1,733,630</w:t>
            </w:r>
          </w:p>
        </w:tc>
        <w:tc>
          <w:tcPr>
            <w:tcW w:w="1095" w:type="dxa"/>
          </w:tcPr>
          <w:p>
            <w:pPr>
              <w:pStyle w:val="TableParagraph"/>
              <w:spacing w:before="1"/>
              <w:ind w:left="120" w:right="30"/>
              <w:jc w:val="center"/>
              <w:rPr>
                <w:rFonts w:ascii="Calibri"/>
                <w:sz w:val="17"/>
              </w:rPr>
            </w:pPr>
            <w:r>
              <w:rPr>
                <w:rFonts w:ascii="Calibri"/>
                <w:w w:val="105"/>
                <w:sz w:val="17"/>
              </w:rPr>
              <w:t>1,941,611</w:t>
            </w:r>
          </w:p>
        </w:tc>
        <w:tc>
          <w:tcPr>
            <w:tcW w:w="1172" w:type="dxa"/>
          </w:tcPr>
          <w:p>
            <w:pPr>
              <w:pStyle w:val="TableParagraph"/>
              <w:spacing w:before="1"/>
              <w:ind w:right="213"/>
              <w:jc w:val="right"/>
              <w:rPr>
                <w:rFonts w:ascii="Calibri"/>
                <w:sz w:val="17"/>
              </w:rPr>
            </w:pPr>
            <w:r>
              <w:rPr>
                <w:rFonts w:ascii="Calibri"/>
                <w:color w:val="FF0000"/>
                <w:w w:val="105"/>
                <w:sz w:val="17"/>
              </w:rPr>
              <w:t>(207,981)</w:t>
            </w:r>
          </w:p>
        </w:tc>
        <w:tc>
          <w:tcPr>
            <w:tcW w:w="1120" w:type="dxa"/>
          </w:tcPr>
          <w:p>
            <w:pPr>
              <w:pStyle w:val="TableParagraph"/>
              <w:spacing w:before="7"/>
              <w:ind w:left="212"/>
              <w:rPr>
                <w:rFonts w:ascii="Calibri"/>
                <w:sz w:val="17"/>
              </w:rPr>
            </w:pPr>
            <w:r>
              <w:rPr>
                <w:rFonts w:ascii="Calibri"/>
                <w:w w:val="105"/>
                <w:sz w:val="17"/>
              </w:rPr>
              <w:t>-10.7%</w:t>
            </w:r>
          </w:p>
        </w:tc>
      </w:tr>
      <w:tr>
        <w:trPr>
          <w:trHeight w:val="214" w:hRule="atLeast"/>
        </w:trPr>
        <w:tc>
          <w:tcPr>
            <w:tcW w:w="3723" w:type="dxa"/>
          </w:tcPr>
          <w:p>
            <w:pPr>
              <w:pStyle w:val="TableParagraph"/>
              <w:spacing w:line="192" w:lineRule="exact" w:before="1"/>
              <w:ind w:right="637"/>
              <w:jc w:val="right"/>
              <w:rPr>
                <w:rFonts w:ascii="Calibri"/>
                <w:sz w:val="17"/>
              </w:rPr>
            </w:pPr>
            <w:r>
              <w:rPr>
                <w:rFonts w:ascii="Calibri"/>
                <w:w w:val="105"/>
                <w:sz w:val="17"/>
              </w:rPr>
              <w:t>Accrued Salaried, Liabilities and Benefits</w:t>
            </w:r>
          </w:p>
        </w:tc>
        <w:tc>
          <w:tcPr>
            <w:tcW w:w="1204" w:type="dxa"/>
          </w:tcPr>
          <w:p>
            <w:pPr>
              <w:pStyle w:val="TableParagraph"/>
              <w:spacing w:line="192" w:lineRule="exact" w:before="1"/>
              <w:ind w:right="136"/>
              <w:jc w:val="right"/>
              <w:rPr>
                <w:rFonts w:ascii="Calibri"/>
                <w:sz w:val="17"/>
              </w:rPr>
            </w:pPr>
            <w:r>
              <w:rPr>
                <w:rFonts w:ascii="Calibri"/>
                <w:sz w:val="17"/>
              </w:rPr>
              <w:t>3,916,617</w:t>
            </w:r>
          </w:p>
        </w:tc>
        <w:tc>
          <w:tcPr>
            <w:tcW w:w="1095" w:type="dxa"/>
          </w:tcPr>
          <w:p>
            <w:pPr>
              <w:pStyle w:val="TableParagraph"/>
              <w:spacing w:line="192" w:lineRule="exact" w:before="1"/>
              <w:ind w:left="120" w:right="30"/>
              <w:jc w:val="center"/>
              <w:rPr>
                <w:rFonts w:ascii="Calibri"/>
                <w:sz w:val="17"/>
              </w:rPr>
            </w:pPr>
            <w:r>
              <w:rPr>
                <w:rFonts w:ascii="Calibri"/>
                <w:w w:val="105"/>
                <w:sz w:val="17"/>
              </w:rPr>
              <w:t>3,278,632</w:t>
            </w:r>
          </w:p>
        </w:tc>
        <w:tc>
          <w:tcPr>
            <w:tcW w:w="1172" w:type="dxa"/>
          </w:tcPr>
          <w:p>
            <w:pPr>
              <w:pStyle w:val="TableParagraph"/>
              <w:spacing w:line="192" w:lineRule="exact" w:before="1"/>
              <w:ind w:right="214"/>
              <w:jc w:val="right"/>
              <w:rPr>
                <w:rFonts w:ascii="Calibri"/>
                <w:sz w:val="17"/>
              </w:rPr>
            </w:pPr>
            <w:r>
              <w:rPr>
                <w:rFonts w:ascii="Calibri"/>
                <w:w w:val="105"/>
                <w:sz w:val="17"/>
              </w:rPr>
              <w:t>637,985</w:t>
            </w:r>
          </w:p>
        </w:tc>
        <w:tc>
          <w:tcPr>
            <w:tcW w:w="1120" w:type="dxa"/>
          </w:tcPr>
          <w:p>
            <w:pPr>
              <w:pStyle w:val="TableParagraph"/>
              <w:spacing w:line="20" w:lineRule="exact"/>
              <w:ind w:left="1117" w:right="-87"/>
              <w:rPr>
                <w:rFonts w:ascii="Calibri"/>
                <w:sz w:val="2"/>
              </w:rPr>
            </w:pPr>
            <w:r>
              <w:rPr>
                <w:rFonts w:ascii="Calibri"/>
                <w:sz w:val="2"/>
              </w:rPr>
              <w:pict>
                <v:group style="width:.1pt;height:.35pt;mso-position-horizontal-relative:char;mso-position-vertical-relative:line" coordorigin="0,0" coordsize="2,7">
                  <v:line style="position:absolute" from="0,0" to="0,0" stroked="true" strokeweight="0pt" strokecolor="#dfdfdf">
                    <v:stroke dashstyle="solid"/>
                  </v:line>
                  <v:shape style="position:absolute;left:0;top:0;width:2;height:7" coordorigin="0,0" coordsize="0,7" path="m0,6l0,0,0,6xe" filled="true" fillcolor="#dfdfdf" stroked="false">
                    <v:path arrowok="t"/>
                    <v:fill type="solid"/>
                  </v:shape>
                </v:group>
              </w:pict>
            </w:r>
            <w:r>
              <w:rPr>
                <w:rFonts w:ascii="Calibri"/>
                <w:sz w:val="2"/>
              </w:rPr>
            </w:r>
          </w:p>
          <w:p>
            <w:pPr>
              <w:pStyle w:val="TableParagraph"/>
              <w:spacing w:line="173" w:lineRule="exact"/>
              <w:ind w:left="236"/>
              <w:rPr>
                <w:rFonts w:ascii="Calibri"/>
                <w:sz w:val="17"/>
              </w:rPr>
            </w:pPr>
            <w:r>
              <w:rPr>
                <w:rFonts w:ascii="Calibri"/>
                <w:w w:val="105"/>
                <w:sz w:val="17"/>
              </w:rPr>
              <w:t>19.5%</w:t>
            </w:r>
          </w:p>
        </w:tc>
      </w:tr>
    </w:tbl>
    <w:p>
      <w:pPr>
        <w:spacing w:line="20" w:lineRule="exact"/>
        <w:ind w:left="8451" w:right="0" w:firstLine="0"/>
        <w:rPr>
          <w:sz w:val="2"/>
        </w:rPr>
      </w:pPr>
      <w:r>
        <w:rPr>
          <w:sz w:val="2"/>
        </w:rPr>
        <w:pict>
          <v:group style="width:.1pt;height:.35pt;mso-position-horizontal-relative:char;mso-position-vertical-relative:line" coordorigin="0,0" coordsize="2,7">
            <v:line style="position:absolute" from="0,0" to="0,0" stroked="true" strokeweight="0pt" strokecolor="#dfdfdf">
              <v:stroke dashstyle="solid"/>
            </v:line>
            <v:shape style="position:absolute;left:0;top:0;width:2;height:7" coordorigin="0,0" coordsize="0,7" path="m0,6l0,0,0,6xe" filled="true" fillcolor="#dfdfdf" stroked="false">
              <v:path arrowok="t"/>
              <v:fill type="solid"/>
            </v:shape>
          </v:group>
        </w:pict>
      </w:r>
      <w:r>
        <w:rPr>
          <w:sz w:val="2"/>
        </w:rPr>
      </w:r>
    </w:p>
    <w:p>
      <w:pPr>
        <w:tabs>
          <w:tab w:pos="3859" w:val="left" w:leader="none"/>
          <w:tab w:pos="4201" w:val="left" w:leader="none"/>
          <w:tab w:pos="5431" w:val="left" w:leader="none"/>
          <w:tab w:pos="6525" w:val="left" w:leader="none"/>
          <w:tab w:pos="7571" w:val="left" w:leader="none"/>
          <w:tab w:pos="8451" w:val="left" w:leader="none"/>
        </w:tabs>
        <w:spacing w:before="8" w:after="10"/>
        <w:ind w:left="318" w:right="0" w:firstLine="0"/>
        <w:jc w:val="left"/>
        <w:rPr>
          <w:sz w:val="17"/>
        </w:rPr>
      </w:pPr>
      <w:r>
        <w:rPr>
          <w:w w:val="105"/>
          <w:position w:val="1"/>
          <w:sz w:val="17"/>
        </w:rPr>
        <w:t>Estimated</w:t>
      </w:r>
      <w:r>
        <w:rPr>
          <w:spacing w:val="-4"/>
          <w:w w:val="105"/>
          <w:position w:val="1"/>
          <w:sz w:val="17"/>
        </w:rPr>
        <w:t> </w:t>
      </w:r>
      <w:r>
        <w:rPr>
          <w:w w:val="105"/>
          <w:position w:val="1"/>
          <w:sz w:val="17"/>
        </w:rPr>
        <w:t>Claims</w:t>
      </w:r>
      <w:r>
        <w:rPr>
          <w:spacing w:val="-4"/>
          <w:w w:val="105"/>
          <w:position w:val="1"/>
          <w:sz w:val="17"/>
        </w:rPr>
        <w:t> </w:t>
      </w:r>
      <w:r>
        <w:rPr>
          <w:w w:val="105"/>
          <w:position w:val="1"/>
          <w:sz w:val="17"/>
        </w:rPr>
        <w:t>Payable</w:t>
        <w:tab/>
      </w:r>
      <w:r>
        <w:rPr>
          <w:w w:val="105"/>
          <w:position w:val="1"/>
          <w:sz w:val="17"/>
          <w:u w:val="single"/>
        </w:rPr>
        <w:t> </w:t>
        <w:tab/>
        <w:t>1,122,193</w:t>
        <w:tab/>
        <w:t>847,863</w:t>
        <w:tab/>
        <w:t>274,330</w:t>
        <w:tab/>
      </w:r>
      <w:r>
        <w:rPr>
          <w:w w:val="105"/>
          <w:sz w:val="17"/>
          <w:u w:val="single"/>
        </w:rPr>
        <w:t>32.4%</w:t>
      </w:r>
      <w:r>
        <w:rPr>
          <w:sz w:val="17"/>
          <w:u w:val="single"/>
        </w:rPr>
        <w:tab/>
      </w:r>
    </w:p>
    <w:p>
      <w:pPr>
        <w:spacing w:line="20" w:lineRule="exact"/>
        <w:ind w:left="3859" w:right="0" w:firstLine="0"/>
        <w:rPr>
          <w:sz w:val="2"/>
        </w:rPr>
      </w:pPr>
      <w:r>
        <w:rPr>
          <w:sz w:val="2"/>
        </w:rPr>
        <w:pict>
          <v:group style="width:229.65pt;height:.35pt;mso-position-horizontal-relative:char;mso-position-vertical-relative:line" coordorigin="0,0" coordsize="4593,7">
            <v:line style="position:absolute" from="0,0" to="4592,0" stroked="true" strokeweight="0pt" strokecolor="#000000">
              <v:stroke dashstyle="solid"/>
            </v:line>
            <v:line style="position:absolute" from="4592,0" to="4592,0" stroked="true" strokeweight="0pt" strokecolor="#dfdfdf">
              <v:stroke dashstyle="solid"/>
            </v:line>
            <v:shape style="position:absolute;left:4592;top:0;width:2;height:7" coordorigin="4592,0" coordsize="0,7" path="m4592,6l4592,0,4592,6xe" filled="true" fillcolor="#dfdfdf" stroked="false">
              <v:path arrowok="t"/>
              <v:fill type="solid"/>
            </v:shape>
          </v:group>
        </w:pict>
      </w:r>
      <w:r>
        <w:rPr>
          <w:sz w:val="2"/>
        </w:rPr>
      </w:r>
    </w:p>
    <w:p>
      <w:pPr>
        <w:tabs>
          <w:tab w:pos="3865" w:val="left" w:leader="none"/>
          <w:tab w:pos="4201" w:val="left" w:leader="none"/>
          <w:tab w:pos="5296" w:val="left" w:leader="none"/>
          <w:tab w:pos="6525" w:val="left" w:leader="none"/>
          <w:tab w:pos="7571" w:val="left" w:leader="none"/>
          <w:tab w:pos="8445" w:val="left" w:leader="none"/>
        </w:tabs>
        <w:spacing w:line="417" w:lineRule="auto" w:before="0"/>
        <w:ind w:left="190" w:right="2672" w:firstLine="256"/>
        <w:jc w:val="left"/>
        <w:rPr>
          <w:sz w:val="17"/>
        </w:rPr>
      </w:pPr>
      <w:r>
        <w:rPr/>
        <w:pict>
          <v:group style="position:absolute;margin-left:450.588867pt;margin-top:41.931721pt;width:.1pt;height:.35pt;mso-position-horizontal-relative:page;mso-position-vertical-relative:paragraph;z-index:-251546624;mso-wrap-distance-left:0;mso-wrap-distance-right:0" coordorigin="9012,839" coordsize="2,7">
            <v:line style="position:absolute" from="9012,839" to="9012,839" stroked="true" strokeweight="0pt" strokecolor="#dfdfdf">
              <v:stroke dashstyle="solid"/>
            </v:line>
            <v:shape style="position:absolute;left:9011;top:838;width:2;height:7" coordorigin="9012,839" coordsize="0,7" path="m9012,845l9012,839,9012,845xe" filled="true" fillcolor="#dfdfdf" stroked="false">
              <v:path arrowok="t"/>
              <v:fill type="solid"/>
            </v:shape>
            <w10:wrap type="topAndBottom"/>
          </v:group>
        </w:pict>
      </w:r>
      <w:r>
        <w:rPr/>
        <w:pict>
          <v:group style="position:absolute;margin-left:450.588867pt;margin-top:54.16449pt;width:.1pt;height:.35pt;mso-position-horizontal-relative:page;mso-position-vertical-relative:paragraph;z-index:-251545600;mso-wrap-distance-left:0;mso-wrap-distance-right:0" coordorigin="9012,1083" coordsize="2,7">
            <v:line style="position:absolute" from="9012,1083" to="9012,1083" stroked="true" strokeweight="0pt" strokecolor="#dfdfdf">
              <v:stroke dashstyle="solid"/>
            </v:line>
            <v:shape style="position:absolute;left:9011;top:1083;width:2;height:7" coordorigin="9012,1083" coordsize="0,7" path="m9012,1089l9012,1083,9012,1089xe" filled="true" fillcolor="#dfdfdf" stroked="false">
              <v:path arrowok="t"/>
              <v:fill type="solid"/>
            </v:shape>
            <w10:wrap type="topAndBottom"/>
          </v:group>
        </w:pict>
      </w:r>
      <w:r>
        <w:rPr/>
        <w:pict>
          <v:group style="position:absolute;margin-left:221.280914pt;margin-top:11.349797pt;width:229.35pt;height:.65pt;mso-position-horizontal-relative:page;mso-position-vertical-relative:paragraph;z-index:-266914816" coordorigin="4426,227" coordsize="4587,13">
            <v:line style="position:absolute" from="4426,233" to="9006,233" stroked="true" strokeweight="0pt" strokecolor="#000000">
              <v:stroke dashstyle="solid"/>
            </v:line>
            <v:line style="position:absolute" from="4426,236" to="9006,236" stroked="true" strokeweight=".306125pt" strokecolor="#000000">
              <v:stroke dashstyle="solid"/>
            </v:line>
            <v:line style="position:absolute" from="9012,227" to="9012,227" stroked="true" strokeweight="0pt" strokecolor="#dfdfdf">
              <v:stroke dashstyle="solid"/>
            </v:line>
            <v:shape style="position:absolute;left:9011;top:227;width:2;height:7" coordorigin="9012,227" coordsize="0,7" path="m9012,233l9012,227,9012,233xe" filled="true" fillcolor="#dfdfdf" stroked="false">
              <v:path arrowok="t"/>
              <v:fill type="solid"/>
            </v:shape>
            <w10:wrap type="none"/>
          </v:group>
        </w:pict>
      </w:r>
      <w:r>
        <w:rPr/>
        <w:pict>
          <v:group style="position:absolute;margin-left:450.588867pt;margin-top:17.466183pt;width:.1pt;height:.35pt;mso-position-horizontal-relative:page;mso-position-vertical-relative:paragraph;z-index:251794432" coordorigin="9012,349" coordsize="2,7">
            <v:line style="position:absolute" from="9012,349" to="9012,349" stroked="true" strokeweight="0pt" strokecolor="#dfdfdf">
              <v:stroke dashstyle="solid"/>
            </v:line>
            <v:shape style="position:absolute;left:9011;top:349;width:2;height:7" coordorigin="9012,349" coordsize="0,7" path="m9012,355l9012,349,9012,355xe" filled="true" fillcolor="#dfdfdf" stroked="false">
              <v:path arrowok="t"/>
              <v:fill type="solid"/>
            </v:shape>
            <w10:wrap type="none"/>
          </v:group>
        </w:pict>
      </w:r>
      <w:r>
        <w:rPr/>
        <w:pict>
          <v:group style="position:absolute;margin-left:450.588867pt;margin-top:29.698952pt;width:.1pt;height:.35pt;mso-position-horizontal-relative:page;mso-position-vertical-relative:paragraph;z-index:251795456" coordorigin="9012,594" coordsize="2,7">
            <v:line style="position:absolute" from="9012,594" to="9012,594" stroked="true" strokeweight="0pt" strokecolor="#dfdfdf">
              <v:stroke dashstyle="solid"/>
            </v:line>
            <v:shape style="position:absolute;left:9011;top:593;width:2;height:7" coordorigin="9012,594" coordsize="0,7" path="m9012,600l9012,594,9012,600xe" filled="true" fillcolor="#dfdfdf" stroked="false">
              <v:path arrowok="t"/>
              <v:fill type="solid"/>
            </v:shape>
            <w10:wrap type="none"/>
          </v:group>
        </w:pict>
      </w:r>
      <w:r>
        <w:rPr/>
        <w:pict>
          <v:shape style="position:absolute;margin-left:35.028702pt;margin-top:32.222019pt;width:415.6pt;height:180.45pt;mso-position-horizontal-relative:page;mso-position-vertical-relative:paragraph;z-index:2517964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23"/>
                    <w:gridCol w:w="1158"/>
                    <w:gridCol w:w="1141"/>
                    <w:gridCol w:w="1138"/>
                    <w:gridCol w:w="1153"/>
                  </w:tblGrid>
                  <w:tr>
                    <w:trPr>
                      <w:trHeight w:val="214" w:hRule="atLeast"/>
                    </w:trPr>
                    <w:tc>
                      <w:tcPr>
                        <w:tcW w:w="3723" w:type="dxa"/>
                      </w:tcPr>
                      <w:p>
                        <w:pPr>
                          <w:pStyle w:val="TableParagraph"/>
                          <w:spacing w:line="179" w:lineRule="exact"/>
                          <w:ind w:left="178"/>
                          <w:rPr>
                            <w:rFonts w:ascii="Calibri"/>
                            <w:sz w:val="17"/>
                          </w:rPr>
                        </w:pPr>
                        <w:r>
                          <w:rPr>
                            <w:rFonts w:ascii="Calibri"/>
                            <w:w w:val="105"/>
                            <w:sz w:val="17"/>
                          </w:rPr>
                          <w:t>Other Postemployment Benefits</w:t>
                        </w:r>
                      </w:p>
                    </w:tc>
                    <w:tc>
                      <w:tcPr>
                        <w:tcW w:w="1158" w:type="dxa"/>
                      </w:tcPr>
                      <w:p>
                        <w:pPr>
                          <w:pStyle w:val="TableParagraph"/>
                          <w:spacing w:line="179" w:lineRule="exact"/>
                          <w:ind w:right="90"/>
                          <w:jc w:val="right"/>
                          <w:rPr>
                            <w:rFonts w:ascii="Calibri"/>
                            <w:sz w:val="17"/>
                          </w:rPr>
                        </w:pPr>
                        <w:r>
                          <w:rPr>
                            <w:rFonts w:ascii="Calibri"/>
                            <w:sz w:val="17"/>
                          </w:rPr>
                          <w:t>5,381,723</w:t>
                        </w:r>
                      </w:p>
                    </w:tc>
                    <w:tc>
                      <w:tcPr>
                        <w:tcW w:w="2279" w:type="dxa"/>
                        <w:gridSpan w:val="2"/>
                      </w:tcPr>
                      <w:p>
                        <w:pPr>
                          <w:pStyle w:val="TableParagraph"/>
                          <w:spacing w:line="179" w:lineRule="exact"/>
                          <w:ind w:left="91"/>
                          <w:rPr>
                            <w:rFonts w:ascii="Calibri"/>
                            <w:sz w:val="17"/>
                          </w:rPr>
                        </w:pPr>
                        <w:r>
                          <w:rPr>
                            <w:rFonts w:ascii="Calibri"/>
                            <w:w w:val="105"/>
                            <w:sz w:val="17"/>
                          </w:rPr>
                          <w:t>240,492,251 </w:t>
                        </w:r>
                        <w:r>
                          <w:rPr>
                            <w:rFonts w:ascii="Calibri"/>
                            <w:color w:val="FF0000"/>
                            <w:w w:val="105"/>
                            <w:sz w:val="17"/>
                          </w:rPr>
                          <w:t>(235,110,528)</w:t>
                        </w:r>
                      </w:p>
                    </w:tc>
                    <w:tc>
                      <w:tcPr>
                        <w:tcW w:w="1153" w:type="dxa"/>
                      </w:tcPr>
                      <w:p>
                        <w:pPr>
                          <w:pStyle w:val="TableParagraph"/>
                          <w:spacing w:line="185" w:lineRule="exact"/>
                          <w:ind w:right="403"/>
                          <w:jc w:val="right"/>
                          <w:rPr>
                            <w:rFonts w:ascii="Calibri"/>
                            <w:sz w:val="17"/>
                          </w:rPr>
                        </w:pPr>
                        <w:r>
                          <w:rPr>
                            <w:rFonts w:ascii="Calibri"/>
                            <w:sz w:val="17"/>
                          </w:rPr>
                          <w:t>-97.8%</w:t>
                        </w:r>
                      </w:p>
                    </w:tc>
                  </w:tr>
                  <w:tr>
                    <w:trPr>
                      <w:trHeight w:val="214" w:hRule="atLeast"/>
                    </w:trPr>
                    <w:tc>
                      <w:tcPr>
                        <w:tcW w:w="3723" w:type="dxa"/>
                      </w:tcPr>
                      <w:p>
                        <w:pPr>
                          <w:pStyle w:val="TableParagraph"/>
                          <w:spacing w:line="192" w:lineRule="exact" w:before="1"/>
                          <w:ind w:left="178"/>
                          <w:rPr>
                            <w:rFonts w:ascii="Calibri"/>
                            <w:sz w:val="17"/>
                          </w:rPr>
                        </w:pPr>
                        <w:r>
                          <w:rPr>
                            <w:rFonts w:ascii="Calibri"/>
                            <w:w w:val="105"/>
                            <w:sz w:val="17"/>
                          </w:rPr>
                          <w:t>Net Pension Liability</w:t>
                        </w:r>
                      </w:p>
                    </w:tc>
                    <w:tc>
                      <w:tcPr>
                        <w:tcW w:w="1158" w:type="dxa"/>
                      </w:tcPr>
                      <w:p>
                        <w:pPr>
                          <w:pStyle w:val="TableParagraph"/>
                          <w:spacing w:line="192" w:lineRule="exact" w:before="1"/>
                          <w:ind w:right="90"/>
                          <w:jc w:val="right"/>
                          <w:rPr>
                            <w:rFonts w:ascii="Calibri"/>
                            <w:sz w:val="17"/>
                          </w:rPr>
                        </w:pPr>
                        <w:r>
                          <w:rPr>
                            <w:rFonts w:ascii="Calibri"/>
                            <w:sz w:val="17"/>
                          </w:rPr>
                          <w:t>197,442,353</w:t>
                        </w:r>
                      </w:p>
                    </w:tc>
                    <w:tc>
                      <w:tcPr>
                        <w:tcW w:w="2279" w:type="dxa"/>
                        <w:gridSpan w:val="2"/>
                      </w:tcPr>
                      <w:p>
                        <w:pPr>
                          <w:pStyle w:val="TableParagraph"/>
                          <w:spacing w:line="192" w:lineRule="exact" w:before="1"/>
                          <w:ind w:left="183"/>
                          <w:rPr>
                            <w:rFonts w:ascii="Calibri"/>
                            <w:sz w:val="17"/>
                          </w:rPr>
                        </w:pPr>
                        <w:r>
                          <w:rPr>
                            <w:rFonts w:ascii="Calibri"/>
                            <w:w w:val="105"/>
                            <w:sz w:val="17"/>
                          </w:rPr>
                          <w:t>13,740,965 183,701,387</w:t>
                        </w:r>
                      </w:p>
                    </w:tc>
                    <w:tc>
                      <w:tcPr>
                        <w:tcW w:w="1153" w:type="dxa"/>
                      </w:tcPr>
                      <w:p>
                        <w:pPr>
                          <w:pStyle w:val="TableParagraph"/>
                          <w:spacing w:line="186" w:lineRule="exact" w:before="8"/>
                          <w:ind w:right="342"/>
                          <w:jc w:val="right"/>
                          <w:rPr>
                            <w:rFonts w:ascii="Calibri"/>
                            <w:sz w:val="17"/>
                          </w:rPr>
                        </w:pPr>
                        <w:r>
                          <w:rPr>
                            <w:rFonts w:ascii="Calibri"/>
                            <w:sz w:val="17"/>
                          </w:rPr>
                          <w:t>1336.9%</w:t>
                        </w:r>
                      </w:p>
                    </w:tc>
                  </w:tr>
                  <w:tr>
                    <w:trPr>
                      <w:trHeight w:val="252" w:hRule="atLeast"/>
                    </w:trPr>
                    <w:tc>
                      <w:tcPr>
                        <w:tcW w:w="3723" w:type="dxa"/>
                      </w:tcPr>
                      <w:p>
                        <w:pPr>
                          <w:pStyle w:val="TableParagraph"/>
                          <w:spacing w:line="201" w:lineRule="exact" w:before="21"/>
                          <w:ind w:left="178"/>
                          <w:rPr>
                            <w:rFonts w:ascii="Calibri"/>
                            <w:sz w:val="17"/>
                          </w:rPr>
                        </w:pPr>
                        <w:r>
                          <w:rPr>
                            <w:rFonts w:ascii="Calibri"/>
                            <w:w w:val="105"/>
                            <w:sz w:val="17"/>
                          </w:rPr>
                          <w:t>Estimated Claims Payable</w:t>
                        </w:r>
                      </w:p>
                    </w:tc>
                    <w:tc>
                      <w:tcPr>
                        <w:tcW w:w="4590" w:type="dxa"/>
                        <w:gridSpan w:val="4"/>
                        <w:tcBorders>
                          <w:bottom w:val="single" w:sz="2" w:space="0" w:color="000000"/>
                        </w:tcBorders>
                      </w:tcPr>
                      <w:p>
                        <w:pPr>
                          <w:pStyle w:val="TableParagraph"/>
                          <w:tabs>
                            <w:tab w:pos="338" w:val="left" w:leader="none"/>
                            <w:tab w:pos="1432" w:val="left" w:leader="none"/>
                            <w:tab w:pos="2417" w:val="left" w:leader="none"/>
                            <w:tab w:pos="3683" w:val="left" w:leader="none"/>
                            <w:tab w:pos="4588" w:val="left" w:leader="none"/>
                          </w:tabs>
                          <w:spacing w:line="204" w:lineRule="exact" w:before="17"/>
                          <w:ind w:left="-5"/>
                          <w:rPr>
                            <w:rFonts w:ascii="Calibri"/>
                            <w:sz w:val="17"/>
                          </w:rPr>
                        </w:pPr>
                        <w:r>
                          <w:rPr>
                            <w:rFonts w:ascii="Calibri"/>
                            <w:w w:val="104"/>
                            <w:position w:val="1"/>
                            <w:sz w:val="17"/>
                            <w:u w:val="single"/>
                          </w:rPr>
                          <w:t> </w:t>
                        </w:r>
                        <w:r>
                          <w:rPr>
                            <w:rFonts w:ascii="Calibri"/>
                            <w:position w:val="1"/>
                            <w:sz w:val="17"/>
                            <w:u w:val="single"/>
                          </w:rPr>
                          <w:tab/>
                        </w:r>
                        <w:r>
                          <w:rPr>
                            <w:rFonts w:ascii="Calibri"/>
                            <w:w w:val="105"/>
                            <w:position w:val="1"/>
                            <w:sz w:val="17"/>
                            <w:u w:val="single"/>
                          </w:rPr>
                          <w:t>1,727,693</w:t>
                          <w:tab/>
                          <w:t>3,074,079</w:t>
                          <w:tab/>
                        </w:r>
                        <w:r>
                          <w:rPr>
                            <w:rFonts w:ascii="Calibri"/>
                            <w:color w:val="FF0000"/>
                            <w:w w:val="105"/>
                            <w:position w:val="1"/>
                            <w:sz w:val="17"/>
                            <w:u w:val="single" w:color="000000"/>
                          </w:rPr>
                          <w:t>(1,346,386)</w:t>
                          <w:tab/>
                        </w:r>
                        <w:r>
                          <w:rPr>
                            <w:rFonts w:ascii="Calibri"/>
                            <w:w w:val="105"/>
                            <w:sz w:val="17"/>
                            <w:u w:val="single"/>
                          </w:rPr>
                          <w:t>-43.8%</w:t>
                        </w:r>
                        <w:r>
                          <w:rPr>
                            <w:rFonts w:ascii="Calibri"/>
                            <w:sz w:val="17"/>
                            <w:u w:val="single"/>
                          </w:rPr>
                          <w:tab/>
                        </w:r>
                      </w:p>
                    </w:tc>
                  </w:tr>
                  <w:tr>
                    <w:trPr>
                      <w:trHeight w:val="246" w:hRule="atLeast"/>
                    </w:trPr>
                    <w:tc>
                      <w:tcPr>
                        <w:tcW w:w="3723" w:type="dxa"/>
                      </w:tcPr>
                      <w:p>
                        <w:pPr>
                          <w:pStyle w:val="TableParagraph"/>
                          <w:spacing w:line="207" w:lineRule="exact" w:before="19"/>
                          <w:ind w:left="306"/>
                          <w:rPr>
                            <w:rFonts w:ascii="Calibri"/>
                            <w:sz w:val="17"/>
                          </w:rPr>
                        </w:pPr>
                        <w:r>
                          <w:rPr>
                            <w:rFonts w:ascii="Calibri"/>
                            <w:w w:val="105"/>
                            <w:sz w:val="17"/>
                          </w:rPr>
                          <w:t>Total Non-Current Liabilities</w:t>
                        </w:r>
                      </w:p>
                    </w:tc>
                    <w:tc>
                      <w:tcPr>
                        <w:tcW w:w="4590" w:type="dxa"/>
                        <w:gridSpan w:val="4"/>
                        <w:tcBorders>
                          <w:top w:val="single" w:sz="2" w:space="0" w:color="000000"/>
                          <w:bottom w:val="single" w:sz="4" w:space="0" w:color="000000"/>
                        </w:tcBorders>
                      </w:tcPr>
                      <w:p>
                        <w:pPr>
                          <w:pStyle w:val="TableParagraph"/>
                          <w:tabs>
                            <w:tab w:pos="3683" w:val="left" w:leader="none"/>
                            <w:tab w:pos="4582" w:val="left" w:leader="none"/>
                          </w:tabs>
                          <w:spacing w:line="211" w:lineRule="exact" w:before="15"/>
                          <w:ind w:left="2"/>
                          <w:rPr>
                            <w:rFonts w:ascii="Calibri"/>
                            <w:sz w:val="17"/>
                          </w:rPr>
                        </w:pPr>
                        <w:r>
                          <w:rPr>
                            <w:rFonts w:ascii="Calibri"/>
                            <w:w w:val="104"/>
                            <w:position w:val="1"/>
                            <w:sz w:val="17"/>
                            <w:u w:val="double"/>
                          </w:rPr>
                          <w:t> </w:t>
                        </w:r>
                        <w:r>
                          <w:rPr>
                            <w:rFonts w:ascii="Calibri"/>
                            <w:position w:val="1"/>
                            <w:sz w:val="17"/>
                            <w:u w:val="double"/>
                          </w:rPr>
                          <w:t>  </w:t>
                        </w:r>
                        <w:r>
                          <w:rPr>
                            <w:rFonts w:ascii="Calibri"/>
                            <w:spacing w:val="-3"/>
                            <w:position w:val="1"/>
                            <w:sz w:val="17"/>
                            <w:u w:val="double"/>
                          </w:rPr>
                          <w:t> </w:t>
                        </w:r>
                        <w:r>
                          <w:rPr>
                            <w:rFonts w:ascii="Calibri"/>
                            <w:w w:val="105"/>
                            <w:position w:val="1"/>
                            <w:sz w:val="17"/>
                            <w:u w:val="double"/>
                          </w:rPr>
                          <w:t>204,551,</w:t>
                        </w:r>
                        <w:r>
                          <w:rPr>
                            <w:rFonts w:ascii="Calibri"/>
                            <w:w w:val="105"/>
                            <w:position w:val="1"/>
                            <w:sz w:val="17"/>
                            <w:u w:val="single"/>
                          </w:rPr>
                          <w:t>76</w:t>
                        </w:r>
                        <w:r>
                          <w:rPr>
                            <w:rFonts w:ascii="Calibri"/>
                            <w:w w:val="105"/>
                            <w:position w:val="1"/>
                            <w:sz w:val="17"/>
                          </w:rPr>
                          <w:t>8   </w:t>
                        </w:r>
                        <w:r>
                          <w:rPr>
                            <w:rFonts w:ascii="Calibri"/>
                            <w:spacing w:val="21"/>
                            <w:w w:val="105"/>
                            <w:position w:val="1"/>
                            <w:sz w:val="17"/>
                          </w:rPr>
                          <w:t> </w:t>
                        </w:r>
                        <w:r>
                          <w:rPr>
                            <w:rFonts w:ascii="Calibri"/>
                            <w:w w:val="105"/>
                            <w:position w:val="1"/>
                            <w:sz w:val="17"/>
                          </w:rPr>
                          <w:t>257,307,</w:t>
                        </w:r>
                        <w:r>
                          <w:rPr>
                            <w:rFonts w:ascii="Calibri"/>
                            <w:w w:val="105"/>
                            <w:position w:val="1"/>
                            <w:sz w:val="17"/>
                            <w:u w:val="single"/>
                          </w:rPr>
                          <w:t>29</w:t>
                        </w:r>
                        <w:r>
                          <w:rPr>
                            <w:rFonts w:ascii="Calibri"/>
                            <w:w w:val="105"/>
                            <w:position w:val="1"/>
                            <w:sz w:val="17"/>
                          </w:rPr>
                          <w:t>5   </w:t>
                        </w:r>
                        <w:r>
                          <w:rPr>
                            <w:rFonts w:ascii="Calibri"/>
                            <w:spacing w:val="4"/>
                            <w:w w:val="105"/>
                            <w:position w:val="1"/>
                            <w:sz w:val="17"/>
                          </w:rPr>
                          <w:t> </w:t>
                        </w:r>
                        <w:r>
                          <w:rPr>
                            <w:rFonts w:ascii="Calibri"/>
                            <w:color w:val="FF0000"/>
                            <w:w w:val="105"/>
                            <w:position w:val="1"/>
                            <w:sz w:val="17"/>
                          </w:rPr>
                          <w:t>(52,755,</w:t>
                        </w:r>
                        <w:r>
                          <w:rPr>
                            <w:rFonts w:ascii="Calibri"/>
                            <w:color w:val="FF0000"/>
                            <w:w w:val="105"/>
                            <w:position w:val="1"/>
                            <w:sz w:val="17"/>
                            <w:u w:val="single" w:color="000000"/>
                          </w:rPr>
                          <w:t>527</w:t>
                        </w:r>
                        <w:r>
                          <w:rPr>
                            <w:rFonts w:ascii="Calibri"/>
                            <w:color w:val="FF0000"/>
                            <w:w w:val="105"/>
                            <w:position w:val="1"/>
                            <w:sz w:val="17"/>
                          </w:rPr>
                          <w:t>)</w:t>
                          <w:tab/>
                        </w:r>
                        <w:r>
                          <w:rPr>
                            <w:rFonts w:ascii="Calibri"/>
                            <w:w w:val="105"/>
                            <w:sz w:val="17"/>
                          </w:rPr>
                          <w:t>-20.</w:t>
                        </w:r>
                        <w:r>
                          <w:rPr>
                            <w:rFonts w:ascii="Calibri"/>
                            <w:w w:val="105"/>
                            <w:sz w:val="17"/>
                            <w:u w:val="single"/>
                          </w:rPr>
                          <w:t>5</w:t>
                        </w:r>
                        <w:r>
                          <w:rPr>
                            <w:rFonts w:ascii="Calibri"/>
                            <w:w w:val="105"/>
                            <w:sz w:val="17"/>
                          </w:rPr>
                          <w:t>%</w:t>
                        </w:r>
                        <w:r>
                          <w:rPr>
                            <w:rFonts w:ascii="Calibri"/>
                            <w:sz w:val="17"/>
                          </w:rPr>
                          <w:tab/>
                        </w:r>
                      </w:p>
                    </w:tc>
                  </w:tr>
                  <w:tr>
                    <w:trPr>
                      <w:trHeight w:val="350" w:hRule="atLeast"/>
                    </w:trPr>
                    <w:tc>
                      <w:tcPr>
                        <w:tcW w:w="3723" w:type="dxa"/>
                      </w:tcPr>
                      <w:p>
                        <w:pPr>
                          <w:pStyle w:val="TableParagraph"/>
                          <w:spacing w:line="201" w:lineRule="exact" w:before="129"/>
                          <w:ind w:left="178"/>
                          <w:rPr>
                            <w:rFonts w:ascii="Calibri"/>
                            <w:sz w:val="17"/>
                          </w:rPr>
                        </w:pPr>
                        <w:r>
                          <w:rPr>
                            <w:rFonts w:ascii="Calibri"/>
                            <w:w w:val="105"/>
                            <w:sz w:val="17"/>
                          </w:rPr>
                          <w:t>Deferred Inflows of Resources</w:t>
                        </w:r>
                      </w:p>
                    </w:tc>
                    <w:tc>
                      <w:tcPr>
                        <w:tcW w:w="4590" w:type="dxa"/>
                        <w:gridSpan w:val="4"/>
                        <w:tcBorders>
                          <w:top w:val="single" w:sz="4" w:space="0" w:color="000000"/>
                          <w:bottom w:val="single" w:sz="2" w:space="0" w:color="000000"/>
                        </w:tcBorders>
                      </w:tcPr>
                      <w:p>
                        <w:pPr>
                          <w:pStyle w:val="TableParagraph"/>
                          <w:tabs>
                            <w:tab w:pos="2435" w:val="left" w:leader="none"/>
                            <w:tab w:pos="3707" w:val="left" w:leader="none"/>
                            <w:tab w:pos="4588" w:val="left" w:leader="none"/>
                          </w:tabs>
                          <w:spacing w:line="204" w:lineRule="exact" w:before="126"/>
                          <w:ind w:left="-5"/>
                          <w:rPr>
                            <w:rFonts w:ascii="Calibri"/>
                            <w:sz w:val="17"/>
                          </w:rPr>
                        </w:pPr>
                        <w:r>
                          <w:rPr>
                            <w:rFonts w:ascii="Calibri"/>
                            <w:w w:val="104"/>
                            <w:position w:val="1"/>
                            <w:sz w:val="17"/>
                            <w:u w:val="single"/>
                          </w:rPr>
                          <w:t> </w:t>
                        </w:r>
                        <w:r>
                          <w:rPr>
                            <w:rFonts w:ascii="Calibri"/>
                            <w:position w:val="1"/>
                            <w:sz w:val="17"/>
                            <w:u w:val="single"/>
                          </w:rPr>
                          <w:t>  </w:t>
                        </w:r>
                        <w:r>
                          <w:rPr>
                            <w:rFonts w:ascii="Calibri"/>
                            <w:spacing w:val="3"/>
                            <w:position w:val="1"/>
                            <w:sz w:val="17"/>
                            <w:u w:val="single"/>
                          </w:rPr>
                          <w:t> </w:t>
                        </w:r>
                        <w:r>
                          <w:rPr>
                            <w:rFonts w:ascii="Calibri"/>
                            <w:w w:val="105"/>
                            <w:position w:val="1"/>
                            <w:sz w:val="17"/>
                            <w:u w:val="single"/>
                          </w:rPr>
                          <w:t>113,150,354   </w:t>
                        </w:r>
                        <w:r>
                          <w:rPr>
                            <w:rFonts w:ascii="Calibri"/>
                            <w:spacing w:val="21"/>
                            <w:w w:val="105"/>
                            <w:position w:val="1"/>
                            <w:sz w:val="17"/>
                            <w:u w:val="single"/>
                          </w:rPr>
                          <w:t> </w:t>
                        </w:r>
                        <w:r>
                          <w:rPr>
                            <w:rFonts w:ascii="Calibri"/>
                            <w:w w:val="105"/>
                            <w:position w:val="1"/>
                            <w:sz w:val="17"/>
                            <w:u w:val="single"/>
                          </w:rPr>
                          <w:t>102,125,240</w:t>
                          <w:tab/>
                          <w:t>11,025,114</w:t>
                          <w:tab/>
                        </w:r>
                        <w:r>
                          <w:rPr>
                            <w:rFonts w:ascii="Calibri"/>
                            <w:w w:val="105"/>
                            <w:sz w:val="17"/>
                            <w:u w:val="single"/>
                          </w:rPr>
                          <w:t>10.8%</w:t>
                        </w:r>
                        <w:r>
                          <w:rPr>
                            <w:rFonts w:ascii="Calibri"/>
                            <w:sz w:val="17"/>
                            <w:u w:val="single"/>
                          </w:rPr>
                          <w:tab/>
                        </w:r>
                      </w:p>
                    </w:tc>
                  </w:tr>
                  <w:tr>
                    <w:trPr>
                      <w:trHeight w:val="246" w:hRule="atLeast"/>
                    </w:trPr>
                    <w:tc>
                      <w:tcPr>
                        <w:tcW w:w="3723" w:type="dxa"/>
                      </w:tcPr>
                      <w:p>
                        <w:pPr>
                          <w:pStyle w:val="TableParagraph"/>
                          <w:spacing w:line="207" w:lineRule="exact" w:before="19"/>
                          <w:ind w:left="306"/>
                          <w:rPr>
                            <w:rFonts w:ascii="Calibri"/>
                            <w:sz w:val="17"/>
                          </w:rPr>
                        </w:pPr>
                        <w:r>
                          <w:rPr>
                            <w:rFonts w:ascii="Calibri"/>
                            <w:w w:val="105"/>
                            <w:sz w:val="17"/>
                          </w:rPr>
                          <w:t>Total Deferred Inflows of Resources</w:t>
                        </w:r>
                      </w:p>
                    </w:tc>
                    <w:tc>
                      <w:tcPr>
                        <w:tcW w:w="4590" w:type="dxa"/>
                        <w:gridSpan w:val="4"/>
                        <w:tcBorders>
                          <w:top w:val="single" w:sz="2" w:space="0" w:color="000000"/>
                          <w:bottom w:val="single" w:sz="4" w:space="0" w:color="000000"/>
                        </w:tcBorders>
                      </w:tcPr>
                      <w:p>
                        <w:pPr>
                          <w:pStyle w:val="TableParagraph"/>
                          <w:tabs>
                            <w:tab w:pos="2435" w:val="left" w:leader="none"/>
                            <w:tab w:pos="3707" w:val="left" w:leader="none"/>
                            <w:tab w:pos="4582" w:val="left" w:leader="none"/>
                          </w:tabs>
                          <w:spacing w:line="211" w:lineRule="exact" w:before="15"/>
                          <w:ind w:left="2"/>
                          <w:rPr>
                            <w:rFonts w:ascii="Calibri"/>
                            <w:sz w:val="17"/>
                          </w:rPr>
                        </w:pPr>
                        <w:r>
                          <w:rPr>
                            <w:rFonts w:ascii="Calibri"/>
                            <w:w w:val="104"/>
                            <w:position w:val="1"/>
                            <w:sz w:val="17"/>
                            <w:u w:val="double"/>
                          </w:rPr>
                          <w:t> </w:t>
                        </w:r>
                        <w:r>
                          <w:rPr>
                            <w:rFonts w:ascii="Calibri"/>
                            <w:position w:val="1"/>
                            <w:sz w:val="17"/>
                            <w:u w:val="double"/>
                          </w:rPr>
                          <w:t>  </w:t>
                        </w:r>
                        <w:r>
                          <w:rPr>
                            <w:rFonts w:ascii="Calibri"/>
                            <w:spacing w:val="-3"/>
                            <w:position w:val="1"/>
                            <w:sz w:val="17"/>
                            <w:u w:val="double"/>
                          </w:rPr>
                          <w:t> </w:t>
                        </w:r>
                        <w:r>
                          <w:rPr>
                            <w:rFonts w:ascii="Calibri"/>
                            <w:w w:val="105"/>
                            <w:position w:val="1"/>
                            <w:sz w:val="17"/>
                            <w:u w:val="double"/>
                          </w:rPr>
                          <w:t>113,150,</w:t>
                        </w:r>
                        <w:r>
                          <w:rPr>
                            <w:rFonts w:ascii="Calibri"/>
                            <w:w w:val="105"/>
                            <w:position w:val="1"/>
                            <w:sz w:val="17"/>
                            <w:u w:val="single"/>
                          </w:rPr>
                          <w:t>35</w:t>
                        </w:r>
                        <w:r>
                          <w:rPr>
                            <w:rFonts w:ascii="Calibri"/>
                            <w:w w:val="105"/>
                            <w:position w:val="1"/>
                            <w:sz w:val="17"/>
                          </w:rPr>
                          <w:t>4   </w:t>
                        </w:r>
                        <w:r>
                          <w:rPr>
                            <w:rFonts w:ascii="Calibri"/>
                            <w:spacing w:val="21"/>
                            <w:w w:val="105"/>
                            <w:position w:val="1"/>
                            <w:sz w:val="17"/>
                          </w:rPr>
                          <w:t> </w:t>
                        </w:r>
                        <w:r>
                          <w:rPr>
                            <w:rFonts w:ascii="Calibri"/>
                            <w:w w:val="105"/>
                            <w:position w:val="1"/>
                            <w:sz w:val="17"/>
                          </w:rPr>
                          <w:t>102,125,</w:t>
                        </w:r>
                        <w:r>
                          <w:rPr>
                            <w:rFonts w:ascii="Calibri"/>
                            <w:w w:val="105"/>
                            <w:position w:val="1"/>
                            <w:sz w:val="17"/>
                            <w:u w:val="single"/>
                          </w:rPr>
                          <w:t>24</w:t>
                        </w:r>
                        <w:r>
                          <w:rPr>
                            <w:rFonts w:ascii="Calibri"/>
                            <w:w w:val="105"/>
                            <w:position w:val="1"/>
                            <w:sz w:val="17"/>
                          </w:rPr>
                          <w:t>0</w:t>
                          <w:tab/>
                          <w:t>11,025,</w:t>
                        </w:r>
                        <w:r>
                          <w:rPr>
                            <w:rFonts w:ascii="Calibri"/>
                            <w:w w:val="105"/>
                            <w:position w:val="1"/>
                            <w:sz w:val="17"/>
                            <w:u w:val="single"/>
                          </w:rPr>
                          <w:t>11</w:t>
                        </w:r>
                        <w:r>
                          <w:rPr>
                            <w:rFonts w:ascii="Calibri"/>
                            <w:w w:val="105"/>
                            <w:position w:val="1"/>
                            <w:sz w:val="17"/>
                          </w:rPr>
                          <w:t>4</w:t>
                          <w:tab/>
                        </w:r>
                        <w:r>
                          <w:rPr>
                            <w:rFonts w:ascii="Calibri"/>
                            <w:w w:val="105"/>
                            <w:sz w:val="17"/>
                          </w:rPr>
                          <w:t>10.</w:t>
                        </w:r>
                        <w:r>
                          <w:rPr>
                            <w:rFonts w:ascii="Calibri"/>
                            <w:w w:val="105"/>
                            <w:sz w:val="17"/>
                            <w:u w:val="single"/>
                          </w:rPr>
                          <w:t>8</w:t>
                        </w:r>
                        <w:r>
                          <w:rPr>
                            <w:rFonts w:ascii="Calibri"/>
                            <w:w w:val="105"/>
                            <w:sz w:val="17"/>
                          </w:rPr>
                          <w:t>%</w:t>
                        </w:r>
                        <w:r>
                          <w:rPr>
                            <w:rFonts w:ascii="Calibri"/>
                            <w:sz w:val="17"/>
                          </w:rPr>
                          <w:tab/>
                        </w:r>
                      </w:p>
                    </w:tc>
                  </w:tr>
                  <w:tr>
                    <w:trPr>
                      <w:trHeight w:val="106" w:hRule="atLeast"/>
                    </w:trPr>
                    <w:tc>
                      <w:tcPr>
                        <w:tcW w:w="3723" w:type="dxa"/>
                      </w:tcPr>
                      <w:p>
                        <w:pPr>
                          <w:pStyle w:val="TableParagraph"/>
                          <w:rPr>
                            <w:rFonts w:ascii="Times New Roman"/>
                            <w:sz w:val="4"/>
                          </w:rPr>
                        </w:pPr>
                      </w:p>
                    </w:tc>
                    <w:tc>
                      <w:tcPr>
                        <w:tcW w:w="4590" w:type="dxa"/>
                        <w:gridSpan w:val="4"/>
                        <w:tcBorders>
                          <w:top w:val="single" w:sz="4" w:space="0" w:color="000000"/>
                          <w:bottom w:val="single" w:sz="4" w:space="0" w:color="000000"/>
                        </w:tcBorders>
                      </w:tcPr>
                      <w:p>
                        <w:pPr>
                          <w:pStyle w:val="TableParagraph"/>
                          <w:rPr>
                            <w:rFonts w:ascii="Times New Roman"/>
                            <w:sz w:val="4"/>
                          </w:rPr>
                        </w:pPr>
                      </w:p>
                    </w:tc>
                  </w:tr>
                  <w:tr>
                    <w:trPr>
                      <w:trHeight w:val="240" w:hRule="atLeast"/>
                    </w:trPr>
                    <w:tc>
                      <w:tcPr>
                        <w:tcW w:w="3723" w:type="dxa"/>
                      </w:tcPr>
                      <w:p>
                        <w:pPr>
                          <w:pStyle w:val="TableParagraph"/>
                          <w:spacing w:line="207" w:lineRule="exact" w:before="13"/>
                          <w:ind w:left="50"/>
                          <w:rPr>
                            <w:rFonts w:ascii="Calibri"/>
                            <w:sz w:val="17"/>
                          </w:rPr>
                        </w:pPr>
                        <w:r>
                          <w:rPr>
                            <w:rFonts w:ascii="Calibri"/>
                            <w:w w:val="105"/>
                            <w:sz w:val="17"/>
                          </w:rPr>
                          <w:t>Total Liabilities</w:t>
                        </w:r>
                      </w:p>
                    </w:tc>
                    <w:tc>
                      <w:tcPr>
                        <w:tcW w:w="4590" w:type="dxa"/>
                        <w:gridSpan w:val="4"/>
                        <w:tcBorders>
                          <w:top w:val="single" w:sz="4" w:space="0" w:color="000000"/>
                          <w:bottom w:val="single" w:sz="4" w:space="0" w:color="000000"/>
                        </w:tcBorders>
                      </w:tcPr>
                      <w:p>
                        <w:pPr>
                          <w:pStyle w:val="TableParagraph"/>
                          <w:tabs>
                            <w:tab w:pos="3682" w:val="left" w:leader="none"/>
                            <w:tab w:pos="4582" w:val="left" w:leader="none"/>
                          </w:tabs>
                          <w:spacing w:line="211" w:lineRule="exact" w:before="9"/>
                          <w:ind w:left="2"/>
                          <w:rPr>
                            <w:rFonts w:ascii="Calibri"/>
                            <w:sz w:val="17"/>
                          </w:rPr>
                        </w:pPr>
                        <w:r>
                          <w:rPr>
                            <w:rFonts w:ascii="Calibri"/>
                            <w:w w:val="104"/>
                            <w:position w:val="1"/>
                            <w:sz w:val="17"/>
                            <w:u w:val="double"/>
                          </w:rPr>
                          <w:t> </w:t>
                        </w:r>
                        <w:r>
                          <w:rPr>
                            <w:rFonts w:ascii="Calibri"/>
                            <w:position w:val="1"/>
                            <w:sz w:val="17"/>
                            <w:u w:val="double"/>
                          </w:rPr>
                          <w:t>  </w:t>
                        </w:r>
                        <w:r>
                          <w:rPr>
                            <w:rFonts w:ascii="Calibri"/>
                            <w:spacing w:val="-3"/>
                            <w:position w:val="1"/>
                            <w:sz w:val="17"/>
                            <w:u w:val="double"/>
                          </w:rPr>
                          <w:t> </w:t>
                        </w:r>
                        <w:r>
                          <w:rPr>
                            <w:rFonts w:ascii="Calibri"/>
                            <w:w w:val="105"/>
                            <w:position w:val="1"/>
                            <w:sz w:val="17"/>
                            <w:u w:val="double"/>
                          </w:rPr>
                          <w:t>324,474,</w:t>
                        </w:r>
                        <w:r>
                          <w:rPr>
                            <w:rFonts w:ascii="Calibri"/>
                            <w:w w:val="105"/>
                            <w:position w:val="1"/>
                            <w:sz w:val="17"/>
                            <w:u w:val="single"/>
                          </w:rPr>
                          <w:t>56</w:t>
                        </w:r>
                        <w:r>
                          <w:rPr>
                            <w:rFonts w:ascii="Calibri"/>
                            <w:w w:val="105"/>
                            <w:position w:val="1"/>
                            <w:sz w:val="17"/>
                          </w:rPr>
                          <w:t>2   </w:t>
                        </w:r>
                        <w:r>
                          <w:rPr>
                            <w:rFonts w:ascii="Calibri"/>
                            <w:spacing w:val="21"/>
                            <w:w w:val="105"/>
                            <w:position w:val="1"/>
                            <w:sz w:val="17"/>
                          </w:rPr>
                          <w:t> </w:t>
                        </w:r>
                        <w:r>
                          <w:rPr>
                            <w:rFonts w:ascii="Calibri"/>
                            <w:w w:val="105"/>
                            <w:position w:val="1"/>
                            <w:sz w:val="17"/>
                          </w:rPr>
                          <w:t>365,500,</w:t>
                        </w:r>
                        <w:r>
                          <w:rPr>
                            <w:rFonts w:ascii="Calibri"/>
                            <w:w w:val="105"/>
                            <w:position w:val="1"/>
                            <w:sz w:val="17"/>
                            <w:u w:val="single"/>
                          </w:rPr>
                          <w:t>64</w:t>
                        </w:r>
                        <w:r>
                          <w:rPr>
                            <w:rFonts w:ascii="Calibri"/>
                            <w:w w:val="105"/>
                            <w:position w:val="1"/>
                            <w:sz w:val="17"/>
                          </w:rPr>
                          <w:t>1   </w:t>
                        </w:r>
                        <w:r>
                          <w:rPr>
                            <w:rFonts w:ascii="Calibri"/>
                            <w:spacing w:val="4"/>
                            <w:w w:val="105"/>
                            <w:position w:val="1"/>
                            <w:sz w:val="17"/>
                          </w:rPr>
                          <w:t> </w:t>
                        </w:r>
                        <w:r>
                          <w:rPr>
                            <w:rFonts w:ascii="Calibri"/>
                            <w:color w:val="FF0000"/>
                            <w:w w:val="105"/>
                            <w:position w:val="1"/>
                            <w:sz w:val="17"/>
                          </w:rPr>
                          <w:t>(41,026,</w:t>
                        </w:r>
                        <w:r>
                          <w:rPr>
                            <w:rFonts w:ascii="Calibri"/>
                            <w:color w:val="FF0000"/>
                            <w:w w:val="105"/>
                            <w:position w:val="1"/>
                            <w:sz w:val="17"/>
                            <w:u w:val="single" w:color="000000"/>
                          </w:rPr>
                          <w:t>079</w:t>
                        </w:r>
                        <w:r>
                          <w:rPr>
                            <w:rFonts w:ascii="Calibri"/>
                            <w:color w:val="FF0000"/>
                            <w:w w:val="105"/>
                            <w:position w:val="1"/>
                            <w:sz w:val="17"/>
                          </w:rPr>
                          <w:t>)</w:t>
                          <w:tab/>
                        </w:r>
                        <w:r>
                          <w:rPr>
                            <w:rFonts w:ascii="Calibri"/>
                            <w:w w:val="105"/>
                            <w:sz w:val="17"/>
                          </w:rPr>
                          <w:t>-11.</w:t>
                        </w:r>
                        <w:r>
                          <w:rPr>
                            <w:rFonts w:ascii="Calibri"/>
                            <w:w w:val="105"/>
                            <w:sz w:val="17"/>
                            <w:u w:val="single"/>
                          </w:rPr>
                          <w:t>2</w:t>
                        </w:r>
                        <w:r>
                          <w:rPr>
                            <w:rFonts w:ascii="Calibri"/>
                            <w:w w:val="105"/>
                            <w:sz w:val="17"/>
                          </w:rPr>
                          <w:t>%</w:t>
                        </w:r>
                        <w:r>
                          <w:rPr>
                            <w:rFonts w:ascii="Calibri"/>
                            <w:sz w:val="17"/>
                          </w:rPr>
                          <w:tab/>
                        </w:r>
                      </w:p>
                    </w:tc>
                  </w:tr>
                  <w:tr>
                    <w:trPr>
                      <w:trHeight w:val="358" w:hRule="atLeast"/>
                    </w:trPr>
                    <w:tc>
                      <w:tcPr>
                        <w:tcW w:w="3723" w:type="dxa"/>
                      </w:tcPr>
                      <w:p>
                        <w:pPr>
                          <w:pStyle w:val="TableParagraph"/>
                          <w:spacing w:before="129"/>
                          <w:ind w:left="50"/>
                          <w:rPr>
                            <w:rFonts w:ascii="Calibri"/>
                            <w:sz w:val="17"/>
                          </w:rPr>
                        </w:pPr>
                        <w:r>
                          <w:rPr>
                            <w:rFonts w:ascii="Calibri"/>
                            <w:w w:val="105"/>
                            <w:sz w:val="17"/>
                          </w:rPr>
                          <w:t>Net assets - Unrestricted</w:t>
                        </w:r>
                      </w:p>
                    </w:tc>
                    <w:tc>
                      <w:tcPr>
                        <w:tcW w:w="4590" w:type="dxa"/>
                        <w:gridSpan w:val="4"/>
                        <w:tcBorders>
                          <w:top w:val="single" w:sz="4" w:space="0" w:color="000000"/>
                        </w:tcBorders>
                      </w:tcPr>
                      <w:p>
                        <w:pPr>
                          <w:pStyle w:val="TableParagraph"/>
                          <w:rPr>
                            <w:rFonts w:ascii="Times New Roman"/>
                            <w:sz w:val="18"/>
                          </w:rPr>
                        </w:pPr>
                      </w:p>
                    </w:tc>
                  </w:tr>
                  <w:tr>
                    <w:trPr>
                      <w:trHeight w:val="227" w:hRule="atLeast"/>
                    </w:trPr>
                    <w:tc>
                      <w:tcPr>
                        <w:tcW w:w="3723" w:type="dxa"/>
                      </w:tcPr>
                      <w:p>
                        <w:pPr>
                          <w:pStyle w:val="TableParagraph"/>
                          <w:spacing w:line="192" w:lineRule="exact" w:before="15"/>
                          <w:ind w:left="178"/>
                          <w:rPr>
                            <w:rFonts w:ascii="Calibri"/>
                            <w:sz w:val="17"/>
                          </w:rPr>
                        </w:pPr>
                        <w:r>
                          <w:rPr>
                            <w:rFonts w:ascii="Calibri"/>
                            <w:w w:val="105"/>
                            <w:sz w:val="17"/>
                          </w:rPr>
                          <w:t>Unrestricted - Beginning Balance</w:t>
                        </w:r>
                      </w:p>
                    </w:tc>
                    <w:tc>
                      <w:tcPr>
                        <w:tcW w:w="2299" w:type="dxa"/>
                        <w:gridSpan w:val="2"/>
                      </w:tcPr>
                      <w:p>
                        <w:pPr>
                          <w:pStyle w:val="TableParagraph"/>
                          <w:spacing w:line="192" w:lineRule="exact" w:before="15"/>
                          <w:ind w:left="44"/>
                          <w:rPr>
                            <w:rFonts w:ascii="Calibri"/>
                            <w:sz w:val="17"/>
                          </w:rPr>
                        </w:pPr>
                        <w:r>
                          <w:rPr>
                            <w:rFonts w:ascii="Calibri"/>
                            <w:color w:val="FF0000"/>
                            <w:w w:val="105"/>
                            <w:sz w:val="17"/>
                          </w:rPr>
                          <w:t>(253,658,924) (297,197,199)</w:t>
                        </w:r>
                      </w:p>
                    </w:tc>
                    <w:tc>
                      <w:tcPr>
                        <w:tcW w:w="1138" w:type="dxa"/>
                      </w:tcPr>
                      <w:p>
                        <w:pPr>
                          <w:pStyle w:val="TableParagraph"/>
                          <w:spacing w:line="192" w:lineRule="exact" w:before="15"/>
                          <w:ind w:left="121" w:right="164"/>
                          <w:jc w:val="center"/>
                          <w:rPr>
                            <w:rFonts w:ascii="Calibri"/>
                            <w:sz w:val="17"/>
                          </w:rPr>
                        </w:pPr>
                        <w:r>
                          <w:rPr>
                            <w:rFonts w:ascii="Calibri"/>
                            <w:w w:val="105"/>
                            <w:sz w:val="17"/>
                          </w:rPr>
                          <w:t>43,538,275</w:t>
                        </w:r>
                      </w:p>
                    </w:tc>
                    <w:tc>
                      <w:tcPr>
                        <w:tcW w:w="1153" w:type="dxa"/>
                      </w:tcPr>
                      <w:p>
                        <w:pPr>
                          <w:pStyle w:val="TableParagraph"/>
                          <w:spacing w:line="186" w:lineRule="exact" w:before="21"/>
                          <w:ind w:right="403"/>
                          <w:jc w:val="right"/>
                          <w:rPr>
                            <w:rFonts w:ascii="Calibri"/>
                            <w:sz w:val="17"/>
                          </w:rPr>
                        </w:pPr>
                        <w:r>
                          <w:rPr>
                            <w:rFonts w:ascii="Calibri"/>
                            <w:sz w:val="17"/>
                          </w:rPr>
                          <w:t>-14.7%</w:t>
                        </w:r>
                      </w:p>
                    </w:tc>
                  </w:tr>
                  <w:tr>
                    <w:trPr>
                      <w:trHeight w:val="252" w:hRule="atLeast"/>
                    </w:trPr>
                    <w:tc>
                      <w:tcPr>
                        <w:tcW w:w="3723" w:type="dxa"/>
                      </w:tcPr>
                      <w:p>
                        <w:pPr>
                          <w:pStyle w:val="TableParagraph"/>
                          <w:spacing w:line="201" w:lineRule="exact" w:before="21"/>
                          <w:ind w:left="178"/>
                          <w:rPr>
                            <w:rFonts w:ascii="Calibri"/>
                            <w:sz w:val="17"/>
                          </w:rPr>
                        </w:pPr>
                        <w:r>
                          <w:rPr>
                            <w:rFonts w:ascii="Calibri"/>
                            <w:w w:val="105"/>
                            <w:sz w:val="17"/>
                          </w:rPr>
                          <w:t>Change in Unrestricted</w:t>
                        </w:r>
                      </w:p>
                    </w:tc>
                    <w:tc>
                      <w:tcPr>
                        <w:tcW w:w="4590" w:type="dxa"/>
                        <w:gridSpan w:val="4"/>
                        <w:tcBorders>
                          <w:bottom w:val="single" w:sz="2" w:space="0" w:color="000000"/>
                        </w:tcBorders>
                      </w:tcPr>
                      <w:p>
                        <w:pPr>
                          <w:pStyle w:val="TableParagraph"/>
                          <w:tabs>
                            <w:tab w:pos="338" w:val="left" w:leader="none"/>
                            <w:tab w:pos="1567" w:val="left" w:leader="none"/>
                            <w:tab w:pos="2661" w:val="left" w:leader="none"/>
                            <w:tab w:pos="3707" w:val="left" w:leader="none"/>
                            <w:tab w:pos="4588" w:val="left" w:leader="none"/>
                          </w:tabs>
                          <w:spacing w:line="204" w:lineRule="exact" w:before="17"/>
                          <w:ind w:left="-5"/>
                          <w:rPr>
                            <w:rFonts w:ascii="Calibri"/>
                            <w:sz w:val="17"/>
                          </w:rPr>
                        </w:pPr>
                        <w:r>
                          <w:rPr>
                            <w:rFonts w:ascii="Calibri"/>
                            <w:w w:val="104"/>
                            <w:position w:val="1"/>
                            <w:sz w:val="17"/>
                            <w:u w:val="single"/>
                          </w:rPr>
                          <w:t> </w:t>
                        </w:r>
                        <w:r>
                          <w:rPr>
                            <w:rFonts w:ascii="Calibri"/>
                            <w:position w:val="1"/>
                            <w:sz w:val="17"/>
                            <w:u w:val="single"/>
                          </w:rPr>
                          <w:tab/>
                        </w:r>
                        <w:r>
                          <w:rPr>
                            <w:rFonts w:ascii="Calibri"/>
                            <w:w w:val="105"/>
                            <w:position w:val="1"/>
                            <w:sz w:val="17"/>
                            <w:u w:val="single"/>
                          </w:rPr>
                          <w:t>1,375,737</w:t>
                          <w:tab/>
                          <w:t>726,109</w:t>
                          <w:tab/>
                          <w:t>649,628</w:t>
                          <w:tab/>
                        </w:r>
                        <w:r>
                          <w:rPr>
                            <w:rFonts w:ascii="Calibri"/>
                            <w:w w:val="105"/>
                            <w:sz w:val="17"/>
                            <w:u w:val="single"/>
                          </w:rPr>
                          <w:t>89.5%</w:t>
                        </w:r>
                        <w:r>
                          <w:rPr>
                            <w:rFonts w:ascii="Calibri"/>
                            <w:sz w:val="17"/>
                            <w:u w:val="single"/>
                          </w:rPr>
                          <w:tab/>
                        </w:r>
                      </w:p>
                    </w:tc>
                  </w:tr>
                  <w:tr>
                    <w:trPr>
                      <w:trHeight w:val="246" w:hRule="atLeast"/>
                    </w:trPr>
                    <w:tc>
                      <w:tcPr>
                        <w:tcW w:w="3723" w:type="dxa"/>
                      </w:tcPr>
                      <w:p>
                        <w:pPr>
                          <w:pStyle w:val="TableParagraph"/>
                          <w:spacing w:line="207" w:lineRule="exact" w:before="19"/>
                          <w:ind w:left="306"/>
                          <w:rPr>
                            <w:rFonts w:ascii="Calibri"/>
                            <w:sz w:val="17"/>
                          </w:rPr>
                        </w:pPr>
                        <w:r>
                          <w:rPr>
                            <w:rFonts w:ascii="Calibri"/>
                            <w:w w:val="105"/>
                            <w:sz w:val="17"/>
                          </w:rPr>
                          <w:t>Total Net Assets - Unrestricted</w:t>
                        </w:r>
                      </w:p>
                    </w:tc>
                    <w:tc>
                      <w:tcPr>
                        <w:tcW w:w="4590" w:type="dxa"/>
                        <w:gridSpan w:val="4"/>
                        <w:tcBorders>
                          <w:top w:val="single" w:sz="2" w:space="0" w:color="000000"/>
                          <w:bottom w:val="single" w:sz="4" w:space="0" w:color="000000"/>
                        </w:tcBorders>
                      </w:tcPr>
                      <w:p>
                        <w:pPr>
                          <w:pStyle w:val="TableParagraph"/>
                          <w:tabs>
                            <w:tab w:pos="2435" w:val="left" w:leader="none"/>
                            <w:tab w:pos="3682" w:val="left" w:leader="none"/>
                            <w:tab w:pos="4582" w:val="left" w:leader="none"/>
                          </w:tabs>
                          <w:spacing w:line="211" w:lineRule="exact" w:before="15"/>
                          <w:ind w:left="2"/>
                          <w:rPr>
                            <w:rFonts w:ascii="Calibri"/>
                            <w:sz w:val="17"/>
                          </w:rPr>
                        </w:pPr>
                        <w:r>
                          <w:rPr>
                            <w:rFonts w:ascii="Calibri"/>
                            <w:color w:val="FF0000"/>
                            <w:spacing w:val="2"/>
                            <w:w w:val="104"/>
                            <w:position w:val="1"/>
                            <w:sz w:val="17"/>
                            <w:u w:val="double" w:color="000000"/>
                          </w:rPr>
                          <w:t> </w:t>
                        </w:r>
                        <w:r>
                          <w:rPr>
                            <w:rFonts w:ascii="Calibri"/>
                            <w:color w:val="FF0000"/>
                            <w:w w:val="105"/>
                            <w:position w:val="1"/>
                            <w:sz w:val="17"/>
                            <w:u w:val="double" w:color="000000"/>
                          </w:rPr>
                          <w:t>(252,283,</w:t>
                        </w:r>
                        <w:r>
                          <w:rPr>
                            <w:rFonts w:ascii="Calibri"/>
                            <w:color w:val="FF0000"/>
                            <w:w w:val="105"/>
                            <w:position w:val="1"/>
                            <w:sz w:val="17"/>
                            <w:u w:val="single" w:color="000000"/>
                          </w:rPr>
                          <w:t>187</w:t>
                        </w:r>
                        <w:r>
                          <w:rPr>
                            <w:rFonts w:ascii="Calibri"/>
                            <w:color w:val="FF0000"/>
                            <w:w w:val="105"/>
                            <w:position w:val="1"/>
                            <w:sz w:val="17"/>
                          </w:rPr>
                          <w:t>)</w:t>
                        </w:r>
                        <w:r>
                          <w:rPr>
                            <w:rFonts w:ascii="Calibri"/>
                            <w:color w:val="FF0000"/>
                            <w:spacing w:val="34"/>
                            <w:w w:val="105"/>
                            <w:position w:val="1"/>
                            <w:sz w:val="17"/>
                          </w:rPr>
                          <w:t> </w:t>
                        </w:r>
                        <w:r>
                          <w:rPr>
                            <w:rFonts w:ascii="Calibri"/>
                            <w:color w:val="FF0000"/>
                            <w:w w:val="105"/>
                            <w:position w:val="1"/>
                            <w:sz w:val="17"/>
                          </w:rPr>
                          <w:t>(296,471,</w:t>
                        </w:r>
                        <w:r>
                          <w:rPr>
                            <w:rFonts w:ascii="Calibri"/>
                            <w:color w:val="FF0000"/>
                            <w:w w:val="105"/>
                            <w:position w:val="1"/>
                            <w:sz w:val="17"/>
                            <w:u w:val="single" w:color="000000"/>
                          </w:rPr>
                          <w:t>090</w:t>
                        </w:r>
                        <w:r>
                          <w:rPr>
                            <w:rFonts w:ascii="Calibri"/>
                            <w:color w:val="FF0000"/>
                            <w:w w:val="105"/>
                            <w:position w:val="1"/>
                            <w:sz w:val="17"/>
                          </w:rPr>
                          <w:t>)</w:t>
                          <w:tab/>
                        </w:r>
                        <w:r>
                          <w:rPr>
                            <w:rFonts w:ascii="Calibri"/>
                            <w:w w:val="105"/>
                            <w:position w:val="1"/>
                            <w:sz w:val="17"/>
                          </w:rPr>
                          <w:t>44,187,</w:t>
                        </w:r>
                        <w:r>
                          <w:rPr>
                            <w:rFonts w:ascii="Calibri"/>
                            <w:w w:val="105"/>
                            <w:position w:val="1"/>
                            <w:sz w:val="17"/>
                            <w:u w:val="single"/>
                          </w:rPr>
                          <w:t>90</w:t>
                        </w:r>
                        <w:r>
                          <w:rPr>
                            <w:rFonts w:ascii="Calibri"/>
                            <w:w w:val="105"/>
                            <w:position w:val="1"/>
                            <w:sz w:val="17"/>
                          </w:rPr>
                          <w:t>2</w:t>
                          <w:tab/>
                        </w:r>
                        <w:r>
                          <w:rPr>
                            <w:rFonts w:ascii="Calibri"/>
                            <w:w w:val="105"/>
                            <w:sz w:val="17"/>
                          </w:rPr>
                          <w:t>-14.</w:t>
                        </w:r>
                        <w:r>
                          <w:rPr>
                            <w:rFonts w:ascii="Calibri"/>
                            <w:w w:val="105"/>
                            <w:sz w:val="17"/>
                            <w:u w:val="single"/>
                          </w:rPr>
                          <w:t>9</w:t>
                        </w:r>
                        <w:r>
                          <w:rPr>
                            <w:rFonts w:ascii="Calibri"/>
                            <w:w w:val="105"/>
                            <w:sz w:val="17"/>
                          </w:rPr>
                          <w:t>%</w:t>
                        </w:r>
                        <w:r>
                          <w:rPr>
                            <w:rFonts w:ascii="Calibri"/>
                            <w:sz w:val="17"/>
                          </w:rPr>
                          <w:tab/>
                        </w:r>
                      </w:p>
                    </w:tc>
                  </w:tr>
                  <w:tr>
                    <w:trPr>
                      <w:trHeight w:val="358" w:hRule="atLeast"/>
                    </w:trPr>
                    <w:tc>
                      <w:tcPr>
                        <w:tcW w:w="3723" w:type="dxa"/>
                      </w:tcPr>
                      <w:p>
                        <w:pPr>
                          <w:pStyle w:val="TableParagraph"/>
                          <w:spacing w:before="129"/>
                          <w:ind w:left="50"/>
                          <w:rPr>
                            <w:rFonts w:ascii="Calibri"/>
                            <w:sz w:val="17"/>
                          </w:rPr>
                        </w:pPr>
                        <w:r>
                          <w:rPr>
                            <w:rFonts w:ascii="Calibri"/>
                            <w:w w:val="105"/>
                            <w:sz w:val="17"/>
                          </w:rPr>
                          <w:t>Net Assets - Invested in Capital Assets</w:t>
                        </w:r>
                      </w:p>
                    </w:tc>
                    <w:tc>
                      <w:tcPr>
                        <w:tcW w:w="4590" w:type="dxa"/>
                        <w:gridSpan w:val="4"/>
                        <w:tcBorders>
                          <w:top w:val="single" w:sz="4" w:space="0" w:color="000000"/>
                        </w:tcBorders>
                      </w:tcPr>
                      <w:p>
                        <w:pPr>
                          <w:pStyle w:val="TableParagraph"/>
                          <w:rPr>
                            <w:rFonts w:ascii="Times New Roman"/>
                            <w:sz w:val="18"/>
                          </w:rPr>
                        </w:pPr>
                      </w:p>
                    </w:tc>
                  </w:tr>
                  <w:tr>
                    <w:trPr>
                      <w:trHeight w:val="227" w:hRule="atLeast"/>
                    </w:trPr>
                    <w:tc>
                      <w:tcPr>
                        <w:tcW w:w="3723" w:type="dxa"/>
                      </w:tcPr>
                      <w:p>
                        <w:pPr>
                          <w:pStyle w:val="TableParagraph"/>
                          <w:spacing w:line="192" w:lineRule="exact" w:before="15"/>
                          <w:ind w:left="178"/>
                          <w:rPr>
                            <w:rFonts w:ascii="Calibri"/>
                            <w:sz w:val="17"/>
                          </w:rPr>
                        </w:pPr>
                        <w:r>
                          <w:rPr>
                            <w:rFonts w:ascii="Calibri"/>
                            <w:w w:val="105"/>
                            <w:sz w:val="17"/>
                          </w:rPr>
                          <w:t>Invested in Capital Assets - Beginning Balance</w:t>
                        </w:r>
                      </w:p>
                    </w:tc>
                    <w:tc>
                      <w:tcPr>
                        <w:tcW w:w="1158" w:type="dxa"/>
                      </w:tcPr>
                      <w:p>
                        <w:pPr>
                          <w:pStyle w:val="TableParagraph"/>
                          <w:spacing w:line="192" w:lineRule="exact" w:before="15"/>
                          <w:ind w:right="90"/>
                          <w:jc w:val="right"/>
                          <w:rPr>
                            <w:rFonts w:ascii="Calibri"/>
                            <w:sz w:val="17"/>
                          </w:rPr>
                        </w:pPr>
                        <w:r>
                          <w:rPr>
                            <w:rFonts w:ascii="Calibri"/>
                            <w:sz w:val="17"/>
                          </w:rPr>
                          <w:t>128,096,950</w:t>
                        </w:r>
                      </w:p>
                    </w:tc>
                    <w:tc>
                      <w:tcPr>
                        <w:tcW w:w="1141" w:type="dxa"/>
                      </w:tcPr>
                      <w:p>
                        <w:pPr>
                          <w:pStyle w:val="TableParagraph"/>
                          <w:spacing w:line="192" w:lineRule="exact" w:before="15"/>
                          <w:ind w:left="183"/>
                          <w:rPr>
                            <w:rFonts w:ascii="Calibri"/>
                            <w:sz w:val="17"/>
                          </w:rPr>
                        </w:pPr>
                        <w:r>
                          <w:rPr>
                            <w:rFonts w:ascii="Calibri"/>
                            <w:w w:val="105"/>
                            <w:sz w:val="17"/>
                          </w:rPr>
                          <w:t>81,206,183</w:t>
                        </w:r>
                      </w:p>
                    </w:tc>
                    <w:tc>
                      <w:tcPr>
                        <w:tcW w:w="1138" w:type="dxa"/>
                      </w:tcPr>
                      <w:p>
                        <w:pPr>
                          <w:pStyle w:val="TableParagraph"/>
                          <w:spacing w:line="192" w:lineRule="exact" w:before="15"/>
                          <w:ind w:left="121" w:right="164"/>
                          <w:jc w:val="center"/>
                          <w:rPr>
                            <w:rFonts w:ascii="Calibri"/>
                            <w:sz w:val="17"/>
                          </w:rPr>
                        </w:pPr>
                        <w:r>
                          <w:rPr>
                            <w:rFonts w:ascii="Calibri"/>
                            <w:w w:val="105"/>
                            <w:sz w:val="17"/>
                          </w:rPr>
                          <w:t>46,890,768</w:t>
                        </w:r>
                      </w:p>
                    </w:tc>
                    <w:tc>
                      <w:tcPr>
                        <w:tcW w:w="1153" w:type="dxa"/>
                      </w:tcPr>
                      <w:p>
                        <w:pPr>
                          <w:pStyle w:val="TableParagraph"/>
                          <w:spacing w:line="186" w:lineRule="exact" w:before="21"/>
                          <w:ind w:left="270"/>
                          <w:rPr>
                            <w:rFonts w:ascii="Calibri"/>
                            <w:sz w:val="17"/>
                          </w:rPr>
                        </w:pPr>
                        <w:r>
                          <w:rPr>
                            <w:rFonts w:ascii="Calibri"/>
                            <w:w w:val="105"/>
                            <w:sz w:val="17"/>
                          </w:rPr>
                          <w:t>57.7%</w:t>
                        </w:r>
                      </w:p>
                    </w:tc>
                  </w:tr>
                </w:tbl>
                <w:p>
                  <w:pPr>
                    <w:pStyle w:val="BodyText"/>
                  </w:pPr>
                </w:p>
              </w:txbxContent>
            </v:textbox>
            <w10:wrap type="none"/>
          </v:shape>
        </w:pict>
      </w:r>
      <w:r>
        <w:rPr>
          <w:w w:val="105"/>
          <w:position w:val="1"/>
          <w:sz w:val="17"/>
        </w:rPr>
        <w:t>Total</w:t>
      </w:r>
      <w:r>
        <w:rPr>
          <w:spacing w:val="-1"/>
          <w:w w:val="105"/>
          <w:position w:val="1"/>
          <w:sz w:val="17"/>
        </w:rPr>
        <w:t> </w:t>
      </w:r>
      <w:r>
        <w:rPr>
          <w:w w:val="105"/>
          <w:position w:val="1"/>
          <w:sz w:val="17"/>
        </w:rPr>
        <w:t>Current</w:t>
      </w:r>
      <w:r>
        <w:rPr>
          <w:spacing w:val="-1"/>
          <w:w w:val="105"/>
          <w:position w:val="1"/>
          <w:sz w:val="17"/>
        </w:rPr>
        <w:t> </w:t>
      </w:r>
      <w:r>
        <w:rPr>
          <w:w w:val="105"/>
          <w:position w:val="1"/>
          <w:sz w:val="17"/>
        </w:rPr>
        <w:t>Liabilities</w:t>
        <w:tab/>
      </w:r>
      <w:r>
        <w:rPr>
          <w:w w:val="105"/>
          <w:position w:val="1"/>
          <w:sz w:val="17"/>
          <w:u w:val="double"/>
        </w:rPr>
        <w:t> </w:t>
        <w:tab/>
        <w:t>6,772,</w:t>
      </w:r>
      <w:r>
        <w:rPr>
          <w:w w:val="105"/>
          <w:position w:val="1"/>
          <w:sz w:val="17"/>
          <w:u w:val="single"/>
        </w:rPr>
        <w:t>44</w:t>
      </w:r>
      <w:r>
        <w:rPr>
          <w:w w:val="105"/>
          <w:position w:val="1"/>
          <w:sz w:val="17"/>
        </w:rPr>
        <w:t>0</w:t>
        <w:tab/>
        <w:t>6,068,</w:t>
      </w:r>
      <w:r>
        <w:rPr>
          <w:w w:val="105"/>
          <w:position w:val="1"/>
          <w:sz w:val="17"/>
          <w:u w:val="single"/>
        </w:rPr>
        <w:t>10</w:t>
      </w:r>
      <w:r>
        <w:rPr>
          <w:w w:val="105"/>
          <w:position w:val="1"/>
          <w:sz w:val="17"/>
        </w:rPr>
        <w:t>5</w:t>
        <w:tab/>
        <w:t>704,</w:t>
      </w:r>
      <w:r>
        <w:rPr>
          <w:w w:val="105"/>
          <w:position w:val="1"/>
          <w:sz w:val="17"/>
          <w:u w:val="single"/>
        </w:rPr>
        <w:t>33</w:t>
      </w:r>
      <w:r>
        <w:rPr>
          <w:w w:val="105"/>
          <w:position w:val="1"/>
          <w:sz w:val="17"/>
        </w:rPr>
        <w:t>4</w:t>
        <w:tab/>
      </w:r>
      <w:r>
        <w:rPr>
          <w:w w:val="105"/>
          <w:sz w:val="17"/>
        </w:rPr>
        <w:t>11.</w:t>
      </w:r>
      <w:r>
        <w:rPr>
          <w:w w:val="105"/>
          <w:sz w:val="17"/>
          <w:u w:val="single"/>
        </w:rPr>
        <w:t>6</w:t>
      </w:r>
      <w:r>
        <w:rPr>
          <w:w w:val="105"/>
          <w:sz w:val="17"/>
        </w:rPr>
        <w:t>%</w:t>
        <w:tab/>
        <w:t> Non-Current</w:t>
      </w:r>
      <w:r>
        <w:rPr>
          <w:spacing w:val="3"/>
          <w:w w:val="105"/>
          <w:sz w:val="17"/>
        </w:rPr>
        <w:t> </w:t>
      </w:r>
      <w:r>
        <w:rPr>
          <w:w w:val="105"/>
          <w:sz w:val="17"/>
        </w:rPr>
        <w:t>Liabilities</w:t>
      </w:r>
    </w:p>
    <w:p>
      <w:pPr>
        <w:spacing w:line="240" w:lineRule="auto" w:before="11"/>
        <w:rPr>
          <w:sz w:val="13"/>
        </w:rPr>
      </w:pPr>
    </w:p>
    <w:p>
      <w:pPr>
        <w:spacing w:line="240" w:lineRule="auto" w:before="0"/>
        <w:rPr>
          <w:sz w:val="20"/>
        </w:rPr>
      </w:pPr>
    </w:p>
    <w:p>
      <w:pPr>
        <w:spacing w:line="240" w:lineRule="auto" w:before="0"/>
        <w:rPr>
          <w:sz w:val="24"/>
        </w:rPr>
      </w:pPr>
      <w:r>
        <w:rPr/>
        <w:pict>
          <v:group style="position:absolute;margin-left:450.588867pt;margin-top:16.619072pt;width:.1pt;height:.35pt;mso-position-horizontal-relative:page;mso-position-vertical-relative:paragraph;z-index:-251544576;mso-wrap-distance-left:0;mso-wrap-distance-right:0" coordorigin="9012,332" coordsize="2,7">
            <v:line style="position:absolute" from="9012,332" to="9012,332" stroked="true" strokeweight="0pt" strokecolor="#dfdfdf">
              <v:stroke dashstyle="solid"/>
            </v:line>
            <v:shape style="position:absolute;left:9011;top:332;width:2;height:7" coordorigin="9012,332" coordsize="0,7" path="m9012,338l9012,332,9012,338xe" filled="true" fillcolor="#dfdfdf" stroked="false">
              <v:path arrowok="t"/>
              <v:fill type="solid"/>
            </v:shape>
            <w10:wrap type="topAndBottom"/>
          </v:group>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14"/>
        </w:rPr>
      </w:pPr>
      <w:r>
        <w:rPr/>
        <w:pict>
          <v:group style="position:absolute;margin-left:450.588867pt;margin-top:10.554162pt;width:.1pt;height:.35pt;mso-position-horizontal-relative:page;mso-position-vertical-relative:paragraph;z-index:-251543552;mso-wrap-distance-left:0;mso-wrap-distance-right:0" coordorigin="9012,211" coordsize="2,7">
            <v:line style="position:absolute" from="9012,211" to="9012,211" stroked="true" strokeweight="0pt" strokecolor="#dfdfdf">
              <v:stroke dashstyle="solid"/>
            </v:line>
            <v:shape style="position:absolute;left:9011;top:211;width:2;height:7" coordorigin="9012,211" coordsize="0,7" path="m9012,217l9012,211,9012,217xe" filled="true" fillcolor="#dfdfdf" stroked="false">
              <v:path arrowok="t"/>
              <v:fill type="solid"/>
            </v:shape>
            <w10:wrap type="topAndBottom"/>
          </v:group>
        </w:pict>
      </w:r>
      <w:r>
        <w:rPr/>
        <w:pict>
          <v:group style="position:absolute;margin-left:450.588867pt;margin-top:22.78693pt;width:.1pt;height:.35pt;mso-position-horizontal-relative:page;mso-position-vertical-relative:paragraph;z-index:-251542528;mso-wrap-distance-left:0;mso-wrap-distance-right:0" coordorigin="9012,456" coordsize="2,7">
            <v:line style="position:absolute" from="9012,456" to="9012,456" stroked="true" strokeweight="0pt" strokecolor="#dfdfdf">
              <v:stroke dashstyle="solid"/>
            </v:line>
            <v:shape style="position:absolute;left:9011;top:455;width:2;height:7" coordorigin="9012,456" coordsize="0,7" path="m9012,462l9012,456,9012,462xe" filled="true" fillcolor="#dfdfdf" stroked="false">
              <v:path arrowok="t"/>
              <v:fill type="solid"/>
            </v:shape>
            <w10:wrap type="topAndBottom"/>
          </v:group>
        </w:pict>
      </w:r>
      <w:r>
        <w:rPr/>
        <w:pict>
          <v:group style="position:absolute;margin-left:450.588867pt;margin-top:35.019699pt;width:.1pt;height:.35pt;mso-position-horizontal-relative:page;mso-position-vertical-relative:paragraph;z-index:-251541504;mso-wrap-distance-left:0;mso-wrap-distance-right:0" coordorigin="9012,700" coordsize="2,7">
            <v:line style="position:absolute" from="9012,700" to="9012,700" stroked="true" strokeweight="0pt" strokecolor="#dfdfdf">
              <v:stroke dashstyle="solid"/>
            </v:line>
            <v:shape style="position:absolute;left:9011;top:700;width:2;height:7" coordorigin="9012,700" coordsize="0,7" path="m9012,707l9012,700,9012,707xe" filled="true" fillcolor="#dfdfdf" stroked="false">
              <v:path arrowok="t"/>
              <v:fill type="solid"/>
            </v:shape>
            <w10:wrap type="topAndBottom"/>
          </v:group>
        </w:pict>
      </w:r>
    </w:p>
    <w:p>
      <w:pPr>
        <w:spacing w:line="240" w:lineRule="auto" w:before="11"/>
        <w:rPr>
          <w:sz w:val="13"/>
        </w:rPr>
      </w:pPr>
    </w:p>
    <w:p>
      <w:pPr>
        <w:spacing w:line="240" w:lineRule="auto" w:before="11"/>
        <w:rPr>
          <w:sz w:val="13"/>
        </w:rPr>
      </w:pPr>
    </w:p>
    <w:p>
      <w:pPr>
        <w:spacing w:line="240" w:lineRule="auto" w:before="0"/>
        <w:rPr>
          <w:sz w:val="20"/>
        </w:rPr>
      </w:pPr>
    </w:p>
    <w:p>
      <w:pPr>
        <w:spacing w:line="240" w:lineRule="auto" w:before="0"/>
        <w:rPr>
          <w:sz w:val="24"/>
        </w:rPr>
      </w:pPr>
      <w:r>
        <w:rPr/>
        <w:pict>
          <v:group style="position:absolute;margin-left:450.588867pt;margin-top:16.619072pt;width:.1pt;height:.35pt;mso-position-horizontal-relative:page;mso-position-vertical-relative:paragraph;z-index:-251540480;mso-wrap-distance-left:0;mso-wrap-distance-right:0" coordorigin="9012,332" coordsize="2,7">
            <v:line style="position:absolute" from="9012,332" to="9012,332" stroked="true" strokeweight="0pt" strokecolor="#dfdfdf">
              <v:stroke dashstyle="solid"/>
            </v:line>
            <v:shape style="position:absolute;left:9011;top:332;width:2;height:7" coordorigin="9012,332" coordsize="0,7" path="m9012,338l9012,332,9012,338xe" filled="true" fillcolor="#dfdfdf" stroked="false">
              <v:path arrowok="t"/>
              <v:fill type="solid"/>
            </v:shape>
            <w10:wrap type="topAndBottom"/>
          </v:group>
        </w:pict>
      </w:r>
      <w:r>
        <w:rPr/>
        <w:pict>
          <v:group style="position:absolute;margin-left:450.588867pt;margin-top:28.851841pt;width:.1pt;height:.35pt;mso-position-horizontal-relative:page;mso-position-vertical-relative:paragraph;z-index:-251539456;mso-wrap-distance-left:0;mso-wrap-distance-right:0" coordorigin="9012,577" coordsize="2,7">
            <v:line style="position:absolute" from="9012,577" to="9012,577" stroked="true" strokeweight="0pt" strokecolor="#dfdfdf">
              <v:stroke dashstyle="solid"/>
            </v:line>
            <v:shape style="position:absolute;left:9011;top:577;width:2;height:7" coordorigin="9012,577" coordsize="0,7" path="m9012,583l9012,577,9012,583xe" filled="true" fillcolor="#dfdfdf" stroked="false">
              <v:path arrowok="t"/>
              <v:fill type="solid"/>
            </v:shape>
            <w10:wrap type="topAndBottom"/>
          </v:group>
        </w:pict>
      </w:r>
      <w:r>
        <w:rPr/>
        <w:pict>
          <v:group style="position:absolute;margin-left:450.588867pt;margin-top:41.08461pt;width:.1pt;height:.35pt;mso-position-horizontal-relative:page;mso-position-vertical-relative:paragraph;z-index:-251538432;mso-wrap-distance-left:0;mso-wrap-distance-right:0" coordorigin="9012,822" coordsize="2,7">
            <v:line style="position:absolute" from="9012,822" to="9012,822" stroked="true" strokeweight="0pt" strokecolor="#dfdfdf">
              <v:stroke dashstyle="solid"/>
            </v:line>
            <v:shape style="position:absolute;left:9011;top:821;width:2;height:7" coordorigin="9012,822" coordsize="0,7" path="m9012,828l9012,822,9012,828xe" filled="true" fillcolor="#dfdfdf" stroked="false">
              <v:path arrowok="t"/>
              <v:fill type="solid"/>
            </v:shape>
            <w10:wrap type="topAndBottom"/>
          </v:group>
        </w:pict>
      </w:r>
    </w:p>
    <w:p>
      <w:pPr>
        <w:spacing w:line="240" w:lineRule="auto" w:before="11"/>
        <w:rPr>
          <w:sz w:val="13"/>
        </w:rPr>
      </w:pPr>
    </w:p>
    <w:p>
      <w:pPr>
        <w:spacing w:line="240" w:lineRule="auto" w:before="11"/>
        <w:rPr>
          <w:sz w:val="13"/>
        </w:rPr>
      </w:pPr>
    </w:p>
    <w:p>
      <w:pPr>
        <w:tabs>
          <w:tab w:pos="3859" w:val="left" w:leader="none"/>
          <w:tab w:pos="5186" w:val="left" w:leader="none"/>
          <w:tab w:pos="6280" w:val="left" w:leader="none"/>
          <w:tab w:pos="7571" w:val="left" w:leader="none"/>
          <w:tab w:pos="8445" w:val="left" w:leader="none"/>
        </w:tabs>
        <w:spacing w:line="271" w:lineRule="auto" w:before="0"/>
        <w:ind w:left="447" w:right="2666" w:hanging="129"/>
        <w:jc w:val="left"/>
        <w:rPr>
          <w:sz w:val="17"/>
        </w:rPr>
      </w:pPr>
      <w:r>
        <w:rPr>
          <w:w w:val="105"/>
          <w:position w:val="1"/>
          <w:sz w:val="17"/>
        </w:rPr>
        <w:t>Change in Investment in</w:t>
      </w:r>
      <w:r>
        <w:rPr>
          <w:spacing w:val="-21"/>
          <w:w w:val="105"/>
          <w:position w:val="1"/>
          <w:sz w:val="17"/>
        </w:rPr>
        <w:t> </w:t>
      </w:r>
      <w:r>
        <w:rPr>
          <w:w w:val="105"/>
          <w:position w:val="1"/>
          <w:sz w:val="17"/>
        </w:rPr>
        <w:t>Capital</w:t>
      </w:r>
      <w:r>
        <w:rPr>
          <w:spacing w:val="-2"/>
          <w:w w:val="105"/>
          <w:position w:val="1"/>
          <w:sz w:val="17"/>
        </w:rPr>
        <w:t> </w:t>
      </w:r>
      <w:r>
        <w:rPr>
          <w:w w:val="105"/>
          <w:position w:val="1"/>
          <w:sz w:val="17"/>
        </w:rPr>
        <w:t>Assets</w:t>
        <w:tab/>
      </w:r>
      <w:r>
        <w:rPr>
          <w:color w:val="FF0000"/>
          <w:w w:val="105"/>
          <w:position w:val="1"/>
          <w:sz w:val="17"/>
          <w:u w:val="single" w:color="000000"/>
        </w:rPr>
        <w:t> (2,665,083)</w:t>
        <w:tab/>
        <w:t>(1,538,963)</w:t>
        <w:tab/>
        <w:t>(1,126,119)</w:t>
        <w:tab/>
      </w:r>
      <w:r>
        <w:rPr>
          <w:w w:val="105"/>
          <w:sz w:val="17"/>
          <w:u w:val="single"/>
        </w:rPr>
        <w:t>73.2%</w:t>
        <w:tab/>
      </w:r>
      <w:r>
        <w:rPr>
          <w:w w:val="105"/>
          <w:sz w:val="17"/>
        </w:rPr>
        <w:t> </w:t>
      </w:r>
      <w:r>
        <w:rPr>
          <w:w w:val="105"/>
          <w:position w:val="1"/>
          <w:sz w:val="17"/>
        </w:rPr>
        <w:t>Total Net Assets - Invested in</w:t>
      </w:r>
      <w:r>
        <w:rPr>
          <w:spacing w:val="-20"/>
          <w:w w:val="105"/>
          <w:position w:val="1"/>
          <w:sz w:val="17"/>
        </w:rPr>
        <w:t> </w:t>
      </w:r>
      <w:r>
        <w:rPr>
          <w:w w:val="105"/>
          <w:position w:val="1"/>
          <w:sz w:val="17"/>
        </w:rPr>
        <w:t>Capital</w:t>
      </w:r>
      <w:r>
        <w:rPr>
          <w:spacing w:val="-1"/>
          <w:w w:val="105"/>
          <w:position w:val="1"/>
          <w:sz w:val="17"/>
        </w:rPr>
        <w:t> </w:t>
      </w:r>
      <w:r>
        <w:rPr>
          <w:w w:val="105"/>
          <w:position w:val="1"/>
          <w:sz w:val="17"/>
        </w:rPr>
        <w:t>Assets</w:t>
        <w:tab/>
      </w:r>
      <w:r>
        <w:rPr>
          <w:w w:val="105"/>
          <w:position w:val="1"/>
          <w:sz w:val="17"/>
          <w:u w:val="double"/>
        </w:rPr>
        <w:t> 125,431,</w:t>
      </w:r>
      <w:r>
        <w:rPr>
          <w:w w:val="105"/>
          <w:position w:val="1"/>
          <w:sz w:val="17"/>
          <w:u w:val="single"/>
        </w:rPr>
        <w:t>86</w:t>
      </w:r>
      <w:r>
        <w:rPr>
          <w:w w:val="105"/>
          <w:position w:val="1"/>
          <w:sz w:val="17"/>
        </w:rPr>
        <w:t>8</w:t>
        <w:tab/>
        <w:t>79,667,</w:t>
      </w:r>
      <w:r>
        <w:rPr>
          <w:w w:val="105"/>
          <w:position w:val="1"/>
          <w:sz w:val="17"/>
          <w:u w:val="single"/>
        </w:rPr>
        <w:t>21</w:t>
      </w:r>
      <w:r>
        <w:rPr>
          <w:w w:val="105"/>
          <w:position w:val="1"/>
          <w:sz w:val="17"/>
        </w:rPr>
        <w:t>9</w:t>
        <w:tab/>
        <w:t>45,764,</w:t>
      </w:r>
      <w:r>
        <w:rPr>
          <w:w w:val="105"/>
          <w:position w:val="1"/>
          <w:sz w:val="17"/>
          <w:u w:val="single"/>
        </w:rPr>
        <w:t>64</w:t>
      </w:r>
      <w:r>
        <w:rPr>
          <w:w w:val="105"/>
          <w:position w:val="1"/>
          <w:sz w:val="17"/>
        </w:rPr>
        <w:t>8</w:t>
        <w:tab/>
      </w:r>
      <w:r>
        <w:rPr>
          <w:w w:val="105"/>
          <w:sz w:val="17"/>
        </w:rPr>
        <w:t>57.</w:t>
      </w:r>
      <w:r>
        <w:rPr>
          <w:w w:val="105"/>
          <w:sz w:val="17"/>
          <w:u w:val="single"/>
        </w:rPr>
        <w:t>4</w:t>
      </w:r>
      <w:r>
        <w:rPr>
          <w:w w:val="105"/>
          <w:sz w:val="17"/>
        </w:rPr>
        <w:t>%</w:t>
      </w:r>
      <w:r>
        <w:rPr>
          <w:sz w:val="17"/>
        </w:rPr>
        <w:tab/>
      </w:r>
    </w:p>
    <w:p>
      <w:pPr>
        <w:spacing w:line="20" w:lineRule="exact"/>
        <w:ind w:left="3861" w:right="0" w:firstLine="0"/>
        <w:rPr>
          <w:sz w:val="2"/>
        </w:rPr>
      </w:pPr>
      <w:r>
        <w:rPr>
          <w:sz w:val="2"/>
        </w:rPr>
        <w:pict>
          <v:group style="width:229.35pt;height:.65pt;mso-position-horizontal-relative:char;mso-position-vertical-relative:line" coordorigin="0,0" coordsize="4587,13">
            <v:line style="position:absolute" from="0,6" to="4580,6" stroked="true" strokeweight="0pt" strokecolor="#000000">
              <v:stroke dashstyle="solid"/>
            </v:line>
            <v:line style="position:absolute" from="0,9" to="4580,9" stroked="true" strokeweight=".305819pt" strokecolor="#000000">
              <v:stroke dashstyle="solid"/>
            </v:line>
            <v:line style="position:absolute" from="4586,0" to="4586,0" stroked="true" strokeweight="0pt" strokecolor="#dfdfdf">
              <v:stroke dashstyle="solid"/>
            </v:line>
            <v:shape style="position:absolute;left:4586;top:0;width:2;height:7" coordorigin="4586,0" coordsize="0,7" path="m4586,6l4586,0,4586,6xe" filled="true" fillcolor="#dfdfdf" stroked="false">
              <v:path arrowok="t"/>
              <v:fill type="solid"/>
            </v:shape>
          </v:group>
        </w:pict>
      </w:r>
      <w:r>
        <w:rPr>
          <w:sz w:val="2"/>
        </w:rPr>
      </w:r>
    </w:p>
    <w:p>
      <w:pPr>
        <w:spacing w:line="240" w:lineRule="auto" w:before="10"/>
        <w:rPr>
          <w:sz w:val="6"/>
        </w:rPr>
      </w:pPr>
    </w:p>
    <w:p>
      <w:pPr>
        <w:spacing w:line="20" w:lineRule="exact"/>
        <w:ind w:left="3855" w:right="0" w:firstLine="0"/>
        <w:rPr>
          <w:sz w:val="2"/>
        </w:rPr>
      </w:pPr>
      <w:r>
        <w:rPr>
          <w:sz w:val="2"/>
        </w:rPr>
        <w:pict>
          <v:group style="width:229.65pt;height:.35pt;mso-position-horizontal-relative:char;mso-position-vertical-relative:line" coordorigin="0,0" coordsize="4593,7">
            <v:line style="position:absolute" from="0,0" to="4592,0" stroked="true" strokeweight="0pt" strokecolor="#000000">
              <v:stroke dashstyle="solid"/>
            </v:line>
            <v:line style="position:absolute" from="0,3" to="4592,3" stroked="true" strokeweight=".305819pt" strokecolor="#000000">
              <v:stroke dashstyle="solid"/>
            </v:line>
            <v:line style="position:absolute" from="4592,0" to="4592,0" stroked="true" strokeweight="0pt" strokecolor="#dfdfdf">
              <v:stroke dashstyle="solid"/>
            </v:line>
            <v:shape style="position:absolute;left:4592;top:0;width:2;height:7" coordorigin="4592,0" coordsize="0,7" path="m4592,6l4592,0,4592,6xe" filled="true" fillcolor="#dfdfdf" stroked="false">
              <v:path arrowok="t"/>
              <v:fill type="solid"/>
            </v:shape>
          </v:group>
        </w:pict>
      </w:r>
      <w:r>
        <w:rPr>
          <w:sz w:val="2"/>
        </w:rPr>
      </w:r>
    </w:p>
    <w:p>
      <w:pPr>
        <w:tabs>
          <w:tab w:pos="6299" w:val="left" w:leader="none"/>
          <w:tab w:pos="7571" w:val="left" w:leader="none"/>
          <w:tab w:pos="8445" w:val="left" w:leader="none"/>
        </w:tabs>
        <w:spacing w:before="0" w:after="9"/>
        <w:ind w:left="190" w:right="0" w:firstLine="0"/>
        <w:jc w:val="left"/>
        <w:rPr>
          <w:sz w:val="17"/>
        </w:rPr>
      </w:pPr>
      <w:r>
        <w:rPr/>
        <w:pict>
          <v:group style="position:absolute;margin-left:220.975174pt;margin-top:-19.232044pt;width:229.65pt;height:.35pt;mso-position-horizontal-relative:page;mso-position-vertical-relative:paragraph;z-index:-266913792" coordorigin="4420,-385" coordsize="4593,7">
            <v:line style="position:absolute" from="4420,-385" to="9012,-385" stroked="true" strokeweight="0pt" strokecolor="#000000">
              <v:stroke dashstyle="solid"/>
            </v:line>
            <v:line style="position:absolute" from="9012,-385" to="9012,-385" stroked="true" strokeweight="0pt" strokecolor="#dfdfdf">
              <v:stroke dashstyle="solid"/>
            </v:line>
            <v:shape style="position:absolute;left:9011;top:-385;width:2;height:7" coordorigin="9012,-385" coordsize="0,7" path="m9012,-379l9012,-385,9012,-379xe" filled="true" fillcolor="#dfdfdf" stroked="false">
              <v:path arrowok="t"/>
              <v:fill type="solid"/>
            </v:shape>
            <w10:wrap type="none"/>
          </v:group>
        </w:pict>
      </w:r>
      <w:r>
        <w:rPr>
          <w:w w:val="105"/>
          <w:position w:val="1"/>
          <w:sz w:val="17"/>
        </w:rPr>
        <w:t>Total Liabilities, Deferred Inflows and Net Position </w:t>
      </w:r>
      <w:r>
        <w:rPr>
          <w:w w:val="105"/>
          <w:position w:val="1"/>
          <w:sz w:val="17"/>
          <w:u w:val="double"/>
        </w:rPr>
        <w:t>  </w:t>
      </w:r>
      <w:r>
        <w:rPr>
          <w:spacing w:val="31"/>
          <w:w w:val="105"/>
          <w:position w:val="1"/>
          <w:sz w:val="17"/>
          <w:u w:val="double"/>
        </w:rPr>
        <w:t> </w:t>
      </w:r>
      <w:r>
        <w:rPr>
          <w:w w:val="105"/>
          <w:position w:val="1"/>
          <w:sz w:val="17"/>
          <w:u w:val="double"/>
        </w:rPr>
        <w:t>197,623,</w:t>
      </w:r>
      <w:r>
        <w:rPr>
          <w:w w:val="105"/>
          <w:position w:val="1"/>
          <w:sz w:val="17"/>
          <w:u w:val="single"/>
        </w:rPr>
        <w:t>24</w:t>
      </w:r>
      <w:r>
        <w:rPr>
          <w:w w:val="105"/>
          <w:position w:val="1"/>
          <w:sz w:val="17"/>
        </w:rPr>
        <w:t>3   </w:t>
      </w:r>
      <w:r>
        <w:rPr>
          <w:spacing w:val="12"/>
          <w:w w:val="105"/>
          <w:position w:val="1"/>
          <w:sz w:val="17"/>
        </w:rPr>
        <w:t> </w:t>
      </w:r>
      <w:r>
        <w:rPr>
          <w:w w:val="105"/>
          <w:position w:val="1"/>
          <w:sz w:val="17"/>
        </w:rPr>
        <w:t>148,696,</w:t>
      </w:r>
      <w:r>
        <w:rPr>
          <w:w w:val="105"/>
          <w:position w:val="1"/>
          <w:sz w:val="17"/>
          <w:u w:val="single"/>
        </w:rPr>
        <w:t>77</w:t>
      </w:r>
      <w:r>
        <w:rPr>
          <w:w w:val="105"/>
          <w:position w:val="1"/>
          <w:sz w:val="17"/>
        </w:rPr>
        <w:t>1</w:t>
        <w:tab/>
        <w:t>48,926,</w:t>
      </w:r>
      <w:r>
        <w:rPr>
          <w:w w:val="105"/>
          <w:position w:val="1"/>
          <w:sz w:val="17"/>
          <w:u w:val="single"/>
        </w:rPr>
        <w:t>47</w:t>
      </w:r>
      <w:r>
        <w:rPr>
          <w:w w:val="105"/>
          <w:position w:val="1"/>
          <w:sz w:val="17"/>
        </w:rPr>
        <w:t>2</w:t>
        <w:tab/>
      </w:r>
      <w:r>
        <w:rPr>
          <w:w w:val="105"/>
          <w:sz w:val="17"/>
        </w:rPr>
        <w:t>32.</w:t>
      </w:r>
      <w:r>
        <w:rPr>
          <w:w w:val="105"/>
          <w:sz w:val="17"/>
          <w:u w:val="single"/>
        </w:rPr>
        <w:t>9</w:t>
      </w:r>
      <w:r>
        <w:rPr>
          <w:w w:val="105"/>
          <w:sz w:val="17"/>
        </w:rPr>
        <w:t>%</w:t>
      </w:r>
      <w:r>
        <w:rPr>
          <w:sz w:val="17"/>
        </w:rPr>
        <w:tab/>
      </w:r>
    </w:p>
    <w:p>
      <w:pPr>
        <w:tabs>
          <w:tab w:pos="3865" w:val="left" w:leader="none"/>
        </w:tabs>
        <w:spacing w:line="20" w:lineRule="exact"/>
        <w:ind w:left="160" w:right="0" w:firstLine="0"/>
        <w:rPr>
          <w:sz w:val="2"/>
        </w:rPr>
      </w:pPr>
      <w:r>
        <w:rPr>
          <w:sz w:val="2"/>
        </w:rPr>
        <w:pict>
          <v:group style="width:.35pt;height:.1pt;mso-position-horizontal-relative:char;mso-position-vertical-relative:line" coordorigin="0,0" coordsize="7,2">
            <v:shape style="position:absolute;left:0;top:0;width:7;height:2" coordorigin="0,0" coordsize="7,0" path="m6,0l0,0,6,0xe" filled="true" fillcolor="#dfdfdf" stroked="false">
              <v:path arrowok="t"/>
              <v:fill type="solid"/>
            </v:shape>
          </v:group>
        </w:pict>
      </w:r>
      <w:r>
        <w:rPr>
          <w:sz w:val="2"/>
        </w:rPr>
      </w:r>
      <w:r>
        <w:rPr>
          <w:sz w:val="2"/>
        </w:rPr>
        <w:tab/>
      </w:r>
      <w:r>
        <w:rPr>
          <w:sz w:val="2"/>
        </w:rPr>
        <w:pict>
          <v:group style="width:229.35pt;height:.35pt;mso-position-horizontal-relative:char;mso-position-vertical-relative:line" coordorigin="0,0" coordsize="4587,7">
            <v:line style="position:absolute" from="0,6" to="4580,6" stroked="true" strokeweight="0pt" strokecolor="#000000">
              <v:stroke dashstyle="solid"/>
            </v:line>
            <v:line style="position:absolute" from="0,6" to="4580,6" stroked="true" strokeweight=".000024pt" strokecolor="#000000">
              <v:stroke dashstyle="solid"/>
            </v:line>
            <v:line style="position:absolute" from="4586,0" to="4586,0" stroked="true" strokeweight="0pt" strokecolor="#dfdfdf">
              <v:stroke dashstyle="solid"/>
            </v:line>
            <v:shape style="position:absolute;left:4586;top:0;width:2;height:7" coordorigin="4586,0" coordsize="0,7" path="m4586,6l4586,0,4586,6xe" filled="true" fillcolor="#dfdfdf" stroked="false">
              <v:path arrowok="t"/>
              <v:fill type="solid"/>
            </v:shape>
          </v:group>
        </w:pict>
      </w:r>
      <w:r>
        <w:rPr>
          <w:sz w:val="2"/>
        </w:rPr>
      </w:r>
    </w:p>
    <w:p>
      <w:pPr>
        <w:spacing w:after="0" w:line="20" w:lineRule="exact"/>
        <w:rPr>
          <w:sz w:val="2"/>
        </w:rPr>
        <w:sectPr>
          <w:pgSz w:w="12240" w:h="15840"/>
          <w:pgMar w:header="790" w:footer="1252" w:top="1240" w:bottom="1440" w:left="560" w:right="560"/>
        </w:sectPr>
      </w:pPr>
    </w:p>
    <w:p>
      <w:pPr>
        <w:spacing w:line="240" w:lineRule="auto" w:before="2"/>
        <w:rPr>
          <w:sz w:val="12"/>
        </w:rPr>
      </w:pPr>
    </w:p>
    <w:p>
      <w:pPr>
        <w:spacing w:before="45"/>
        <w:ind w:left="160" w:right="0" w:firstLine="0"/>
        <w:jc w:val="left"/>
        <w:rPr>
          <w:sz w:val="28"/>
        </w:rPr>
      </w:pPr>
      <w:r>
        <w:rPr>
          <w:color w:val="000099"/>
          <w:sz w:val="28"/>
        </w:rPr>
        <w:t>STATEMENT OF NEW POSTION</w:t>
      </w:r>
    </w:p>
    <w:p>
      <w:pPr>
        <w:spacing w:line="240" w:lineRule="auto" w:before="10"/>
        <w:rPr>
          <w:sz w:val="21"/>
        </w:rPr>
      </w:pPr>
    </w:p>
    <w:p>
      <w:pPr>
        <w:spacing w:before="0"/>
        <w:ind w:left="160" w:right="0" w:hanging="1"/>
        <w:jc w:val="left"/>
        <w:rPr>
          <w:sz w:val="22"/>
        </w:rPr>
      </w:pPr>
      <w:r>
        <w:rPr>
          <w:sz w:val="22"/>
        </w:rPr>
        <w:t>As</w:t>
      </w:r>
      <w:r>
        <w:rPr>
          <w:spacing w:val="-9"/>
          <w:sz w:val="22"/>
        </w:rPr>
        <w:t> </w:t>
      </w:r>
      <w:r>
        <w:rPr>
          <w:sz w:val="22"/>
        </w:rPr>
        <w:t>of</w:t>
      </w:r>
      <w:r>
        <w:rPr>
          <w:spacing w:val="-11"/>
          <w:sz w:val="22"/>
        </w:rPr>
        <w:t> </w:t>
      </w:r>
      <w:r>
        <w:rPr>
          <w:sz w:val="22"/>
        </w:rPr>
        <w:t>June</w:t>
      </w:r>
      <w:r>
        <w:rPr>
          <w:spacing w:val="-9"/>
          <w:sz w:val="22"/>
        </w:rPr>
        <w:t> </w:t>
      </w:r>
      <w:r>
        <w:rPr>
          <w:sz w:val="22"/>
        </w:rPr>
        <w:t>30,</w:t>
      </w:r>
      <w:r>
        <w:rPr>
          <w:spacing w:val="-10"/>
          <w:sz w:val="22"/>
        </w:rPr>
        <w:t> </w:t>
      </w:r>
      <w:r>
        <w:rPr>
          <w:sz w:val="22"/>
        </w:rPr>
        <w:t>2025,</w:t>
      </w:r>
      <w:r>
        <w:rPr>
          <w:spacing w:val="-8"/>
          <w:sz w:val="22"/>
        </w:rPr>
        <w:t> </w:t>
      </w:r>
      <w:r>
        <w:rPr>
          <w:sz w:val="22"/>
        </w:rPr>
        <w:t>the</w:t>
      </w:r>
      <w:r>
        <w:rPr>
          <w:spacing w:val="-11"/>
          <w:sz w:val="22"/>
        </w:rPr>
        <w:t> </w:t>
      </w:r>
      <w:r>
        <w:rPr>
          <w:sz w:val="22"/>
        </w:rPr>
        <w:t>quick</w:t>
      </w:r>
      <w:r>
        <w:rPr>
          <w:spacing w:val="-8"/>
          <w:sz w:val="22"/>
        </w:rPr>
        <w:t> </w:t>
      </w:r>
      <w:r>
        <w:rPr>
          <w:sz w:val="22"/>
        </w:rPr>
        <w:t>ratio</w:t>
      </w:r>
      <w:r>
        <w:rPr>
          <w:spacing w:val="-8"/>
          <w:sz w:val="22"/>
        </w:rPr>
        <w:t> </w:t>
      </w:r>
      <w:r>
        <w:rPr>
          <w:sz w:val="22"/>
        </w:rPr>
        <w:t>is</w:t>
      </w:r>
      <w:r>
        <w:rPr>
          <w:spacing w:val="-10"/>
          <w:sz w:val="22"/>
        </w:rPr>
        <w:t> </w:t>
      </w:r>
      <w:r>
        <w:rPr>
          <w:sz w:val="22"/>
        </w:rPr>
        <w:t>7.70,</w:t>
      </w:r>
      <w:r>
        <w:rPr>
          <w:spacing w:val="-11"/>
          <w:sz w:val="22"/>
        </w:rPr>
        <w:t> </w:t>
      </w:r>
      <w:r>
        <w:rPr>
          <w:sz w:val="22"/>
        </w:rPr>
        <w:t>which</w:t>
      </w:r>
      <w:r>
        <w:rPr>
          <w:spacing w:val="-12"/>
          <w:sz w:val="22"/>
        </w:rPr>
        <w:t> </w:t>
      </w:r>
      <w:r>
        <w:rPr>
          <w:sz w:val="22"/>
        </w:rPr>
        <w:t>is</w:t>
      </w:r>
      <w:r>
        <w:rPr>
          <w:spacing w:val="-8"/>
          <w:sz w:val="22"/>
        </w:rPr>
        <w:t> </w:t>
      </w:r>
      <w:r>
        <w:rPr>
          <w:sz w:val="22"/>
        </w:rPr>
        <w:t>inline</w:t>
      </w:r>
      <w:r>
        <w:rPr>
          <w:spacing w:val="-8"/>
          <w:sz w:val="22"/>
        </w:rPr>
        <w:t> </w:t>
      </w:r>
      <w:r>
        <w:rPr>
          <w:sz w:val="22"/>
        </w:rPr>
        <w:t>with</w:t>
      </w:r>
      <w:r>
        <w:rPr>
          <w:spacing w:val="-11"/>
          <w:sz w:val="22"/>
        </w:rPr>
        <w:t> </w:t>
      </w:r>
      <w:r>
        <w:rPr>
          <w:sz w:val="22"/>
        </w:rPr>
        <w:t>the</w:t>
      </w:r>
      <w:r>
        <w:rPr>
          <w:spacing w:val="-7"/>
          <w:sz w:val="22"/>
        </w:rPr>
        <w:t> </w:t>
      </w:r>
      <w:r>
        <w:rPr>
          <w:sz w:val="22"/>
        </w:rPr>
        <w:t>quick</w:t>
      </w:r>
      <w:r>
        <w:rPr>
          <w:spacing w:val="-9"/>
          <w:sz w:val="22"/>
        </w:rPr>
        <w:t> </w:t>
      </w:r>
      <w:r>
        <w:rPr>
          <w:sz w:val="22"/>
        </w:rPr>
        <w:t>ratio</w:t>
      </w:r>
      <w:r>
        <w:rPr>
          <w:spacing w:val="-9"/>
          <w:sz w:val="22"/>
        </w:rPr>
        <w:t> </w:t>
      </w:r>
      <w:r>
        <w:rPr>
          <w:sz w:val="22"/>
        </w:rPr>
        <w:t>of</w:t>
      </w:r>
      <w:r>
        <w:rPr>
          <w:spacing w:val="-11"/>
          <w:sz w:val="22"/>
        </w:rPr>
        <w:t> </w:t>
      </w:r>
      <w:r>
        <w:rPr>
          <w:sz w:val="22"/>
        </w:rPr>
        <w:t>the</w:t>
      </w:r>
      <w:r>
        <w:rPr>
          <w:spacing w:val="-8"/>
          <w:sz w:val="22"/>
        </w:rPr>
        <w:t> </w:t>
      </w:r>
      <w:r>
        <w:rPr>
          <w:sz w:val="22"/>
        </w:rPr>
        <w:t>first</w:t>
      </w:r>
      <w:r>
        <w:rPr>
          <w:spacing w:val="-10"/>
          <w:sz w:val="22"/>
        </w:rPr>
        <w:t> </w:t>
      </w:r>
      <w:r>
        <w:rPr>
          <w:sz w:val="22"/>
        </w:rPr>
        <w:t>quarter</w:t>
      </w:r>
      <w:r>
        <w:rPr>
          <w:spacing w:val="-12"/>
          <w:sz w:val="22"/>
        </w:rPr>
        <w:t> </w:t>
      </w:r>
      <w:r>
        <w:rPr>
          <w:sz w:val="22"/>
        </w:rPr>
        <w:t>in</w:t>
      </w:r>
      <w:r>
        <w:rPr>
          <w:spacing w:val="-9"/>
          <w:sz w:val="22"/>
        </w:rPr>
        <w:t> </w:t>
      </w:r>
      <w:r>
        <w:rPr>
          <w:sz w:val="22"/>
        </w:rPr>
        <w:t>2024-25.</w:t>
      </w:r>
      <w:r>
        <w:rPr>
          <w:spacing w:val="31"/>
          <w:sz w:val="22"/>
        </w:rPr>
        <w:t> </w:t>
      </w:r>
      <w:r>
        <w:rPr>
          <w:sz w:val="22"/>
        </w:rPr>
        <w:t>This</w:t>
      </w:r>
      <w:r>
        <w:rPr>
          <w:spacing w:val="-8"/>
          <w:sz w:val="22"/>
        </w:rPr>
        <w:t> </w:t>
      </w:r>
      <w:r>
        <w:rPr>
          <w:sz w:val="22"/>
        </w:rPr>
        <w:t>indicates that CNYRTA has approximately $7.70 in current assets for every $1 in current</w:t>
      </w:r>
      <w:r>
        <w:rPr>
          <w:spacing w:val="-9"/>
          <w:sz w:val="22"/>
        </w:rPr>
        <w:t> </w:t>
      </w:r>
      <w:r>
        <w:rPr>
          <w:sz w:val="22"/>
        </w:rPr>
        <w:t>liabilities.</w:t>
      </w:r>
    </w:p>
    <w:p>
      <w:pPr>
        <w:spacing w:line="240" w:lineRule="auto" w:before="1"/>
        <w:rPr>
          <w:sz w:val="22"/>
        </w:rPr>
      </w:pPr>
    </w:p>
    <w:p>
      <w:pPr>
        <w:spacing w:before="0"/>
        <w:ind w:left="160" w:right="0" w:firstLine="0"/>
        <w:jc w:val="left"/>
        <w:rPr>
          <w:sz w:val="22"/>
        </w:rPr>
      </w:pPr>
      <w:r>
        <w:rPr>
          <w:color w:val="0033CC"/>
          <w:sz w:val="22"/>
        </w:rPr>
        <w:t>Current Assets </w:t>
      </w:r>
      <w:r>
        <w:rPr>
          <w:sz w:val="22"/>
        </w:rPr>
        <w:t>total $61.3million, reflecting a $3.7 million, or 6.5%, increase compared to June 2024.</w:t>
      </w:r>
    </w:p>
    <w:p>
      <w:pPr>
        <w:spacing w:line="240" w:lineRule="auto" w:before="3"/>
        <w:rPr>
          <w:sz w:val="18"/>
        </w:rPr>
      </w:pPr>
      <w:r>
        <w:rPr/>
        <w:pict>
          <v:group style="position:absolute;margin-left:35.999981pt;margin-top:13.486992pt;width:539.3pt;height:32.7pt;mso-position-horizontal-relative:page;mso-position-vertical-relative:paragraph;z-index:-251515904;mso-wrap-distance-left:0;mso-wrap-distance-right:0" coordorigin="720,270" coordsize="10786,654">
            <v:rect style="position:absolute;left:734;top:283;width:10772;height:640" filled="true" fillcolor="#001f5f" stroked="false">
              <v:fill type="solid"/>
            </v:rect>
            <v:shape style="position:absolute;left:720;top:269;width:15;height:2" coordorigin="720,270" coordsize="15,0" path="m720,270l734,270,720,270xe" filled="true" fillcolor="#dfdfdf" stroked="false">
              <v:path arrowok="t"/>
              <v:fill type="solid"/>
            </v:shape>
            <v:shape style="position:absolute;left:4957;top:269;width:15;height:2" coordorigin="4957,270" coordsize="15,0" path="m4957,270l4972,270,4957,270xe" filled="true" fillcolor="#dfdfdf" stroked="false">
              <v:path arrowok="t"/>
              <v:fill type="solid"/>
            </v:shape>
            <v:shape style="position:absolute;left:6655;top:269;width:15;height:2" coordorigin="6655,270" coordsize="15,0" path="m6655,270l6669,270,6655,270xe" filled="true" fillcolor="#dfdfdf" stroked="false">
              <v:path arrowok="t"/>
              <v:fill type="solid"/>
            </v:shape>
            <v:shape style="position:absolute;left:8352;top:269;width:15;height:2" coordorigin="8353,270" coordsize="15,0" path="m8353,270l8367,270,8353,270xe" filled="true" fillcolor="#dfdfdf" stroked="false">
              <v:path arrowok="t"/>
              <v:fill type="solid"/>
            </v:shape>
            <v:shape style="position:absolute;left:10050;top:269;width:15;height:2" coordorigin="10051,270" coordsize="15,0" path="m10051,270l10065,270,10051,270xe" filled="true" fillcolor="#dfdfdf" stroked="false">
              <v:path arrowok="t"/>
              <v:fill type="solid"/>
            </v:shape>
            <v:shape style="position:absolute;left:11491;top:269;width:15;height:2" coordorigin="11492,270" coordsize="15,0" path="m11492,270l11506,270,11492,270xe" filled="true" fillcolor="#dfdfdf" stroked="false">
              <v:path arrowok="t"/>
              <v:fill type="solid"/>
            </v:shape>
            <v:line style="position:absolute" from="4957,270" to="4957,923" stroked="true" strokeweight="0pt" strokecolor="#ffffff">
              <v:stroke dashstyle="solid"/>
            </v:line>
            <v:line style="position:absolute" from="4964,270" to="4964,923" stroked="true" strokeweight=".714063pt" strokecolor="#ffffff">
              <v:stroke dashstyle="solid"/>
            </v:line>
            <v:line style="position:absolute" from="6655,270" to="6655,923" stroked="true" strokeweight="0pt" strokecolor="#ffffff">
              <v:stroke dashstyle="solid"/>
            </v:line>
            <v:line style="position:absolute" from="6662,270" to="6662,923" stroked="true" strokeweight=".71335pt" strokecolor="#ffffff">
              <v:stroke dashstyle="solid"/>
            </v:line>
            <v:line style="position:absolute" from="8353,270" to="8353,923" stroked="true" strokeweight="0pt" strokecolor="#ffffff">
              <v:stroke dashstyle="solid"/>
            </v:line>
            <v:line style="position:absolute" from="8360,270" to="8360,923" stroked="true" strokeweight=".71335pt" strokecolor="#ffffff">
              <v:stroke dashstyle="solid"/>
            </v:line>
            <v:line style="position:absolute" from="10051,270" to="10051,923" stroked="true" strokeweight="0pt" strokecolor="#ffffff">
              <v:stroke dashstyle="solid"/>
            </v:line>
            <v:line style="position:absolute" from="10058,270" to="10058,923" stroked="true" strokeweight=".71335pt" strokecolor="#ffffff">
              <v:stroke dashstyle="solid"/>
            </v:line>
            <v:shape style="position:absolute;left:11505;top:270;width:2;height:14" coordorigin="11506,270" coordsize="1,14" path="m11506,270l11506,284,11506,270xe" filled="true" fillcolor="#dfdfdf" stroked="false">
              <v:path arrowok="t"/>
              <v:fill type="solid"/>
            </v:shape>
            <v:line style="position:absolute" from="11506,909" to="11506,909" stroked="true" strokeweight="0pt" strokecolor="#dfdfdf">
              <v:stroke dashstyle="solid"/>
            </v:line>
            <v:shape style="position:absolute;left:11505;top:908;width:2;height:15" coordorigin="11506,909" coordsize="1,15" path="m11506,909l11506,923,11506,909xe" filled="true" fillcolor="#dfdfdf" stroked="false">
              <v:path arrowok="t"/>
              <v:fill type="solid"/>
            </v:shape>
            <v:shape style="position:absolute;left:8595;top:298;width:2812;height:526" type="#_x0000_t202" filled="false" stroked="false">
              <v:textbox inset="0,0,0,0">
                <w:txbxContent>
                  <w:p>
                    <w:pPr>
                      <w:tabs>
                        <w:tab w:pos="1569" w:val="left" w:leader="none"/>
                      </w:tabs>
                      <w:spacing w:line="230" w:lineRule="exact" w:before="0"/>
                      <w:ind w:left="0" w:right="0" w:firstLine="0"/>
                      <w:jc w:val="left"/>
                      <w:rPr>
                        <w:b/>
                        <w:sz w:val="22"/>
                      </w:rPr>
                    </w:pPr>
                    <w:r>
                      <w:rPr>
                        <w:b/>
                        <w:color w:val="FFFFFF"/>
                        <w:w w:val="105"/>
                        <w:sz w:val="22"/>
                      </w:rPr>
                      <w:t>Current</w:t>
                    </w:r>
                    <w:r>
                      <w:rPr>
                        <w:b/>
                        <w:color w:val="FFFFFF"/>
                        <w:spacing w:val="7"/>
                        <w:w w:val="105"/>
                        <w:sz w:val="22"/>
                      </w:rPr>
                      <w:t> </w:t>
                    </w:r>
                    <w:r>
                      <w:rPr>
                        <w:b/>
                        <w:color w:val="FFFFFF"/>
                        <w:w w:val="105"/>
                        <w:sz w:val="22"/>
                      </w:rPr>
                      <w:t>Year</w:t>
                      <w:tab/>
                      <w:t>Current</w:t>
                    </w:r>
                    <w:r>
                      <w:rPr>
                        <w:b/>
                        <w:color w:val="FFFFFF"/>
                        <w:spacing w:val="5"/>
                        <w:w w:val="105"/>
                        <w:sz w:val="22"/>
                      </w:rPr>
                      <w:t> </w:t>
                    </w:r>
                    <w:r>
                      <w:rPr>
                        <w:b/>
                        <w:color w:val="FFFFFF"/>
                        <w:w w:val="105"/>
                        <w:sz w:val="22"/>
                      </w:rPr>
                      <w:t>Year</w:t>
                    </w:r>
                  </w:p>
                  <w:p>
                    <w:pPr>
                      <w:tabs>
                        <w:tab w:pos="1711" w:val="left" w:leader="none"/>
                      </w:tabs>
                      <w:spacing w:line="266" w:lineRule="exact" w:before="29"/>
                      <w:ind w:left="256" w:right="0" w:firstLine="0"/>
                      <w:jc w:val="left"/>
                      <w:rPr>
                        <w:b/>
                        <w:sz w:val="22"/>
                      </w:rPr>
                    </w:pPr>
                    <w:r>
                      <w:rPr>
                        <w:b/>
                        <w:color w:val="FFFFFF"/>
                        <w:w w:val="105"/>
                        <w:sz w:val="22"/>
                      </w:rPr>
                      <w:t>Change</w:t>
                      <w:tab/>
                      <w:t>%</w:t>
                    </w:r>
                    <w:r>
                      <w:rPr>
                        <w:b/>
                        <w:color w:val="FFFFFF"/>
                        <w:spacing w:val="7"/>
                        <w:w w:val="105"/>
                        <w:sz w:val="22"/>
                      </w:rPr>
                      <w:t> </w:t>
                    </w:r>
                    <w:r>
                      <w:rPr>
                        <w:b/>
                        <w:color w:val="FFFFFF"/>
                        <w:spacing w:val="2"/>
                        <w:w w:val="105"/>
                        <w:sz w:val="22"/>
                      </w:rPr>
                      <w:t>Change</w:t>
                    </w:r>
                  </w:p>
                </w:txbxContent>
              </v:textbox>
              <w10:wrap type="none"/>
            </v:shape>
            <v:shape style="position:absolute;left:7026;top:596;width:986;height:228" type="#_x0000_t202" filled="false" stroked="false">
              <v:textbox inset="0,0,0,0">
                <w:txbxContent>
                  <w:p>
                    <w:pPr>
                      <w:spacing w:line="227" w:lineRule="exact" w:before="0"/>
                      <w:ind w:left="0" w:right="0" w:firstLine="0"/>
                      <w:jc w:val="left"/>
                      <w:rPr>
                        <w:b/>
                        <w:sz w:val="22"/>
                      </w:rPr>
                    </w:pPr>
                    <w:r>
                      <w:rPr>
                        <w:b/>
                        <w:color w:val="FFFFFF"/>
                        <w:w w:val="105"/>
                        <w:sz w:val="22"/>
                      </w:rPr>
                      <w:t>Prior Year</w:t>
                    </w:r>
                  </w:p>
                </w:txbxContent>
              </v:textbox>
              <w10:wrap type="none"/>
            </v:shape>
            <v:shape style="position:absolute;left:5199;top:596;width:1243;height:228" type="#_x0000_t202" filled="false" stroked="false">
              <v:textbox inset="0,0,0,0">
                <w:txbxContent>
                  <w:p>
                    <w:pPr>
                      <w:spacing w:line="227" w:lineRule="exact" w:before="0"/>
                      <w:ind w:left="0" w:right="0" w:firstLine="0"/>
                      <w:jc w:val="left"/>
                      <w:rPr>
                        <w:b/>
                        <w:sz w:val="22"/>
                      </w:rPr>
                    </w:pPr>
                    <w:r>
                      <w:rPr>
                        <w:b/>
                        <w:color w:val="FFFFFF"/>
                        <w:w w:val="105"/>
                        <w:sz w:val="22"/>
                      </w:rPr>
                      <w:t>Current Year</w:t>
                    </w:r>
                  </w:p>
                </w:txbxContent>
              </v:textbox>
              <w10:wrap type="none"/>
            </v:shape>
            <w10:wrap type="topAndBottom"/>
          </v:group>
        </w:pict>
      </w:r>
    </w:p>
    <w:p>
      <w:pPr>
        <w:spacing w:line="232" w:lineRule="exact" w:before="0"/>
        <w:ind w:left="202" w:right="0" w:firstLine="0"/>
        <w:jc w:val="left"/>
        <w:rPr>
          <w:sz w:val="21"/>
        </w:rPr>
      </w:pPr>
      <w:r>
        <w:rPr>
          <w:sz w:val="21"/>
        </w:rPr>
        <w:t>Current Assets</w:t>
      </w:r>
    </w:p>
    <w:p>
      <w:pPr>
        <w:spacing w:line="20" w:lineRule="exact"/>
        <w:ind w:left="10945" w:right="0" w:firstLine="0"/>
        <w:rPr>
          <w:sz w:val="2"/>
        </w:rPr>
      </w:pPr>
      <w:r>
        <w:rPr>
          <w:sz w:val="2"/>
        </w:rPr>
        <w:pict>
          <v:group style="width:.1pt;height:.75pt;mso-position-horizontal-relative:char;mso-position-vertical-relative:line" coordorigin="0,0" coordsize="2,15">
            <v:line style="position:absolute" from="0,0" to="0,0" stroked="true" strokeweight="0pt" strokecolor="#dfdfdf">
              <v:stroke dashstyle="solid"/>
            </v:line>
            <v:shape style="position:absolute;left:0;top:0;width:2;height:15" coordorigin="0,0" coordsize="1,15" path="m0,0l0,14,0,0xe" filled="true" fillcolor="#dfdfdf" stroked="false">
              <v:path arrowok="t"/>
              <v:fill type="solid"/>
            </v:shape>
          </v:group>
        </w:pict>
      </w:r>
      <w:r>
        <w:rPr>
          <w:sz w:val="2"/>
        </w:rPr>
      </w:r>
    </w:p>
    <w:p>
      <w:pPr>
        <w:spacing w:line="240" w:lineRule="auto" w:before="10"/>
        <w:rPr>
          <w:sz w:val="3"/>
        </w:rPr>
      </w:pPr>
    </w:p>
    <w:tbl>
      <w:tblPr>
        <w:tblW w:w="0" w:type="auto"/>
        <w:jc w:val="left"/>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0"/>
        <w:gridCol w:w="2051"/>
        <w:gridCol w:w="1676"/>
        <w:gridCol w:w="1555"/>
        <w:gridCol w:w="1252"/>
      </w:tblGrid>
      <w:tr>
        <w:trPr>
          <w:trHeight w:val="248" w:hRule="atLeast"/>
        </w:trPr>
        <w:tc>
          <w:tcPr>
            <w:tcW w:w="3870" w:type="dxa"/>
          </w:tcPr>
          <w:p>
            <w:pPr>
              <w:pStyle w:val="TableParagraph"/>
              <w:spacing w:line="216" w:lineRule="exact"/>
              <w:ind w:left="50"/>
              <w:rPr>
                <w:rFonts w:ascii="Calibri"/>
                <w:sz w:val="21"/>
              </w:rPr>
            </w:pPr>
            <w:r>
              <w:rPr>
                <w:rFonts w:ascii="Calibri"/>
                <w:sz w:val="21"/>
              </w:rPr>
              <w:t>Cash, Cash Equivalents &amp; Investments</w:t>
            </w:r>
          </w:p>
        </w:tc>
        <w:tc>
          <w:tcPr>
            <w:tcW w:w="2051" w:type="dxa"/>
          </w:tcPr>
          <w:p>
            <w:pPr>
              <w:pStyle w:val="TableParagraph"/>
              <w:spacing w:line="216" w:lineRule="exact"/>
              <w:ind w:right="389"/>
              <w:jc w:val="right"/>
              <w:rPr>
                <w:rFonts w:ascii="Calibri"/>
                <w:sz w:val="21"/>
              </w:rPr>
            </w:pPr>
            <w:r>
              <w:rPr>
                <w:rFonts w:ascii="Calibri"/>
                <w:sz w:val="21"/>
              </w:rPr>
              <w:t>40,462,743</w:t>
            </w:r>
          </w:p>
        </w:tc>
        <w:tc>
          <w:tcPr>
            <w:tcW w:w="1676" w:type="dxa"/>
          </w:tcPr>
          <w:p>
            <w:pPr>
              <w:pStyle w:val="TableParagraph"/>
              <w:spacing w:line="216" w:lineRule="exact"/>
              <w:ind w:left="350" w:right="329"/>
              <w:jc w:val="center"/>
              <w:rPr>
                <w:rFonts w:ascii="Calibri"/>
                <w:sz w:val="21"/>
              </w:rPr>
            </w:pPr>
            <w:r>
              <w:rPr>
                <w:rFonts w:ascii="Calibri"/>
                <w:sz w:val="21"/>
              </w:rPr>
              <w:t>37,609,059</w:t>
            </w:r>
          </w:p>
        </w:tc>
        <w:tc>
          <w:tcPr>
            <w:tcW w:w="1555" w:type="dxa"/>
          </w:tcPr>
          <w:p>
            <w:pPr>
              <w:pStyle w:val="TableParagraph"/>
              <w:spacing w:line="216" w:lineRule="exact"/>
              <w:ind w:right="225"/>
              <w:jc w:val="right"/>
              <w:rPr>
                <w:rFonts w:ascii="Calibri"/>
                <w:sz w:val="21"/>
              </w:rPr>
            </w:pPr>
            <w:r>
              <w:rPr>
                <w:rFonts w:ascii="Calibri"/>
                <w:sz w:val="21"/>
              </w:rPr>
              <w:t>2,853,684</w:t>
            </w:r>
          </w:p>
        </w:tc>
        <w:tc>
          <w:tcPr>
            <w:tcW w:w="1252" w:type="dxa"/>
          </w:tcPr>
          <w:p>
            <w:pPr>
              <w:pStyle w:val="TableParagraph"/>
              <w:spacing w:line="216" w:lineRule="exact"/>
              <w:ind w:left="314"/>
              <w:rPr>
                <w:rFonts w:ascii="Calibri"/>
                <w:sz w:val="21"/>
              </w:rPr>
            </w:pPr>
            <w:r>
              <w:rPr>
                <w:rFonts w:ascii="Calibri"/>
                <w:sz w:val="21"/>
              </w:rPr>
              <w:t>7.6%</w:t>
            </w:r>
          </w:p>
        </w:tc>
      </w:tr>
      <w:tr>
        <w:trPr>
          <w:trHeight w:val="284" w:hRule="atLeast"/>
        </w:trPr>
        <w:tc>
          <w:tcPr>
            <w:tcW w:w="3870" w:type="dxa"/>
          </w:tcPr>
          <w:p>
            <w:pPr>
              <w:pStyle w:val="TableParagraph"/>
              <w:spacing w:line="252" w:lineRule="exact"/>
              <w:ind w:left="50"/>
              <w:rPr>
                <w:rFonts w:ascii="Calibri"/>
                <w:sz w:val="21"/>
              </w:rPr>
            </w:pPr>
            <w:r>
              <w:rPr>
                <w:rFonts w:ascii="Calibri"/>
                <w:sz w:val="21"/>
              </w:rPr>
              <w:t>Receivables &amp; Accrued Receivables</w:t>
            </w:r>
          </w:p>
        </w:tc>
        <w:tc>
          <w:tcPr>
            <w:tcW w:w="2051" w:type="dxa"/>
          </w:tcPr>
          <w:p>
            <w:pPr>
              <w:pStyle w:val="TableParagraph"/>
              <w:spacing w:line="252" w:lineRule="exact"/>
              <w:ind w:right="389"/>
              <w:jc w:val="right"/>
              <w:rPr>
                <w:rFonts w:ascii="Calibri"/>
                <w:sz w:val="21"/>
              </w:rPr>
            </w:pPr>
            <w:r>
              <w:rPr>
                <w:rFonts w:ascii="Calibri"/>
                <w:sz w:val="21"/>
              </w:rPr>
              <w:t>11,702,853</w:t>
            </w:r>
          </w:p>
        </w:tc>
        <w:tc>
          <w:tcPr>
            <w:tcW w:w="1676" w:type="dxa"/>
          </w:tcPr>
          <w:p>
            <w:pPr>
              <w:pStyle w:val="TableParagraph"/>
              <w:spacing w:line="252" w:lineRule="exact"/>
              <w:ind w:left="350" w:right="229"/>
              <w:jc w:val="center"/>
              <w:rPr>
                <w:rFonts w:ascii="Calibri"/>
                <w:sz w:val="21"/>
              </w:rPr>
            </w:pPr>
            <w:r>
              <w:rPr>
                <w:rFonts w:ascii="Calibri"/>
                <w:sz w:val="21"/>
              </w:rPr>
              <w:t>9,130,985</w:t>
            </w:r>
          </w:p>
        </w:tc>
        <w:tc>
          <w:tcPr>
            <w:tcW w:w="1555" w:type="dxa"/>
          </w:tcPr>
          <w:p>
            <w:pPr>
              <w:pStyle w:val="TableParagraph"/>
              <w:spacing w:line="252" w:lineRule="exact"/>
              <w:ind w:right="225"/>
              <w:jc w:val="right"/>
              <w:rPr>
                <w:rFonts w:ascii="Calibri"/>
                <w:sz w:val="21"/>
              </w:rPr>
            </w:pPr>
            <w:r>
              <w:rPr>
                <w:rFonts w:ascii="Calibri"/>
                <w:sz w:val="21"/>
              </w:rPr>
              <w:t>2,332,422</w:t>
            </w:r>
          </w:p>
        </w:tc>
        <w:tc>
          <w:tcPr>
            <w:tcW w:w="1252" w:type="dxa"/>
          </w:tcPr>
          <w:p>
            <w:pPr>
              <w:pStyle w:val="TableParagraph"/>
              <w:spacing w:line="252" w:lineRule="exact"/>
              <w:ind w:right="477"/>
              <w:jc w:val="right"/>
              <w:rPr>
                <w:rFonts w:ascii="Calibri"/>
                <w:sz w:val="21"/>
              </w:rPr>
            </w:pPr>
            <w:r>
              <w:rPr>
                <w:rFonts w:ascii="Calibri"/>
                <w:sz w:val="21"/>
              </w:rPr>
              <w:t>28.2%</w:t>
            </w:r>
          </w:p>
        </w:tc>
      </w:tr>
      <w:tr>
        <w:trPr>
          <w:trHeight w:val="284" w:hRule="atLeast"/>
        </w:trPr>
        <w:tc>
          <w:tcPr>
            <w:tcW w:w="3870" w:type="dxa"/>
          </w:tcPr>
          <w:p>
            <w:pPr>
              <w:pStyle w:val="TableParagraph"/>
              <w:spacing w:line="252" w:lineRule="exact"/>
              <w:ind w:left="50"/>
              <w:rPr>
                <w:rFonts w:ascii="Calibri"/>
                <w:sz w:val="21"/>
              </w:rPr>
            </w:pPr>
            <w:r>
              <w:rPr>
                <w:rFonts w:ascii="Calibri"/>
                <w:sz w:val="21"/>
              </w:rPr>
              <w:t>Materials &amp; Supplies</w:t>
            </w:r>
          </w:p>
        </w:tc>
        <w:tc>
          <w:tcPr>
            <w:tcW w:w="2051" w:type="dxa"/>
          </w:tcPr>
          <w:p>
            <w:pPr>
              <w:pStyle w:val="TableParagraph"/>
              <w:spacing w:line="252" w:lineRule="exact"/>
              <w:ind w:right="390"/>
              <w:jc w:val="right"/>
              <w:rPr>
                <w:rFonts w:ascii="Calibri"/>
                <w:sz w:val="21"/>
              </w:rPr>
            </w:pPr>
            <w:r>
              <w:rPr>
                <w:rFonts w:ascii="Calibri"/>
                <w:sz w:val="21"/>
              </w:rPr>
              <w:t>3,589,671</w:t>
            </w:r>
          </w:p>
        </w:tc>
        <w:tc>
          <w:tcPr>
            <w:tcW w:w="1676" w:type="dxa"/>
          </w:tcPr>
          <w:p>
            <w:pPr>
              <w:pStyle w:val="TableParagraph"/>
              <w:spacing w:line="252" w:lineRule="exact"/>
              <w:ind w:left="350" w:right="229"/>
              <w:jc w:val="center"/>
              <w:rPr>
                <w:rFonts w:ascii="Calibri"/>
                <w:sz w:val="21"/>
              </w:rPr>
            </w:pPr>
            <w:r>
              <w:rPr>
                <w:rFonts w:ascii="Calibri"/>
                <w:sz w:val="21"/>
              </w:rPr>
              <w:t>4,153,532</w:t>
            </w:r>
          </w:p>
        </w:tc>
        <w:tc>
          <w:tcPr>
            <w:tcW w:w="1555" w:type="dxa"/>
          </w:tcPr>
          <w:p>
            <w:pPr>
              <w:pStyle w:val="TableParagraph"/>
              <w:spacing w:line="252" w:lineRule="exact"/>
              <w:ind w:right="240"/>
              <w:jc w:val="right"/>
              <w:rPr>
                <w:rFonts w:ascii="Calibri"/>
                <w:sz w:val="21"/>
              </w:rPr>
            </w:pPr>
            <w:r>
              <w:rPr>
                <w:rFonts w:ascii="Calibri"/>
                <w:color w:val="FF0000"/>
                <w:sz w:val="21"/>
              </w:rPr>
              <w:t>(563,861)</w:t>
            </w:r>
          </w:p>
        </w:tc>
        <w:tc>
          <w:tcPr>
            <w:tcW w:w="1252" w:type="dxa"/>
          </w:tcPr>
          <w:p>
            <w:pPr>
              <w:pStyle w:val="TableParagraph"/>
              <w:spacing w:line="252" w:lineRule="exact"/>
              <w:ind w:right="448"/>
              <w:jc w:val="right"/>
              <w:rPr>
                <w:rFonts w:ascii="Calibri"/>
                <w:sz w:val="21"/>
              </w:rPr>
            </w:pPr>
            <w:r>
              <w:rPr>
                <w:rFonts w:ascii="Calibri"/>
                <w:sz w:val="21"/>
              </w:rPr>
              <w:t>-13.6%</w:t>
            </w:r>
          </w:p>
        </w:tc>
      </w:tr>
      <w:tr>
        <w:trPr>
          <w:trHeight w:val="251" w:hRule="atLeast"/>
        </w:trPr>
        <w:tc>
          <w:tcPr>
            <w:tcW w:w="3870" w:type="dxa"/>
          </w:tcPr>
          <w:p>
            <w:pPr>
              <w:pStyle w:val="TableParagraph"/>
              <w:spacing w:line="232" w:lineRule="exact"/>
              <w:ind w:left="50"/>
              <w:rPr>
                <w:rFonts w:ascii="Calibri"/>
                <w:sz w:val="21"/>
              </w:rPr>
            </w:pPr>
            <w:r>
              <w:rPr>
                <w:rFonts w:ascii="Calibri"/>
                <w:sz w:val="21"/>
              </w:rPr>
              <w:t>Prepaid Expenses &amp; Other Current Assets</w:t>
            </w:r>
          </w:p>
        </w:tc>
        <w:tc>
          <w:tcPr>
            <w:tcW w:w="2051" w:type="dxa"/>
            <w:tcBorders>
              <w:bottom w:val="single" w:sz="6" w:space="0" w:color="000000"/>
            </w:tcBorders>
          </w:tcPr>
          <w:p>
            <w:pPr>
              <w:pStyle w:val="TableParagraph"/>
              <w:spacing w:line="232" w:lineRule="exact"/>
              <w:ind w:right="390"/>
              <w:jc w:val="right"/>
              <w:rPr>
                <w:rFonts w:ascii="Calibri"/>
                <w:sz w:val="21"/>
              </w:rPr>
            </w:pPr>
            <w:r>
              <w:rPr>
                <w:rFonts w:ascii="Calibri"/>
                <w:sz w:val="21"/>
              </w:rPr>
              <w:t>5,560,582</w:t>
            </w:r>
          </w:p>
        </w:tc>
        <w:tc>
          <w:tcPr>
            <w:tcW w:w="1676" w:type="dxa"/>
            <w:tcBorders>
              <w:bottom w:val="single" w:sz="6" w:space="0" w:color="000000"/>
            </w:tcBorders>
          </w:tcPr>
          <w:p>
            <w:pPr>
              <w:pStyle w:val="TableParagraph"/>
              <w:spacing w:line="232" w:lineRule="exact"/>
              <w:ind w:left="350" w:right="229"/>
              <w:jc w:val="center"/>
              <w:rPr>
                <w:rFonts w:ascii="Calibri"/>
                <w:sz w:val="21"/>
              </w:rPr>
            </w:pPr>
            <w:r>
              <w:rPr>
                <w:rFonts w:ascii="Calibri"/>
                <w:sz w:val="21"/>
              </w:rPr>
              <w:t>6,703,550</w:t>
            </w:r>
          </w:p>
        </w:tc>
        <w:tc>
          <w:tcPr>
            <w:tcW w:w="1555" w:type="dxa"/>
            <w:tcBorders>
              <w:bottom w:val="single" w:sz="6" w:space="0" w:color="000000"/>
            </w:tcBorders>
          </w:tcPr>
          <w:p>
            <w:pPr>
              <w:pStyle w:val="TableParagraph"/>
              <w:spacing w:line="232" w:lineRule="exact"/>
              <w:ind w:right="240"/>
              <w:jc w:val="right"/>
              <w:rPr>
                <w:rFonts w:ascii="Calibri"/>
                <w:sz w:val="21"/>
              </w:rPr>
            </w:pPr>
            <w:r>
              <w:rPr>
                <w:rFonts w:ascii="Calibri"/>
                <w:color w:val="FF0000"/>
                <w:sz w:val="21"/>
              </w:rPr>
              <w:t>(1,142,968)</w:t>
            </w:r>
          </w:p>
        </w:tc>
        <w:tc>
          <w:tcPr>
            <w:tcW w:w="1252" w:type="dxa"/>
            <w:tcBorders>
              <w:bottom w:val="single" w:sz="6" w:space="0" w:color="000000"/>
            </w:tcBorders>
          </w:tcPr>
          <w:p>
            <w:pPr>
              <w:pStyle w:val="TableParagraph"/>
              <w:spacing w:line="232" w:lineRule="exact"/>
              <w:ind w:right="448"/>
              <w:jc w:val="right"/>
              <w:rPr>
                <w:rFonts w:ascii="Calibri"/>
                <w:sz w:val="21"/>
              </w:rPr>
            </w:pPr>
            <w:r>
              <w:rPr>
                <w:rFonts w:ascii="Calibri"/>
                <w:sz w:val="21"/>
              </w:rPr>
              <w:t>-17.1%</w:t>
            </w:r>
          </w:p>
        </w:tc>
      </w:tr>
      <w:tr>
        <w:trPr>
          <w:trHeight w:val="283" w:hRule="atLeast"/>
        </w:trPr>
        <w:tc>
          <w:tcPr>
            <w:tcW w:w="3870" w:type="dxa"/>
          </w:tcPr>
          <w:p>
            <w:pPr>
              <w:pStyle w:val="TableParagraph"/>
              <w:spacing w:line="222" w:lineRule="exact" w:before="12"/>
              <w:ind w:left="435"/>
              <w:rPr>
                <w:rFonts w:ascii="Calibri"/>
                <w:sz w:val="21"/>
              </w:rPr>
            </w:pPr>
            <w:r>
              <w:rPr>
                <w:rFonts w:ascii="Calibri"/>
                <w:sz w:val="21"/>
              </w:rPr>
              <w:t>Total Current Assets</w:t>
            </w:r>
          </w:p>
        </w:tc>
        <w:tc>
          <w:tcPr>
            <w:tcW w:w="2051" w:type="dxa"/>
            <w:tcBorders>
              <w:top w:val="single" w:sz="6" w:space="0" w:color="000000"/>
              <w:bottom w:val="single" w:sz="6" w:space="0" w:color="000000"/>
            </w:tcBorders>
          </w:tcPr>
          <w:p>
            <w:pPr>
              <w:pStyle w:val="TableParagraph"/>
              <w:spacing w:line="251" w:lineRule="exact" w:before="12"/>
              <w:ind w:right="389"/>
              <w:jc w:val="right"/>
              <w:rPr>
                <w:rFonts w:ascii="Calibri"/>
                <w:sz w:val="21"/>
              </w:rPr>
            </w:pPr>
            <w:r>
              <w:rPr>
                <w:rFonts w:ascii="Calibri"/>
                <w:sz w:val="21"/>
              </w:rPr>
              <w:t>61,315,849</w:t>
            </w:r>
          </w:p>
        </w:tc>
        <w:tc>
          <w:tcPr>
            <w:tcW w:w="1676" w:type="dxa"/>
            <w:tcBorders>
              <w:top w:val="single" w:sz="6" w:space="0" w:color="000000"/>
              <w:bottom w:val="single" w:sz="6" w:space="0" w:color="000000"/>
            </w:tcBorders>
          </w:tcPr>
          <w:p>
            <w:pPr>
              <w:pStyle w:val="TableParagraph"/>
              <w:spacing w:line="251" w:lineRule="exact" w:before="12"/>
              <w:ind w:left="350" w:right="329"/>
              <w:jc w:val="center"/>
              <w:rPr>
                <w:rFonts w:ascii="Calibri"/>
                <w:sz w:val="21"/>
              </w:rPr>
            </w:pPr>
            <w:r>
              <w:rPr>
                <w:rFonts w:ascii="Calibri"/>
                <w:sz w:val="21"/>
              </w:rPr>
              <w:t>57,597,126</w:t>
            </w:r>
          </w:p>
        </w:tc>
        <w:tc>
          <w:tcPr>
            <w:tcW w:w="1555" w:type="dxa"/>
            <w:tcBorders>
              <w:top w:val="single" w:sz="6" w:space="0" w:color="000000"/>
              <w:bottom w:val="single" w:sz="6" w:space="0" w:color="000000"/>
            </w:tcBorders>
          </w:tcPr>
          <w:p>
            <w:pPr>
              <w:pStyle w:val="TableParagraph"/>
              <w:spacing w:line="251" w:lineRule="exact" w:before="12"/>
              <w:ind w:right="225"/>
              <w:jc w:val="right"/>
              <w:rPr>
                <w:rFonts w:ascii="Calibri"/>
                <w:sz w:val="21"/>
              </w:rPr>
            </w:pPr>
            <w:r>
              <w:rPr>
                <w:rFonts w:ascii="Calibri"/>
                <w:sz w:val="21"/>
              </w:rPr>
              <w:t>3,479,277</w:t>
            </w:r>
          </w:p>
        </w:tc>
        <w:tc>
          <w:tcPr>
            <w:tcW w:w="1252" w:type="dxa"/>
            <w:tcBorders>
              <w:top w:val="single" w:sz="6" w:space="0" w:color="000000"/>
              <w:bottom w:val="single" w:sz="6" w:space="0" w:color="000000"/>
            </w:tcBorders>
          </w:tcPr>
          <w:p>
            <w:pPr>
              <w:pStyle w:val="TableParagraph"/>
              <w:spacing w:line="251" w:lineRule="exact" w:before="12"/>
              <w:ind w:left="314"/>
              <w:rPr>
                <w:rFonts w:ascii="Calibri"/>
                <w:sz w:val="21"/>
              </w:rPr>
            </w:pPr>
            <w:r>
              <w:rPr>
                <w:rFonts w:ascii="Calibri"/>
                <w:sz w:val="21"/>
              </w:rPr>
              <w:t>6.5%</w:t>
            </w:r>
          </w:p>
        </w:tc>
      </w:tr>
    </w:tbl>
    <w:p>
      <w:pPr>
        <w:spacing w:line="240" w:lineRule="auto" w:before="7"/>
        <w:rPr>
          <w:sz w:val="7"/>
        </w:rPr>
      </w:pPr>
    </w:p>
    <w:p>
      <w:pPr>
        <w:spacing w:line="20" w:lineRule="exact"/>
        <w:ind w:left="10945" w:right="0" w:firstLine="0"/>
        <w:rPr>
          <w:sz w:val="2"/>
        </w:rPr>
      </w:pPr>
      <w:r>
        <w:rPr>
          <w:sz w:val="2"/>
        </w:rPr>
        <w:pict>
          <v:group style="width:.1pt;height:.75pt;mso-position-horizontal-relative:char;mso-position-vertical-relative:line" coordorigin="0,0" coordsize="2,15">
            <v:line style="position:absolute" from="0,0" to="0,0" stroked="true" strokeweight="0pt" strokecolor="#dfdfdf">
              <v:stroke dashstyle="solid"/>
            </v:line>
            <v:shape style="position:absolute;left:0;top:0;width:2;height:15" coordorigin="0,0" coordsize="1,15" path="m0,0l0,14,0,0xe" filled="true" fillcolor="#dfdfdf" stroked="false">
              <v:path arrowok="t"/>
              <v:fill type="solid"/>
            </v:shape>
          </v:group>
        </w:pict>
      </w:r>
      <w:r>
        <w:rPr>
          <w:sz w:val="2"/>
        </w:rPr>
      </w:r>
    </w:p>
    <w:p>
      <w:pPr>
        <w:spacing w:line="240" w:lineRule="auto" w:before="7"/>
        <w:rPr>
          <w:sz w:val="22"/>
        </w:rPr>
      </w:pPr>
    </w:p>
    <w:p>
      <w:pPr>
        <w:spacing w:line="240" w:lineRule="auto" w:before="0"/>
        <w:ind w:left="339" w:right="5682" w:firstLine="0"/>
        <w:jc w:val="both"/>
        <w:rPr>
          <w:sz w:val="22"/>
        </w:rPr>
      </w:pPr>
      <w:r>
        <w:rPr/>
        <w:pict>
          <v:group style="position:absolute;margin-left:575.292358pt;margin-top:-77.957901pt;width:.1pt;height:.75pt;mso-position-horizontal-relative:page;mso-position-vertical-relative:paragraph;z-index:251804672" coordorigin="11506,-1559" coordsize="2,15">
            <v:line style="position:absolute" from="11506,-1559" to="11506,-1559" stroked="true" strokeweight="0pt" strokecolor="#dfdfdf">
              <v:stroke dashstyle="solid"/>
            </v:line>
            <v:shape style="position:absolute;left:11505;top:-1560;width:2;height:15" coordorigin="11506,-1559" coordsize="1,15" path="m11506,-1559l11506,-1545,11506,-1559xe" filled="true" fillcolor="#dfdfdf" stroked="false">
              <v:path arrowok="t"/>
              <v:fill type="solid"/>
            </v:shape>
            <w10:wrap type="none"/>
          </v:group>
        </w:pict>
      </w:r>
      <w:r>
        <w:rPr/>
        <w:pict>
          <v:group style="position:absolute;margin-left:575.292358pt;margin-top:-63.752449pt;width:.1pt;height:.75pt;mso-position-horizontal-relative:page;mso-position-vertical-relative:paragraph;z-index:251805696" coordorigin="11506,-1275" coordsize="2,15">
            <v:line style="position:absolute" from="11506,-1275" to="11506,-1275" stroked="true" strokeweight="0pt" strokecolor="#dfdfdf">
              <v:stroke dashstyle="solid"/>
            </v:line>
            <v:shape style="position:absolute;left:11505;top:-1276;width:2;height:15" coordorigin="11506,-1275" coordsize="1,15" path="m11506,-1275l11506,-1261,11506,-1275xe" filled="true" fillcolor="#dfdfdf" stroked="false">
              <v:path arrowok="t"/>
              <v:fill type="solid"/>
            </v:shape>
            <w10:wrap type="none"/>
          </v:group>
        </w:pict>
      </w:r>
      <w:r>
        <w:rPr/>
        <w:pict>
          <v:group style="position:absolute;margin-left:575.292358pt;margin-top:-49.546997pt;width:.1pt;height:.75pt;mso-position-horizontal-relative:page;mso-position-vertical-relative:paragraph;z-index:251806720" coordorigin="11506,-991" coordsize="2,15">
            <v:line style="position:absolute" from="11506,-991" to="11506,-991" stroked="true" strokeweight="0pt" strokecolor="#dfdfdf">
              <v:stroke dashstyle="solid"/>
            </v:line>
            <v:shape style="position:absolute;left:11505;top:-991;width:2;height:15" coordorigin="11506,-991" coordsize="1,15" path="m11506,-991l11506,-977,11506,-991xe" filled="true" fillcolor="#dfdfdf" stroked="false">
              <v:path arrowok="t"/>
              <v:fill type="solid"/>
            </v:shape>
            <w10:wrap type="none"/>
          </v:group>
        </w:pict>
      </w:r>
      <w:r>
        <w:rPr/>
        <w:drawing>
          <wp:anchor distT="0" distB="0" distL="0" distR="0" allowOverlap="1" layoutInCell="1" locked="0" behindDoc="0" simplePos="0" relativeHeight="251807744">
            <wp:simplePos x="0" y="0"/>
            <wp:positionH relativeFrom="page">
              <wp:posOffset>3933477</wp:posOffset>
            </wp:positionH>
            <wp:positionV relativeFrom="paragraph">
              <wp:posOffset>-22050</wp:posOffset>
            </wp:positionV>
            <wp:extent cx="3343574" cy="2390869"/>
            <wp:effectExtent l="0" t="0" r="0" b="0"/>
            <wp:wrapNone/>
            <wp:docPr id="87" name="image51.jpeg"/>
            <wp:cNvGraphicFramePr>
              <a:graphicFrameLocks noChangeAspect="1"/>
            </wp:cNvGraphicFramePr>
            <a:graphic>
              <a:graphicData uri="http://schemas.openxmlformats.org/drawingml/2006/picture">
                <pic:pic>
                  <pic:nvPicPr>
                    <pic:cNvPr id="88" name="image51.jpeg"/>
                    <pic:cNvPicPr/>
                  </pic:nvPicPr>
                  <pic:blipFill>
                    <a:blip r:embed="rId144" cstate="print"/>
                    <a:stretch>
                      <a:fillRect/>
                    </a:stretch>
                  </pic:blipFill>
                  <pic:spPr>
                    <a:xfrm>
                      <a:off x="0" y="0"/>
                      <a:ext cx="3343574" cy="2390869"/>
                    </a:xfrm>
                    <a:prstGeom prst="rect">
                      <a:avLst/>
                    </a:prstGeom>
                  </pic:spPr>
                </pic:pic>
              </a:graphicData>
            </a:graphic>
          </wp:anchor>
        </w:drawing>
      </w:r>
      <w:r>
        <w:rPr>
          <w:color w:val="0033CC"/>
          <w:sz w:val="22"/>
        </w:rPr>
        <w:t>Cash,</w:t>
      </w:r>
      <w:r>
        <w:rPr>
          <w:color w:val="0033CC"/>
          <w:spacing w:val="-7"/>
          <w:sz w:val="22"/>
        </w:rPr>
        <w:t> </w:t>
      </w:r>
      <w:r>
        <w:rPr>
          <w:color w:val="0033CC"/>
          <w:sz w:val="22"/>
        </w:rPr>
        <w:t>Cash</w:t>
      </w:r>
      <w:r>
        <w:rPr>
          <w:color w:val="0033CC"/>
          <w:spacing w:val="-6"/>
          <w:sz w:val="22"/>
        </w:rPr>
        <w:t> </w:t>
      </w:r>
      <w:r>
        <w:rPr>
          <w:color w:val="0033CC"/>
          <w:sz w:val="22"/>
        </w:rPr>
        <w:t>Equivalents</w:t>
      </w:r>
      <w:r>
        <w:rPr>
          <w:color w:val="0033CC"/>
          <w:spacing w:val="-9"/>
          <w:sz w:val="22"/>
        </w:rPr>
        <w:t> </w:t>
      </w:r>
      <w:r>
        <w:rPr>
          <w:color w:val="0033CC"/>
          <w:sz w:val="22"/>
        </w:rPr>
        <w:t>&amp;</w:t>
      </w:r>
      <w:r>
        <w:rPr>
          <w:color w:val="0033CC"/>
          <w:spacing w:val="-5"/>
          <w:sz w:val="22"/>
        </w:rPr>
        <w:t> </w:t>
      </w:r>
      <w:r>
        <w:rPr>
          <w:color w:val="0033CC"/>
          <w:sz w:val="22"/>
        </w:rPr>
        <w:t>Investments</w:t>
      </w:r>
      <w:r>
        <w:rPr>
          <w:color w:val="0033CC"/>
          <w:spacing w:val="-6"/>
          <w:sz w:val="22"/>
        </w:rPr>
        <w:t> </w:t>
      </w:r>
      <w:r>
        <w:rPr>
          <w:sz w:val="22"/>
        </w:rPr>
        <w:t>total</w:t>
      </w:r>
      <w:r>
        <w:rPr>
          <w:spacing w:val="-7"/>
          <w:sz w:val="22"/>
        </w:rPr>
        <w:t> </w:t>
      </w:r>
      <w:r>
        <w:rPr>
          <w:sz w:val="22"/>
        </w:rPr>
        <w:t>$40.5</w:t>
      </w:r>
      <w:r>
        <w:rPr>
          <w:spacing w:val="-5"/>
          <w:sz w:val="22"/>
        </w:rPr>
        <w:t> </w:t>
      </w:r>
      <w:r>
        <w:rPr>
          <w:sz w:val="22"/>
        </w:rPr>
        <w:t>million, reflecting an increase of $2.9 million compared to the same period in June 2024. This increase is primarily attributable to investment revenue earned throughout the past year and an increase in annual State Transit Operating Assistance (STOA) payments. The Authority remains</w:t>
      </w:r>
      <w:r>
        <w:rPr>
          <w:spacing w:val="-9"/>
          <w:sz w:val="22"/>
        </w:rPr>
        <w:t> </w:t>
      </w:r>
      <w:r>
        <w:rPr>
          <w:sz w:val="22"/>
        </w:rPr>
        <w:t>committed</w:t>
      </w:r>
      <w:r>
        <w:rPr>
          <w:spacing w:val="-6"/>
          <w:sz w:val="22"/>
        </w:rPr>
        <w:t> </w:t>
      </w:r>
      <w:r>
        <w:rPr>
          <w:sz w:val="22"/>
        </w:rPr>
        <w:t>to</w:t>
      </w:r>
      <w:r>
        <w:rPr>
          <w:spacing w:val="-7"/>
          <w:sz w:val="22"/>
        </w:rPr>
        <w:t> </w:t>
      </w:r>
      <w:r>
        <w:rPr>
          <w:sz w:val="22"/>
        </w:rPr>
        <w:t>maximizing</w:t>
      </w:r>
      <w:r>
        <w:rPr>
          <w:spacing w:val="-6"/>
          <w:sz w:val="22"/>
        </w:rPr>
        <w:t> </w:t>
      </w:r>
      <w:r>
        <w:rPr>
          <w:sz w:val="22"/>
        </w:rPr>
        <w:t>returns</w:t>
      </w:r>
      <w:r>
        <w:rPr>
          <w:spacing w:val="-8"/>
          <w:sz w:val="22"/>
        </w:rPr>
        <w:t> </w:t>
      </w:r>
      <w:r>
        <w:rPr>
          <w:sz w:val="22"/>
        </w:rPr>
        <w:t>on</w:t>
      </w:r>
      <w:r>
        <w:rPr>
          <w:spacing w:val="-6"/>
          <w:sz w:val="22"/>
        </w:rPr>
        <w:t> </w:t>
      </w:r>
      <w:r>
        <w:rPr>
          <w:sz w:val="22"/>
        </w:rPr>
        <w:t>idle</w:t>
      </w:r>
      <w:r>
        <w:rPr>
          <w:spacing w:val="-5"/>
          <w:sz w:val="22"/>
        </w:rPr>
        <w:t> </w:t>
      </w:r>
      <w:r>
        <w:rPr>
          <w:sz w:val="22"/>
        </w:rPr>
        <w:t>cash</w:t>
      </w:r>
      <w:r>
        <w:rPr>
          <w:spacing w:val="-10"/>
          <w:sz w:val="22"/>
        </w:rPr>
        <w:t> </w:t>
      </w:r>
      <w:r>
        <w:rPr>
          <w:sz w:val="22"/>
        </w:rPr>
        <w:t>by continuing to invest in U.S. Treasury bills. This strategy supports a conservative, low-risk investment approach while generating additional revenue. Staff will continue to actively monitor cash flow and upcoming cash obligations to ensure liquidity is maintained and operational needs are</w:t>
      </w:r>
      <w:r>
        <w:rPr>
          <w:spacing w:val="-3"/>
          <w:sz w:val="22"/>
        </w:rPr>
        <w:t> </w:t>
      </w:r>
      <w:r>
        <w:rPr>
          <w:sz w:val="22"/>
        </w:rPr>
        <w:t>met.</w:t>
      </w:r>
    </w:p>
    <w:p>
      <w:pPr>
        <w:spacing w:line="240" w:lineRule="auto" w:before="0"/>
        <w:rPr>
          <w:sz w:val="22"/>
        </w:rPr>
      </w:pPr>
    </w:p>
    <w:p>
      <w:pPr>
        <w:spacing w:before="0"/>
        <w:ind w:left="339" w:right="0" w:firstLine="0"/>
        <w:jc w:val="left"/>
        <w:rPr>
          <w:sz w:val="22"/>
        </w:rPr>
      </w:pPr>
      <w:r>
        <w:rPr>
          <w:color w:val="0033CC"/>
          <w:sz w:val="22"/>
        </w:rPr>
        <w:t>Receivables &amp; Accrued Receivables </w:t>
      </w:r>
      <w:r>
        <w:rPr>
          <w:sz w:val="22"/>
        </w:rPr>
        <w:t>total $11.7 million, reflecting an increase of $2.3 million compared to June 2024.</w:t>
      </w:r>
    </w:p>
    <w:p>
      <w:pPr>
        <w:spacing w:line="240" w:lineRule="auto" w:before="0"/>
        <w:rPr>
          <w:sz w:val="22"/>
        </w:rPr>
      </w:pPr>
    </w:p>
    <w:p>
      <w:pPr>
        <w:spacing w:line="240" w:lineRule="auto" w:before="0"/>
        <w:ind w:left="699" w:right="150" w:firstLine="0"/>
        <w:jc w:val="both"/>
        <w:rPr>
          <w:sz w:val="22"/>
        </w:rPr>
      </w:pPr>
      <w:r>
        <w:rPr>
          <w:color w:val="0033CC"/>
          <w:sz w:val="22"/>
        </w:rPr>
        <w:t>Trade Receivables and Accruals </w:t>
      </w:r>
      <w:r>
        <w:rPr>
          <w:sz w:val="22"/>
        </w:rPr>
        <w:t>balance total is $566 thousand, reflecting a $490 thousand decrease compared to June 2024. This decrease is attributed to contract service vendors paying invoices timely. Approximately 87% of these receivables are within 30 days of their due date.</w:t>
      </w:r>
    </w:p>
    <w:p>
      <w:pPr>
        <w:spacing w:line="240" w:lineRule="auto" w:before="11"/>
        <w:rPr>
          <w:sz w:val="21"/>
        </w:rPr>
      </w:pPr>
    </w:p>
    <w:p>
      <w:pPr>
        <w:spacing w:before="0"/>
        <w:ind w:left="700" w:right="155" w:hanging="1"/>
        <w:jc w:val="both"/>
        <w:rPr>
          <w:sz w:val="22"/>
        </w:rPr>
      </w:pPr>
      <w:r>
        <w:rPr>
          <w:color w:val="0033CC"/>
          <w:sz w:val="22"/>
        </w:rPr>
        <w:t>Mortgage Tax Receivables </w:t>
      </w:r>
      <w:r>
        <w:rPr>
          <w:sz w:val="22"/>
        </w:rPr>
        <w:t>balance total is $825 thousand, reflecting a $328 thousand increase compared to June 2024. Mortgage Tax Receivables show a favorable increase, driven by continued strength in the local real estate market. These receipts are typically allocated to support the local share of capital purchases. In addition to funding current needs, the Authority conserves a portion of these funds for future use and to help establish and maintain reserves.</w:t>
      </w:r>
    </w:p>
    <w:p>
      <w:pPr>
        <w:spacing w:line="240" w:lineRule="auto" w:before="1"/>
        <w:rPr>
          <w:sz w:val="22"/>
        </w:rPr>
      </w:pPr>
    </w:p>
    <w:p>
      <w:pPr>
        <w:spacing w:line="240" w:lineRule="auto" w:before="0"/>
        <w:ind w:left="700" w:right="154" w:hanging="1"/>
        <w:jc w:val="both"/>
        <w:rPr>
          <w:sz w:val="22"/>
        </w:rPr>
      </w:pPr>
      <w:r>
        <w:rPr/>
        <w:drawing>
          <wp:anchor distT="0" distB="0" distL="0" distR="0" allowOverlap="1" layoutInCell="1" locked="0" behindDoc="1" simplePos="0" relativeHeight="236421120">
            <wp:simplePos x="0" y="0"/>
            <wp:positionH relativeFrom="page">
              <wp:posOffset>2457767</wp:posOffset>
            </wp:positionH>
            <wp:positionV relativeFrom="paragraph">
              <wp:posOffset>789692</wp:posOffset>
            </wp:positionV>
            <wp:extent cx="2856153" cy="865502"/>
            <wp:effectExtent l="0" t="0" r="0" b="0"/>
            <wp:wrapNone/>
            <wp:docPr id="89" name="image50.png"/>
            <wp:cNvGraphicFramePr>
              <a:graphicFrameLocks noChangeAspect="1"/>
            </wp:cNvGraphicFramePr>
            <a:graphic>
              <a:graphicData uri="http://schemas.openxmlformats.org/drawingml/2006/picture">
                <pic:pic>
                  <pic:nvPicPr>
                    <pic:cNvPr id="90" name="image50.png"/>
                    <pic:cNvPicPr/>
                  </pic:nvPicPr>
                  <pic:blipFill>
                    <a:blip r:embed="rId145" cstate="print"/>
                    <a:stretch>
                      <a:fillRect/>
                    </a:stretch>
                  </pic:blipFill>
                  <pic:spPr>
                    <a:xfrm>
                      <a:off x="0" y="0"/>
                      <a:ext cx="2856153" cy="865502"/>
                    </a:xfrm>
                    <a:prstGeom prst="rect">
                      <a:avLst/>
                    </a:prstGeom>
                  </pic:spPr>
                </pic:pic>
              </a:graphicData>
            </a:graphic>
          </wp:anchor>
        </w:drawing>
      </w:r>
      <w:r>
        <w:rPr>
          <w:color w:val="0033CC"/>
          <w:sz w:val="22"/>
        </w:rPr>
        <w:t>Operating Assistance Receivables </w:t>
      </w:r>
      <w:r>
        <w:rPr>
          <w:sz w:val="22"/>
        </w:rPr>
        <w:t>total $3.8 million, reflecting an increase of $3.4 million compared to June 2024. This increase is primarily attributed to New York State’s 5311 operating assistance, COVID relief funds received through the American Rescue Plan (ARP) and Coronavirus Response and Relief Supplemental Appropriations Act (CRRSA) programs, for Cayuga, Oswego, Rural Onondaga, and Oneida Counties. While these funds have been awarded, there continues to be a delay in reimbursement from New York State.</w:t>
      </w:r>
    </w:p>
    <w:p>
      <w:pPr>
        <w:spacing w:after="0" w:line="240" w:lineRule="auto"/>
        <w:jc w:val="both"/>
        <w:rPr>
          <w:sz w:val="22"/>
        </w:rPr>
        <w:sectPr>
          <w:headerReference w:type="default" r:id="rId142"/>
          <w:footerReference w:type="default" r:id="rId143"/>
          <w:pgSz w:w="12240" w:h="15840"/>
          <w:pgMar w:header="790" w:footer="0" w:top="1240" w:bottom="0" w:left="560" w:right="560"/>
          <w:pgNumType w:start="3"/>
        </w:sectPr>
      </w:pPr>
    </w:p>
    <w:p>
      <w:pPr>
        <w:spacing w:line="240" w:lineRule="auto" w:before="0"/>
        <w:rPr>
          <w:sz w:val="20"/>
        </w:rPr>
      </w:pPr>
    </w:p>
    <w:p>
      <w:pPr>
        <w:spacing w:line="240" w:lineRule="auto" w:before="9"/>
        <w:rPr>
          <w:sz w:val="17"/>
        </w:rPr>
      </w:pPr>
    </w:p>
    <w:p>
      <w:pPr>
        <w:spacing w:line="240" w:lineRule="auto" w:before="1"/>
        <w:ind w:left="700" w:right="152" w:firstLine="0"/>
        <w:jc w:val="both"/>
        <w:rPr>
          <w:sz w:val="22"/>
        </w:rPr>
      </w:pPr>
      <w:r>
        <w:rPr>
          <w:color w:val="0033CC"/>
          <w:sz w:val="22"/>
        </w:rPr>
        <w:t>Grant Receivables </w:t>
      </w:r>
      <w:r>
        <w:rPr>
          <w:sz w:val="22"/>
        </w:rPr>
        <w:t>total $6.4 million, reflecting a $427 thousand decrease compared to June 2024. The balance consists</w:t>
      </w:r>
      <w:r>
        <w:rPr>
          <w:spacing w:val="-12"/>
          <w:sz w:val="22"/>
        </w:rPr>
        <w:t> </w:t>
      </w:r>
      <w:r>
        <w:rPr>
          <w:sz w:val="22"/>
        </w:rPr>
        <w:t>of</w:t>
      </w:r>
      <w:r>
        <w:rPr>
          <w:spacing w:val="-11"/>
          <w:sz w:val="22"/>
        </w:rPr>
        <w:t> </w:t>
      </w:r>
      <w:r>
        <w:rPr>
          <w:sz w:val="22"/>
        </w:rPr>
        <w:t>$1.1</w:t>
      </w:r>
      <w:r>
        <w:rPr>
          <w:spacing w:val="-9"/>
          <w:sz w:val="22"/>
        </w:rPr>
        <w:t> </w:t>
      </w:r>
      <w:r>
        <w:rPr>
          <w:sz w:val="22"/>
        </w:rPr>
        <w:t>million</w:t>
      </w:r>
      <w:r>
        <w:rPr>
          <w:spacing w:val="-10"/>
          <w:sz w:val="22"/>
        </w:rPr>
        <w:t> </w:t>
      </w:r>
      <w:r>
        <w:rPr>
          <w:sz w:val="22"/>
        </w:rPr>
        <w:t>in</w:t>
      </w:r>
      <w:r>
        <w:rPr>
          <w:spacing w:val="-10"/>
          <w:sz w:val="22"/>
        </w:rPr>
        <w:t> </w:t>
      </w:r>
      <w:r>
        <w:rPr>
          <w:sz w:val="22"/>
        </w:rPr>
        <w:t>Federal</w:t>
      </w:r>
      <w:r>
        <w:rPr>
          <w:spacing w:val="-9"/>
          <w:sz w:val="22"/>
        </w:rPr>
        <w:t> </w:t>
      </w:r>
      <w:r>
        <w:rPr>
          <w:sz w:val="22"/>
        </w:rPr>
        <w:t>Transit</w:t>
      </w:r>
      <w:r>
        <w:rPr>
          <w:spacing w:val="-9"/>
          <w:sz w:val="22"/>
        </w:rPr>
        <w:t> </w:t>
      </w:r>
      <w:r>
        <w:rPr>
          <w:sz w:val="22"/>
        </w:rPr>
        <w:t>Administration</w:t>
      </w:r>
      <w:r>
        <w:rPr>
          <w:spacing w:val="-10"/>
          <w:sz w:val="22"/>
        </w:rPr>
        <w:t> </w:t>
      </w:r>
      <w:r>
        <w:rPr>
          <w:sz w:val="22"/>
        </w:rPr>
        <w:t>(FTA)</w:t>
      </w:r>
      <w:r>
        <w:rPr>
          <w:spacing w:val="-9"/>
          <w:sz w:val="22"/>
        </w:rPr>
        <w:t> </w:t>
      </w:r>
      <w:r>
        <w:rPr>
          <w:sz w:val="22"/>
        </w:rPr>
        <w:t>grant</w:t>
      </w:r>
      <w:r>
        <w:rPr>
          <w:spacing w:val="-8"/>
          <w:sz w:val="22"/>
        </w:rPr>
        <w:t> </w:t>
      </w:r>
      <w:r>
        <w:rPr>
          <w:sz w:val="22"/>
        </w:rPr>
        <w:t>reimbursements,</w:t>
      </w:r>
      <w:r>
        <w:rPr>
          <w:spacing w:val="-9"/>
          <w:sz w:val="22"/>
        </w:rPr>
        <w:t> </w:t>
      </w:r>
      <w:r>
        <w:rPr>
          <w:sz w:val="22"/>
        </w:rPr>
        <w:t>with</w:t>
      </w:r>
      <w:r>
        <w:rPr>
          <w:spacing w:val="-10"/>
          <w:sz w:val="22"/>
        </w:rPr>
        <w:t> </w:t>
      </w:r>
      <w:r>
        <w:rPr>
          <w:sz w:val="22"/>
        </w:rPr>
        <w:t>90%</w:t>
      </w:r>
      <w:r>
        <w:rPr>
          <w:spacing w:val="-11"/>
          <w:sz w:val="22"/>
        </w:rPr>
        <w:t> </w:t>
      </w:r>
      <w:r>
        <w:rPr>
          <w:sz w:val="22"/>
        </w:rPr>
        <w:t>of</w:t>
      </w:r>
      <w:r>
        <w:rPr>
          <w:spacing w:val="-10"/>
          <w:sz w:val="22"/>
        </w:rPr>
        <w:t> </w:t>
      </w:r>
      <w:r>
        <w:rPr>
          <w:sz w:val="22"/>
        </w:rPr>
        <w:t>those</w:t>
      </w:r>
      <w:r>
        <w:rPr>
          <w:spacing w:val="-8"/>
          <w:sz w:val="22"/>
        </w:rPr>
        <w:t> </w:t>
      </w:r>
      <w:r>
        <w:rPr>
          <w:sz w:val="22"/>
        </w:rPr>
        <w:t>receivables outstanding for less than 30 days. The remaining $5.3 million relates to New York State grant reimbursements, of which 79% are between 61 and 90 days past due. Reimbursement delays from New York State continue to impact the timing of cash flow associated with these</w:t>
      </w:r>
      <w:r>
        <w:rPr>
          <w:spacing w:val="-9"/>
          <w:sz w:val="22"/>
        </w:rPr>
        <w:t> </w:t>
      </w:r>
      <w:r>
        <w:rPr>
          <w:sz w:val="22"/>
        </w:rPr>
        <w:t>grants.</w:t>
      </w:r>
    </w:p>
    <w:p>
      <w:pPr>
        <w:spacing w:line="240" w:lineRule="auto" w:before="10"/>
        <w:rPr>
          <w:sz w:val="21"/>
        </w:rPr>
      </w:pPr>
    </w:p>
    <w:p>
      <w:pPr>
        <w:spacing w:before="1"/>
        <w:ind w:left="340" w:right="155" w:hanging="1"/>
        <w:jc w:val="both"/>
        <w:rPr>
          <w:sz w:val="22"/>
        </w:rPr>
      </w:pPr>
      <w:r>
        <w:rPr>
          <w:color w:val="0033CC"/>
          <w:sz w:val="22"/>
        </w:rPr>
        <w:t>Materials &amp; Supplies </w:t>
      </w:r>
      <w:r>
        <w:rPr>
          <w:sz w:val="22"/>
        </w:rPr>
        <w:t>total $3.6 million, reflecting a decrease of $563 thousand decrease compared to June 2024. This reduction</w:t>
      </w:r>
      <w:r>
        <w:rPr>
          <w:spacing w:val="-5"/>
          <w:sz w:val="22"/>
        </w:rPr>
        <w:t> </w:t>
      </w:r>
      <w:r>
        <w:rPr>
          <w:sz w:val="22"/>
        </w:rPr>
        <w:t>is</w:t>
      </w:r>
      <w:r>
        <w:rPr>
          <w:spacing w:val="-3"/>
          <w:sz w:val="22"/>
        </w:rPr>
        <w:t> </w:t>
      </w:r>
      <w:r>
        <w:rPr>
          <w:sz w:val="22"/>
        </w:rPr>
        <w:t>the</w:t>
      </w:r>
      <w:r>
        <w:rPr>
          <w:spacing w:val="-3"/>
          <w:sz w:val="22"/>
        </w:rPr>
        <w:t> </w:t>
      </w:r>
      <w:r>
        <w:rPr>
          <w:sz w:val="22"/>
        </w:rPr>
        <w:t>result</w:t>
      </w:r>
      <w:r>
        <w:rPr>
          <w:spacing w:val="-3"/>
          <w:sz w:val="22"/>
        </w:rPr>
        <w:t> </w:t>
      </w:r>
      <w:r>
        <w:rPr>
          <w:sz w:val="22"/>
        </w:rPr>
        <w:t>of</w:t>
      </w:r>
      <w:r>
        <w:rPr>
          <w:spacing w:val="-4"/>
          <w:sz w:val="22"/>
        </w:rPr>
        <w:t> </w:t>
      </w:r>
      <w:r>
        <w:rPr>
          <w:sz w:val="22"/>
        </w:rPr>
        <w:t>regular</w:t>
      </w:r>
      <w:r>
        <w:rPr>
          <w:spacing w:val="-5"/>
          <w:sz w:val="22"/>
        </w:rPr>
        <w:t> </w:t>
      </w:r>
      <w:r>
        <w:rPr>
          <w:sz w:val="22"/>
        </w:rPr>
        <w:t>inventory</w:t>
      </w:r>
      <w:r>
        <w:rPr>
          <w:spacing w:val="-2"/>
          <w:sz w:val="22"/>
        </w:rPr>
        <w:t> </w:t>
      </w:r>
      <w:r>
        <w:rPr>
          <w:sz w:val="22"/>
        </w:rPr>
        <w:t>reviews,</w:t>
      </w:r>
      <w:r>
        <w:rPr>
          <w:spacing w:val="-3"/>
          <w:sz w:val="22"/>
        </w:rPr>
        <w:t> </w:t>
      </w:r>
      <w:r>
        <w:rPr>
          <w:sz w:val="22"/>
        </w:rPr>
        <w:t>timely</w:t>
      </w:r>
      <w:r>
        <w:rPr>
          <w:spacing w:val="-2"/>
          <w:sz w:val="22"/>
        </w:rPr>
        <w:t> </w:t>
      </w:r>
      <w:r>
        <w:rPr>
          <w:sz w:val="22"/>
        </w:rPr>
        <w:t>disposal</w:t>
      </w:r>
      <w:r>
        <w:rPr>
          <w:spacing w:val="-6"/>
          <w:sz w:val="22"/>
        </w:rPr>
        <w:t> </w:t>
      </w:r>
      <w:r>
        <w:rPr>
          <w:sz w:val="22"/>
        </w:rPr>
        <w:t>of</w:t>
      </w:r>
      <w:r>
        <w:rPr>
          <w:spacing w:val="-5"/>
          <w:sz w:val="22"/>
        </w:rPr>
        <w:t> </w:t>
      </w:r>
      <w:r>
        <w:rPr>
          <w:sz w:val="22"/>
        </w:rPr>
        <w:t>obsolete</w:t>
      </w:r>
      <w:r>
        <w:rPr>
          <w:spacing w:val="-3"/>
          <w:sz w:val="22"/>
        </w:rPr>
        <w:t> </w:t>
      </w:r>
      <w:r>
        <w:rPr>
          <w:sz w:val="22"/>
        </w:rPr>
        <w:t>parts,</w:t>
      </w:r>
      <w:r>
        <w:rPr>
          <w:spacing w:val="-3"/>
          <w:sz w:val="22"/>
        </w:rPr>
        <w:t> </w:t>
      </w:r>
      <w:r>
        <w:rPr>
          <w:sz w:val="22"/>
        </w:rPr>
        <w:t>and</w:t>
      </w:r>
      <w:r>
        <w:rPr>
          <w:spacing w:val="-4"/>
          <w:sz w:val="22"/>
        </w:rPr>
        <w:t> </w:t>
      </w:r>
      <w:r>
        <w:rPr>
          <w:sz w:val="22"/>
        </w:rPr>
        <w:t>continued</w:t>
      </w:r>
      <w:r>
        <w:rPr>
          <w:spacing w:val="-4"/>
          <w:sz w:val="22"/>
        </w:rPr>
        <w:t> </w:t>
      </w:r>
      <w:r>
        <w:rPr>
          <w:sz w:val="22"/>
        </w:rPr>
        <w:t>efforts</w:t>
      </w:r>
      <w:r>
        <w:rPr>
          <w:spacing w:val="-6"/>
          <w:sz w:val="22"/>
        </w:rPr>
        <w:t> </w:t>
      </w:r>
      <w:r>
        <w:rPr>
          <w:sz w:val="22"/>
        </w:rPr>
        <w:t>to</w:t>
      </w:r>
      <w:r>
        <w:rPr>
          <w:spacing w:val="-3"/>
          <w:sz w:val="22"/>
        </w:rPr>
        <w:t> </w:t>
      </w:r>
      <w:r>
        <w:rPr>
          <w:sz w:val="22"/>
        </w:rPr>
        <w:t>optimize inventory levels. These practices have helped maintain tighter controls and improve overall inventory</w:t>
      </w:r>
      <w:r>
        <w:rPr>
          <w:spacing w:val="-32"/>
          <w:sz w:val="22"/>
        </w:rPr>
        <w:t> </w:t>
      </w:r>
      <w:r>
        <w:rPr>
          <w:sz w:val="22"/>
        </w:rPr>
        <w:t>management.</w:t>
      </w:r>
    </w:p>
    <w:p>
      <w:pPr>
        <w:spacing w:line="240" w:lineRule="auto" w:before="0"/>
        <w:rPr>
          <w:sz w:val="22"/>
        </w:rPr>
      </w:pPr>
    </w:p>
    <w:p>
      <w:pPr>
        <w:spacing w:before="0"/>
        <w:ind w:left="340" w:right="157" w:firstLine="0"/>
        <w:jc w:val="both"/>
        <w:rPr>
          <w:sz w:val="22"/>
        </w:rPr>
      </w:pPr>
      <w:r>
        <w:rPr>
          <w:color w:val="0033CC"/>
          <w:sz w:val="22"/>
        </w:rPr>
        <w:t>Prepaids</w:t>
      </w:r>
      <w:r>
        <w:rPr>
          <w:color w:val="0033CC"/>
          <w:spacing w:val="-4"/>
          <w:sz w:val="22"/>
        </w:rPr>
        <w:t> </w:t>
      </w:r>
      <w:r>
        <w:rPr>
          <w:color w:val="0033CC"/>
          <w:sz w:val="22"/>
        </w:rPr>
        <w:t>Expenses</w:t>
      </w:r>
      <w:r>
        <w:rPr>
          <w:color w:val="0033CC"/>
          <w:spacing w:val="-4"/>
          <w:sz w:val="22"/>
        </w:rPr>
        <w:t> </w:t>
      </w:r>
      <w:r>
        <w:rPr>
          <w:color w:val="0033CC"/>
          <w:sz w:val="22"/>
        </w:rPr>
        <w:t>and</w:t>
      </w:r>
      <w:r>
        <w:rPr>
          <w:color w:val="0033CC"/>
          <w:spacing w:val="-4"/>
          <w:sz w:val="22"/>
        </w:rPr>
        <w:t> </w:t>
      </w:r>
      <w:r>
        <w:rPr>
          <w:color w:val="0033CC"/>
          <w:sz w:val="22"/>
        </w:rPr>
        <w:t>Other</w:t>
      </w:r>
      <w:r>
        <w:rPr>
          <w:color w:val="0033CC"/>
          <w:spacing w:val="-4"/>
          <w:sz w:val="22"/>
        </w:rPr>
        <w:t> </w:t>
      </w:r>
      <w:r>
        <w:rPr>
          <w:color w:val="0033CC"/>
          <w:sz w:val="22"/>
        </w:rPr>
        <w:t>Current</w:t>
      </w:r>
      <w:r>
        <w:rPr>
          <w:color w:val="0033CC"/>
          <w:spacing w:val="-3"/>
          <w:sz w:val="22"/>
        </w:rPr>
        <w:t> </w:t>
      </w:r>
      <w:r>
        <w:rPr>
          <w:color w:val="0033CC"/>
          <w:sz w:val="22"/>
        </w:rPr>
        <w:t>Assets</w:t>
      </w:r>
      <w:r>
        <w:rPr>
          <w:color w:val="0033CC"/>
          <w:spacing w:val="-4"/>
          <w:sz w:val="22"/>
        </w:rPr>
        <w:t> </w:t>
      </w:r>
      <w:r>
        <w:rPr>
          <w:sz w:val="22"/>
        </w:rPr>
        <w:t>total</w:t>
      </w:r>
      <w:r>
        <w:rPr>
          <w:spacing w:val="-6"/>
          <w:sz w:val="22"/>
        </w:rPr>
        <w:t> </w:t>
      </w:r>
      <w:r>
        <w:rPr>
          <w:sz w:val="22"/>
        </w:rPr>
        <w:t>$5.6</w:t>
      </w:r>
      <w:r>
        <w:rPr>
          <w:spacing w:val="-6"/>
          <w:sz w:val="22"/>
        </w:rPr>
        <w:t> </w:t>
      </w:r>
      <w:r>
        <w:rPr>
          <w:sz w:val="22"/>
        </w:rPr>
        <w:t>million,</w:t>
      </w:r>
      <w:r>
        <w:rPr>
          <w:spacing w:val="-3"/>
          <w:sz w:val="22"/>
        </w:rPr>
        <w:t> </w:t>
      </w:r>
      <w:r>
        <w:rPr>
          <w:sz w:val="22"/>
        </w:rPr>
        <w:t>reflecting</w:t>
      </w:r>
      <w:r>
        <w:rPr>
          <w:spacing w:val="-5"/>
          <w:sz w:val="22"/>
        </w:rPr>
        <w:t> </w:t>
      </w:r>
      <w:r>
        <w:rPr>
          <w:sz w:val="22"/>
        </w:rPr>
        <w:t>a</w:t>
      </w:r>
      <w:r>
        <w:rPr>
          <w:spacing w:val="-4"/>
          <w:sz w:val="22"/>
        </w:rPr>
        <w:t> </w:t>
      </w:r>
      <w:r>
        <w:rPr>
          <w:sz w:val="22"/>
        </w:rPr>
        <w:t>decrease</w:t>
      </w:r>
      <w:r>
        <w:rPr>
          <w:spacing w:val="-4"/>
          <w:sz w:val="22"/>
        </w:rPr>
        <w:t> </w:t>
      </w:r>
      <w:r>
        <w:rPr>
          <w:sz w:val="22"/>
        </w:rPr>
        <w:t>of</w:t>
      </w:r>
      <w:r>
        <w:rPr>
          <w:spacing w:val="-6"/>
          <w:sz w:val="22"/>
        </w:rPr>
        <w:t> </w:t>
      </w:r>
      <w:r>
        <w:rPr>
          <w:sz w:val="22"/>
        </w:rPr>
        <w:t>$1.1</w:t>
      </w:r>
      <w:r>
        <w:rPr>
          <w:spacing w:val="-3"/>
          <w:sz w:val="22"/>
        </w:rPr>
        <w:t> </w:t>
      </w:r>
      <w:r>
        <w:rPr>
          <w:sz w:val="22"/>
        </w:rPr>
        <w:t>million</w:t>
      </w:r>
      <w:r>
        <w:rPr>
          <w:spacing w:val="-4"/>
          <w:sz w:val="22"/>
        </w:rPr>
        <w:t> </w:t>
      </w:r>
      <w:r>
        <w:rPr>
          <w:sz w:val="22"/>
        </w:rPr>
        <w:t>compared</w:t>
      </w:r>
      <w:r>
        <w:rPr>
          <w:spacing w:val="-5"/>
          <w:sz w:val="22"/>
        </w:rPr>
        <w:t> </w:t>
      </w:r>
      <w:r>
        <w:rPr>
          <w:sz w:val="22"/>
        </w:rPr>
        <w:t>to</w:t>
      </w:r>
      <w:r>
        <w:rPr>
          <w:spacing w:val="-2"/>
          <w:sz w:val="22"/>
        </w:rPr>
        <w:t> </w:t>
      </w:r>
      <w:r>
        <w:rPr>
          <w:sz w:val="22"/>
        </w:rPr>
        <w:t>March 2024.</w:t>
      </w:r>
      <w:r>
        <w:rPr>
          <w:spacing w:val="-5"/>
          <w:sz w:val="22"/>
        </w:rPr>
        <w:t> </w:t>
      </w:r>
      <w:r>
        <w:rPr>
          <w:sz w:val="22"/>
        </w:rPr>
        <w:t>This</w:t>
      </w:r>
      <w:r>
        <w:rPr>
          <w:spacing w:val="-2"/>
          <w:sz w:val="22"/>
        </w:rPr>
        <w:t> </w:t>
      </w:r>
      <w:r>
        <w:rPr>
          <w:sz w:val="22"/>
        </w:rPr>
        <w:t>decrease</w:t>
      </w:r>
      <w:r>
        <w:rPr>
          <w:spacing w:val="-3"/>
          <w:sz w:val="22"/>
        </w:rPr>
        <w:t> </w:t>
      </w:r>
      <w:r>
        <w:rPr>
          <w:sz w:val="22"/>
        </w:rPr>
        <w:t>is</w:t>
      </w:r>
      <w:r>
        <w:rPr>
          <w:spacing w:val="-2"/>
          <w:sz w:val="22"/>
        </w:rPr>
        <w:t> </w:t>
      </w:r>
      <w:r>
        <w:rPr>
          <w:sz w:val="22"/>
        </w:rPr>
        <w:t>primarily</w:t>
      </w:r>
      <w:r>
        <w:rPr>
          <w:spacing w:val="-1"/>
          <w:sz w:val="22"/>
        </w:rPr>
        <w:t> </w:t>
      </w:r>
      <w:r>
        <w:rPr>
          <w:sz w:val="22"/>
        </w:rPr>
        <w:t>due to</w:t>
      </w:r>
      <w:r>
        <w:rPr>
          <w:spacing w:val="-1"/>
          <w:sz w:val="22"/>
        </w:rPr>
        <w:t> </w:t>
      </w:r>
      <w:r>
        <w:rPr>
          <w:sz w:val="22"/>
        </w:rPr>
        <w:t>a</w:t>
      </w:r>
      <w:r>
        <w:rPr>
          <w:spacing w:val="-3"/>
          <w:sz w:val="22"/>
        </w:rPr>
        <w:t> </w:t>
      </w:r>
      <w:r>
        <w:rPr>
          <w:sz w:val="22"/>
        </w:rPr>
        <w:t>reduction</w:t>
      </w:r>
      <w:r>
        <w:rPr>
          <w:spacing w:val="-3"/>
          <w:sz w:val="22"/>
        </w:rPr>
        <w:t> </w:t>
      </w:r>
      <w:r>
        <w:rPr>
          <w:sz w:val="22"/>
        </w:rPr>
        <w:t>in</w:t>
      </w:r>
      <w:r>
        <w:rPr>
          <w:spacing w:val="-3"/>
          <w:sz w:val="22"/>
        </w:rPr>
        <w:t> </w:t>
      </w:r>
      <w:r>
        <w:rPr>
          <w:sz w:val="22"/>
        </w:rPr>
        <w:t>the cash</w:t>
      </w:r>
      <w:r>
        <w:rPr>
          <w:spacing w:val="-3"/>
          <w:sz w:val="22"/>
        </w:rPr>
        <w:t> </w:t>
      </w:r>
      <w:r>
        <w:rPr>
          <w:sz w:val="22"/>
        </w:rPr>
        <w:t>collateral</w:t>
      </w:r>
      <w:r>
        <w:rPr>
          <w:spacing w:val="-2"/>
          <w:sz w:val="22"/>
        </w:rPr>
        <w:t> </w:t>
      </w:r>
      <w:r>
        <w:rPr>
          <w:sz w:val="22"/>
        </w:rPr>
        <w:t>held</w:t>
      </w:r>
      <w:r>
        <w:rPr>
          <w:spacing w:val="-2"/>
          <w:sz w:val="22"/>
        </w:rPr>
        <w:t> </w:t>
      </w:r>
      <w:r>
        <w:rPr>
          <w:sz w:val="22"/>
        </w:rPr>
        <w:t>for</w:t>
      </w:r>
      <w:r>
        <w:rPr>
          <w:spacing w:val="-4"/>
          <w:sz w:val="22"/>
        </w:rPr>
        <w:t> </w:t>
      </w:r>
      <w:r>
        <w:rPr>
          <w:sz w:val="22"/>
        </w:rPr>
        <w:t>the workers’</w:t>
      </w:r>
      <w:r>
        <w:rPr>
          <w:spacing w:val="-2"/>
          <w:sz w:val="22"/>
        </w:rPr>
        <w:t> </w:t>
      </w:r>
      <w:r>
        <w:rPr>
          <w:sz w:val="22"/>
        </w:rPr>
        <w:t>compensation</w:t>
      </w:r>
      <w:r>
        <w:rPr>
          <w:spacing w:val="-5"/>
          <w:sz w:val="22"/>
        </w:rPr>
        <w:t> </w:t>
      </w:r>
      <w:r>
        <w:rPr>
          <w:sz w:val="22"/>
        </w:rPr>
        <w:t>program.</w:t>
      </w:r>
    </w:p>
    <w:p>
      <w:pPr>
        <w:spacing w:line="240" w:lineRule="auto" w:before="10"/>
        <w:rPr>
          <w:sz w:val="21"/>
        </w:rPr>
      </w:pPr>
    </w:p>
    <w:p>
      <w:pPr>
        <w:spacing w:before="1"/>
        <w:ind w:left="160" w:right="0" w:firstLine="0"/>
        <w:jc w:val="left"/>
        <w:rPr>
          <w:sz w:val="22"/>
        </w:rPr>
      </w:pPr>
      <w:r>
        <w:rPr>
          <w:color w:val="0033CC"/>
          <w:sz w:val="22"/>
        </w:rPr>
        <w:t>Current Liabilities </w:t>
      </w:r>
      <w:r>
        <w:rPr>
          <w:sz w:val="22"/>
        </w:rPr>
        <w:t>total $6.8 million, reflecting a $704 thousand, or a 11.6% decrease compared to June 2024.</w:t>
      </w:r>
    </w:p>
    <w:p>
      <w:pPr>
        <w:spacing w:line="240" w:lineRule="auto" w:before="4"/>
        <w:rPr>
          <w:sz w:val="18"/>
        </w:rPr>
      </w:pPr>
      <w:r>
        <w:rPr/>
        <w:pict>
          <v:group style="position:absolute;margin-left:35.999699pt;margin-top:13.567768pt;width:539.3pt;height:32.65pt;mso-position-horizontal-relative:page;mso-position-vertical-relative:paragraph;z-index:-251504640;mso-wrap-distance-left:0;mso-wrap-distance-right:0" coordorigin="720,271" coordsize="10786,653">
            <v:rect style="position:absolute;left:734;top:285;width:10772;height:639" filled="true" fillcolor="#001f5f" stroked="false">
              <v:fill type="solid"/>
            </v:rect>
            <v:shape style="position:absolute;left:720;top:271;width:15;height:2" coordorigin="720,271" coordsize="15,0" path="m720,271l734,271e" filled="true" fillcolor="#dfdfdf" stroked="false">
              <v:path arrowok="t"/>
              <v:fill type="solid"/>
            </v:shape>
            <v:shape style="position:absolute;left:4957;top:271;width:15;height:2" coordorigin="4957,271" coordsize="15,0" path="m4957,271l4972,271e" filled="true" fillcolor="#dfdfdf" stroked="false">
              <v:path arrowok="t"/>
              <v:fill type="solid"/>
            </v:shape>
            <v:shape style="position:absolute;left:6655;top:271;width:15;height:2" coordorigin="6655,271" coordsize="15,0" path="m6655,271l6669,271e" filled="true" fillcolor="#dfdfdf" stroked="false">
              <v:path arrowok="t"/>
              <v:fill type="solid"/>
            </v:shape>
            <v:shape style="position:absolute;left:8352;top:271;width:15;height:2" coordorigin="8353,271" coordsize="15,0" path="m8353,271l8367,271e" filled="true" fillcolor="#dfdfdf" stroked="false">
              <v:path arrowok="t"/>
              <v:fill type="solid"/>
            </v:shape>
            <v:shape style="position:absolute;left:10050;top:271;width:15;height:2" coordorigin="10051,271" coordsize="15,0" path="m10051,271l10065,271e" filled="true" fillcolor="#dfdfdf" stroked="false">
              <v:path arrowok="t"/>
              <v:fill type="solid"/>
            </v:shape>
            <v:shape style="position:absolute;left:11491;top:271;width:15;height:2" coordorigin="11492,271" coordsize="15,0" path="m11492,271l11506,271e" filled="true" fillcolor="#dfdfdf" stroked="false">
              <v:path arrowok="t"/>
              <v:fill type="solid"/>
            </v:shape>
            <v:line style="position:absolute" from="4957,271" to="4957,924" stroked="true" strokeweight="0pt" strokecolor="#ffffff">
              <v:stroke dashstyle="solid"/>
            </v:line>
            <v:line style="position:absolute" from="4964,271" to="4964,924" stroked="true" strokeweight=".714063pt" strokecolor="#ffffff">
              <v:stroke dashstyle="solid"/>
            </v:line>
            <v:line style="position:absolute" from="6655,271" to="6655,924" stroked="true" strokeweight="0pt" strokecolor="#ffffff">
              <v:stroke dashstyle="solid"/>
            </v:line>
            <v:line style="position:absolute" from="6662,271" to="6662,924" stroked="true" strokeweight=".71335pt" strokecolor="#ffffff">
              <v:stroke dashstyle="solid"/>
            </v:line>
            <v:line style="position:absolute" from="8353,271" to="8353,924" stroked="true" strokeweight="0pt" strokecolor="#ffffff">
              <v:stroke dashstyle="solid"/>
            </v:line>
            <v:line style="position:absolute" from="8360,271" to="8360,924" stroked="true" strokeweight=".71335pt" strokecolor="#ffffff">
              <v:stroke dashstyle="solid"/>
            </v:line>
            <v:line style="position:absolute" from="10051,271" to="10051,924" stroked="true" strokeweight="0pt" strokecolor="#ffffff">
              <v:stroke dashstyle="solid"/>
            </v:line>
            <v:line style="position:absolute" from="10058,271" to="10058,924" stroked="true" strokeweight=".71335pt" strokecolor="#ffffff">
              <v:stroke dashstyle="solid"/>
            </v:line>
            <v:shape style="position:absolute;left:11505;top:271;width:2;height:15" coordorigin="11506,271" coordsize="1,15" path="m11506,271l11506,286,11506,271xe" filled="true" fillcolor="#dfdfdf" stroked="false">
              <v:path arrowok="t"/>
              <v:fill type="solid"/>
            </v:shape>
            <v:line style="position:absolute" from="11506,910" to="11506,910" stroked="true" strokeweight="0pt" strokecolor="#dfdfdf">
              <v:stroke dashstyle="solid"/>
            </v:line>
            <v:shape style="position:absolute;left:11505;top:909;width:2;height:15" coordorigin="11506,910" coordsize="1,15" path="m11506,910l11506,924,11506,910xe" filled="true" fillcolor="#dfdfdf" stroked="false">
              <v:path arrowok="t"/>
              <v:fill type="solid"/>
            </v:shape>
            <v:shape style="position:absolute;left:8595;top:299;width:2812;height:526" type="#_x0000_t202" filled="false" stroked="false">
              <v:textbox inset="0,0,0,0">
                <w:txbxContent>
                  <w:p>
                    <w:pPr>
                      <w:tabs>
                        <w:tab w:pos="1569" w:val="left" w:leader="none"/>
                      </w:tabs>
                      <w:spacing w:line="229" w:lineRule="exact" w:before="0"/>
                      <w:ind w:left="0" w:right="0" w:firstLine="0"/>
                      <w:jc w:val="left"/>
                      <w:rPr>
                        <w:b/>
                        <w:sz w:val="22"/>
                      </w:rPr>
                    </w:pPr>
                    <w:r>
                      <w:rPr>
                        <w:b/>
                        <w:color w:val="FFFFFF"/>
                        <w:w w:val="105"/>
                        <w:sz w:val="22"/>
                      </w:rPr>
                      <w:t>Current</w:t>
                    </w:r>
                    <w:r>
                      <w:rPr>
                        <w:b/>
                        <w:color w:val="FFFFFF"/>
                        <w:spacing w:val="7"/>
                        <w:w w:val="105"/>
                        <w:sz w:val="22"/>
                      </w:rPr>
                      <w:t> </w:t>
                    </w:r>
                    <w:r>
                      <w:rPr>
                        <w:b/>
                        <w:color w:val="FFFFFF"/>
                        <w:w w:val="105"/>
                        <w:sz w:val="22"/>
                      </w:rPr>
                      <w:t>Year</w:t>
                      <w:tab/>
                      <w:t>Current</w:t>
                    </w:r>
                    <w:r>
                      <w:rPr>
                        <w:b/>
                        <w:color w:val="FFFFFF"/>
                        <w:spacing w:val="5"/>
                        <w:w w:val="105"/>
                        <w:sz w:val="22"/>
                      </w:rPr>
                      <w:t> </w:t>
                    </w:r>
                    <w:r>
                      <w:rPr>
                        <w:b/>
                        <w:color w:val="FFFFFF"/>
                        <w:w w:val="105"/>
                        <w:sz w:val="22"/>
                      </w:rPr>
                      <w:t>Year</w:t>
                    </w:r>
                  </w:p>
                  <w:p>
                    <w:pPr>
                      <w:tabs>
                        <w:tab w:pos="1711" w:val="left" w:leader="none"/>
                      </w:tabs>
                      <w:spacing w:line="266" w:lineRule="exact" w:before="29"/>
                      <w:ind w:left="256" w:right="0" w:firstLine="0"/>
                      <w:jc w:val="left"/>
                      <w:rPr>
                        <w:b/>
                        <w:sz w:val="22"/>
                      </w:rPr>
                    </w:pPr>
                    <w:r>
                      <w:rPr>
                        <w:b/>
                        <w:color w:val="FFFFFF"/>
                        <w:w w:val="105"/>
                        <w:sz w:val="22"/>
                      </w:rPr>
                      <w:t>Change</w:t>
                      <w:tab/>
                      <w:t>%</w:t>
                    </w:r>
                    <w:r>
                      <w:rPr>
                        <w:b/>
                        <w:color w:val="FFFFFF"/>
                        <w:spacing w:val="7"/>
                        <w:w w:val="105"/>
                        <w:sz w:val="22"/>
                      </w:rPr>
                      <w:t> </w:t>
                    </w:r>
                    <w:r>
                      <w:rPr>
                        <w:b/>
                        <w:color w:val="FFFFFF"/>
                        <w:spacing w:val="2"/>
                        <w:w w:val="105"/>
                        <w:sz w:val="22"/>
                      </w:rPr>
                      <w:t>Change</w:t>
                    </w:r>
                  </w:p>
                </w:txbxContent>
              </v:textbox>
              <w10:wrap type="none"/>
            </v:shape>
            <v:shape style="position:absolute;left:7026;top:597;width:986;height:228" type="#_x0000_t202" filled="false" stroked="false">
              <v:textbox inset="0,0,0,0">
                <w:txbxContent>
                  <w:p>
                    <w:pPr>
                      <w:spacing w:line="227" w:lineRule="exact" w:before="0"/>
                      <w:ind w:left="0" w:right="0" w:firstLine="0"/>
                      <w:jc w:val="left"/>
                      <w:rPr>
                        <w:b/>
                        <w:sz w:val="22"/>
                      </w:rPr>
                    </w:pPr>
                    <w:r>
                      <w:rPr>
                        <w:b/>
                        <w:color w:val="FFFFFF"/>
                        <w:w w:val="105"/>
                        <w:sz w:val="22"/>
                      </w:rPr>
                      <w:t>Prior Year</w:t>
                    </w:r>
                  </w:p>
                </w:txbxContent>
              </v:textbox>
              <w10:wrap type="none"/>
            </v:shape>
            <v:shape style="position:absolute;left:5199;top:597;width:1243;height:228" type="#_x0000_t202" filled="false" stroked="false">
              <v:textbox inset="0,0,0,0">
                <w:txbxContent>
                  <w:p>
                    <w:pPr>
                      <w:spacing w:line="227" w:lineRule="exact" w:before="0"/>
                      <w:ind w:left="0" w:right="0" w:firstLine="0"/>
                      <w:jc w:val="left"/>
                      <w:rPr>
                        <w:b/>
                        <w:sz w:val="22"/>
                      </w:rPr>
                    </w:pPr>
                    <w:r>
                      <w:rPr>
                        <w:b/>
                        <w:color w:val="FFFFFF"/>
                        <w:w w:val="105"/>
                        <w:sz w:val="22"/>
                      </w:rPr>
                      <w:t>Current Year</w:t>
                    </w:r>
                  </w:p>
                </w:txbxContent>
              </v:textbox>
              <w10:wrap type="none"/>
            </v:shape>
            <w10:wrap type="topAndBottom"/>
          </v:group>
        </w:pict>
      </w:r>
    </w:p>
    <w:p>
      <w:pPr>
        <w:spacing w:line="232" w:lineRule="exact" w:before="0"/>
        <w:ind w:left="202" w:right="0" w:firstLine="0"/>
        <w:jc w:val="both"/>
        <w:rPr>
          <w:sz w:val="21"/>
        </w:rPr>
      </w:pPr>
      <w:r>
        <w:rPr>
          <w:sz w:val="21"/>
        </w:rPr>
        <w:t>Current Liabilities</w:t>
      </w:r>
    </w:p>
    <w:p>
      <w:pPr>
        <w:spacing w:line="20" w:lineRule="exact"/>
        <w:ind w:left="10945" w:right="0" w:firstLine="0"/>
        <w:rPr>
          <w:sz w:val="2"/>
        </w:rPr>
      </w:pPr>
      <w:r>
        <w:rPr>
          <w:sz w:val="2"/>
        </w:rPr>
        <w:pict>
          <v:group style="width:.1pt;height:.75pt;mso-position-horizontal-relative:char;mso-position-vertical-relative:line" coordorigin="0,0" coordsize="2,15">
            <v:line style="position:absolute" from="0,0" to="0,0" stroked="true" strokeweight="0pt" strokecolor="#dfdfdf">
              <v:stroke dashstyle="solid"/>
            </v:line>
            <v:shape style="position:absolute;left:0;top:0;width:2;height:15" coordorigin="0,0" coordsize="1,15" path="m0,0l0,14,0,0xe" filled="true" fillcolor="#dfdfdf" stroked="false">
              <v:path arrowok="t"/>
              <v:fill type="solid"/>
            </v:shape>
          </v:group>
        </w:pict>
      </w:r>
      <w:r>
        <w:rPr>
          <w:sz w:val="2"/>
        </w:rPr>
      </w:r>
    </w:p>
    <w:p>
      <w:pPr>
        <w:spacing w:line="240" w:lineRule="auto" w:before="10"/>
        <w:rPr>
          <w:sz w:val="3"/>
        </w:rPr>
      </w:pPr>
    </w:p>
    <w:tbl>
      <w:tblPr>
        <w:tblW w:w="0" w:type="auto"/>
        <w:jc w:val="left"/>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0"/>
        <w:gridCol w:w="2101"/>
        <w:gridCol w:w="1705"/>
        <w:gridCol w:w="1477"/>
        <w:gridCol w:w="1252"/>
      </w:tblGrid>
      <w:tr>
        <w:trPr>
          <w:trHeight w:val="248" w:hRule="atLeast"/>
        </w:trPr>
        <w:tc>
          <w:tcPr>
            <w:tcW w:w="3870" w:type="dxa"/>
          </w:tcPr>
          <w:p>
            <w:pPr>
              <w:pStyle w:val="TableParagraph"/>
              <w:spacing w:line="216" w:lineRule="exact"/>
              <w:ind w:left="50"/>
              <w:rPr>
                <w:rFonts w:ascii="Calibri"/>
                <w:sz w:val="21"/>
              </w:rPr>
            </w:pPr>
            <w:r>
              <w:rPr>
                <w:rFonts w:ascii="Calibri"/>
                <w:sz w:val="21"/>
              </w:rPr>
              <w:t>Accounts Payable &amp; Accrued Expenses</w:t>
            </w:r>
          </w:p>
        </w:tc>
        <w:tc>
          <w:tcPr>
            <w:tcW w:w="2101" w:type="dxa"/>
          </w:tcPr>
          <w:p>
            <w:pPr>
              <w:pStyle w:val="TableParagraph"/>
              <w:spacing w:line="216" w:lineRule="exact"/>
              <w:ind w:right="440"/>
              <w:jc w:val="right"/>
              <w:rPr>
                <w:rFonts w:ascii="Calibri"/>
                <w:sz w:val="21"/>
              </w:rPr>
            </w:pPr>
            <w:r>
              <w:rPr>
                <w:rFonts w:ascii="Calibri"/>
                <w:sz w:val="21"/>
              </w:rPr>
              <w:t>1,733,630</w:t>
            </w:r>
          </w:p>
        </w:tc>
        <w:tc>
          <w:tcPr>
            <w:tcW w:w="1705" w:type="dxa"/>
          </w:tcPr>
          <w:p>
            <w:pPr>
              <w:pStyle w:val="TableParagraph"/>
              <w:spacing w:line="216" w:lineRule="exact"/>
              <w:ind w:right="447"/>
              <w:jc w:val="right"/>
              <w:rPr>
                <w:rFonts w:ascii="Calibri"/>
                <w:sz w:val="21"/>
              </w:rPr>
            </w:pPr>
            <w:r>
              <w:rPr>
                <w:rFonts w:ascii="Calibri"/>
                <w:sz w:val="21"/>
              </w:rPr>
              <w:t>1,941,611</w:t>
            </w:r>
          </w:p>
        </w:tc>
        <w:tc>
          <w:tcPr>
            <w:tcW w:w="1477" w:type="dxa"/>
          </w:tcPr>
          <w:p>
            <w:pPr>
              <w:pStyle w:val="TableParagraph"/>
              <w:spacing w:line="216" w:lineRule="exact"/>
              <w:ind w:right="241"/>
              <w:jc w:val="right"/>
              <w:rPr>
                <w:rFonts w:ascii="Calibri"/>
                <w:sz w:val="21"/>
              </w:rPr>
            </w:pPr>
            <w:r>
              <w:rPr>
                <w:rFonts w:ascii="Calibri"/>
                <w:color w:val="FF0000"/>
                <w:sz w:val="21"/>
              </w:rPr>
              <w:t>(207,981)</w:t>
            </w:r>
          </w:p>
        </w:tc>
        <w:tc>
          <w:tcPr>
            <w:tcW w:w="1252" w:type="dxa"/>
          </w:tcPr>
          <w:p>
            <w:pPr>
              <w:pStyle w:val="TableParagraph"/>
              <w:spacing w:line="216" w:lineRule="exact"/>
              <w:ind w:right="449"/>
              <w:jc w:val="right"/>
              <w:rPr>
                <w:rFonts w:ascii="Calibri"/>
                <w:sz w:val="21"/>
              </w:rPr>
            </w:pPr>
            <w:r>
              <w:rPr>
                <w:rFonts w:ascii="Calibri"/>
                <w:sz w:val="21"/>
              </w:rPr>
              <w:t>-10.7%</w:t>
            </w:r>
          </w:p>
        </w:tc>
      </w:tr>
      <w:tr>
        <w:trPr>
          <w:trHeight w:val="283" w:hRule="atLeast"/>
        </w:trPr>
        <w:tc>
          <w:tcPr>
            <w:tcW w:w="3870" w:type="dxa"/>
          </w:tcPr>
          <w:p>
            <w:pPr>
              <w:pStyle w:val="TableParagraph"/>
              <w:spacing w:line="252" w:lineRule="exact"/>
              <w:ind w:left="50"/>
              <w:rPr>
                <w:rFonts w:ascii="Calibri"/>
                <w:sz w:val="21"/>
              </w:rPr>
            </w:pPr>
            <w:r>
              <w:rPr>
                <w:rFonts w:ascii="Calibri"/>
                <w:sz w:val="21"/>
              </w:rPr>
              <w:t>Accrued Salaried, Liabilities &amp; Benefits</w:t>
            </w:r>
          </w:p>
        </w:tc>
        <w:tc>
          <w:tcPr>
            <w:tcW w:w="2101" w:type="dxa"/>
          </w:tcPr>
          <w:p>
            <w:pPr>
              <w:pStyle w:val="TableParagraph"/>
              <w:spacing w:line="252" w:lineRule="exact"/>
              <w:ind w:right="440"/>
              <w:jc w:val="right"/>
              <w:rPr>
                <w:rFonts w:ascii="Calibri"/>
                <w:sz w:val="21"/>
              </w:rPr>
            </w:pPr>
            <w:r>
              <w:rPr>
                <w:rFonts w:ascii="Calibri"/>
                <w:sz w:val="21"/>
              </w:rPr>
              <w:t>3,916,617</w:t>
            </w:r>
          </w:p>
        </w:tc>
        <w:tc>
          <w:tcPr>
            <w:tcW w:w="1705" w:type="dxa"/>
          </w:tcPr>
          <w:p>
            <w:pPr>
              <w:pStyle w:val="TableParagraph"/>
              <w:spacing w:line="252" w:lineRule="exact"/>
              <w:ind w:right="447"/>
              <w:jc w:val="right"/>
              <w:rPr>
                <w:rFonts w:ascii="Calibri"/>
                <w:sz w:val="21"/>
              </w:rPr>
            </w:pPr>
            <w:r>
              <w:rPr>
                <w:rFonts w:ascii="Calibri"/>
                <w:sz w:val="21"/>
              </w:rPr>
              <w:t>3,278,632</w:t>
            </w:r>
          </w:p>
        </w:tc>
        <w:tc>
          <w:tcPr>
            <w:tcW w:w="1477" w:type="dxa"/>
          </w:tcPr>
          <w:p>
            <w:pPr>
              <w:pStyle w:val="TableParagraph"/>
              <w:spacing w:line="252" w:lineRule="exact"/>
              <w:ind w:right="226"/>
              <w:jc w:val="right"/>
              <w:rPr>
                <w:rFonts w:ascii="Calibri"/>
                <w:sz w:val="21"/>
              </w:rPr>
            </w:pPr>
            <w:r>
              <w:rPr>
                <w:rFonts w:ascii="Calibri"/>
                <w:sz w:val="21"/>
              </w:rPr>
              <w:t>637,985</w:t>
            </w:r>
          </w:p>
        </w:tc>
        <w:tc>
          <w:tcPr>
            <w:tcW w:w="1252" w:type="dxa"/>
          </w:tcPr>
          <w:p>
            <w:pPr>
              <w:pStyle w:val="TableParagraph"/>
              <w:spacing w:line="252" w:lineRule="exact"/>
              <w:ind w:right="478"/>
              <w:jc w:val="right"/>
              <w:rPr>
                <w:rFonts w:ascii="Calibri"/>
                <w:sz w:val="21"/>
              </w:rPr>
            </w:pPr>
            <w:r>
              <w:rPr>
                <w:rFonts w:ascii="Calibri"/>
                <w:sz w:val="21"/>
              </w:rPr>
              <w:t>19.5%</w:t>
            </w:r>
          </w:p>
        </w:tc>
      </w:tr>
      <w:tr>
        <w:trPr>
          <w:trHeight w:val="251" w:hRule="atLeast"/>
        </w:trPr>
        <w:tc>
          <w:tcPr>
            <w:tcW w:w="3870" w:type="dxa"/>
          </w:tcPr>
          <w:p>
            <w:pPr>
              <w:pStyle w:val="TableParagraph"/>
              <w:spacing w:line="231" w:lineRule="exact"/>
              <w:ind w:left="50"/>
              <w:rPr>
                <w:rFonts w:ascii="Calibri"/>
                <w:sz w:val="21"/>
              </w:rPr>
            </w:pPr>
            <w:r>
              <w:rPr>
                <w:rFonts w:ascii="Calibri"/>
                <w:sz w:val="21"/>
              </w:rPr>
              <w:t>Estimated Claims Payable</w:t>
            </w:r>
          </w:p>
        </w:tc>
        <w:tc>
          <w:tcPr>
            <w:tcW w:w="2101" w:type="dxa"/>
            <w:tcBorders>
              <w:bottom w:val="single" w:sz="6" w:space="0" w:color="000000"/>
            </w:tcBorders>
          </w:tcPr>
          <w:p>
            <w:pPr>
              <w:pStyle w:val="TableParagraph"/>
              <w:spacing w:line="231" w:lineRule="exact"/>
              <w:ind w:right="440"/>
              <w:jc w:val="right"/>
              <w:rPr>
                <w:rFonts w:ascii="Calibri"/>
                <w:sz w:val="21"/>
              </w:rPr>
            </w:pPr>
            <w:r>
              <w:rPr>
                <w:rFonts w:ascii="Calibri"/>
                <w:sz w:val="21"/>
              </w:rPr>
              <w:t>1,122,193</w:t>
            </w:r>
          </w:p>
        </w:tc>
        <w:tc>
          <w:tcPr>
            <w:tcW w:w="1705" w:type="dxa"/>
            <w:tcBorders>
              <w:bottom w:val="single" w:sz="6" w:space="0" w:color="000000"/>
            </w:tcBorders>
          </w:tcPr>
          <w:p>
            <w:pPr>
              <w:pStyle w:val="TableParagraph"/>
              <w:spacing w:line="231" w:lineRule="exact"/>
              <w:ind w:right="447"/>
              <w:jc w:val="right"/>
              <w:rPr>
                <w:rFonts w:ascii="Calibri"/>
                <w:sz w:val="21"/>
              </w:rPr>
            </w:pPr>
            <w:r>
              <w:rPr>
                <w:rFonts w:ascii="Calibri"/>
                <w:sz w:val="21"/>
              </w:rPr>
              <w:t>847,863</w:t>
            </w:r>
          </w:p>
        </w:tc>
        <w:tc>
          <w:tcPr>
            <w:tcW w:w="1477" w:type="dxa"/>
            <w:tcBorders>
              <w:bottom w:val="single" w:sz="6" w:space="0" w:color="000000"/>
            </w:tcBorders>
          </w:tcPr>
          <w:p>
            <w:pPr>
              <w:pStyle w:val="TableParagraph"/>
              <w:spacing w:line="231" w:lineRule="exact"/>
              <w:ind w:right="226"/>
              <w:jc w:val="right"/>
              <w:rPr>
                <w:rFonts w:ascii="Calibri"/>
                <w:sz w:val="21"/>
              </w:rPr>
            </w:pPr>
            <w:r>
              <w:rPr>
                <w:rFonts w:ascii="Calibri"/>
                <w:sz w:val="21"/>
              </w:rPr>
              <w:t>274,330</w:t>
            </w:r>
          </w:p>
        </w:tc>
        <w:tc>
          <w:tcPr>
            <w:tcW w:w="1252" w:type="dxa"/>
            <w:tcBorders>
              <w:bottom w:val="single" w:sz="6" w:space="0" w:color="000000"/>
            </w:tcBorders>
          </w:tcPr>
          <w:p>
            <w:pPr>
              <w:pStyle w:val="TableParagraph"/>
              <w:spacing w:line="231" w:lineRule="exact"/>
              <w:ind w:right="478"/>
              <w:jc w:val="right"/>
              <w:rPr>
                <w:rFonts w:ascii="Calibri"/>
                <w:sz w:val="21"/>
              </w:rPr>
            </w:pPr>
            <w:r>
              <w:rPr>
                <w:rFonts w:ascii="Calibri"/>
                <w:sz w:val="21"/>
              </w:rPr>
              <w:t>32.4%</w:t>
            </w:r>
          </w:p>
        </w:tc>
      </w:tr>
      <w:tr>
        <w:trPr>
          <w:trHeight w:val="280" w:hRule="atLeast"/>
        </w:trPr>
        <w:tc>
          <w:tcPr>
            <w:tcW w:w="3870" w:type="dxa"/>
          </w:tcPr>
          <w:p>
            <w:pPr>
              <w:pStyle w:val="TableParagraph"/>
              <w:spacing w:line="227" w:lineRule="exact" w:before="12"/>
              <w:ind w:left="435"/>
              <w:rPr>
                <w:rFonts w:ascii="Calibri"/>
                <w:sz w:val="21"/>
              </w:rPr>
            </w:pPr>
            <w:r>
              <w:rPr>
                <w:rFonts w:ascii="Calibri"/>
                <w:sz w:val="21"/>
              </w:rPr>
              <w:t>Total Current Liabilities</w:t>
            </w:r>
          </w:p>
        </w:tc>
        <w:tc>
          <w:tcPr>
            <w:tcW w:w="2101" w:type="dxa"/>
            <w:tcBorders>
              <w:top w:val="single" w:sz="6" w:space="0" w:color="000000"/>
              <w:bottom w:val="single" w:sz="2" w:space="0" w:color="000000"/>
            </w:tcBorders>
          </w:tcPr>
          <w:p>
            <w:pPr>
              <w:pStyle w:val="TableParagraph"/>
              <w:spacing w:line="248" w:lineRule="exact" w:before="12"/>
              <w:ind w:right="440"/>
              <w:jc w:val="right"/>
              <w:rPr>
                <w:rFonts w:ascii="Calibri"/>
                <w:sz w:val="21"/>
              </w:rPr>
            </w:pPr>
            <w:r>
              <w:rPr>
                <w:rFonts w:ascii="Calibri"/>
                <w:sz w:val="21"/>
              </w:rPr>
              <w:t>6,772,440</w:t>
            </w:r>
          </w:p>
        </w:tc>
        <w:tc>
          <w:tcPr>
            <w:tcW w:w="1705" w:type="dxa"/>
            <w:tcBorders>
              <w:top w:val="single" w:sz="6" w:space="0" w:color="000000"/>
              <w:bottom w:val="single" w:sz="2" w:space="0" w:color="000000"/>
            </w:tcBorders>
          </w:tcPr>
          <w:p>
            <w:pPr>
              <w:pStyle w:val="TableParagraph"/>
              <w:spacing w:line="248" w:lineRule="exact" w:before="12"/>
              <w:ind w:right="447"/>
              <w:jc w:val="right"/>
              <w:rPr>
                <w:rFonts w:ascii="Calibri"/>
                <w:sz w:val="21"/>
              </w:rPr>
            </w:pPr>
            <w:r>
              <w:rPr>
                <w:rFonts w:ascii="Calibri"/>
                <w:sz w:val="21"/>
              </w:rPr>
              <w:t>6,068,106</w:t>
            </w:r>
          </w:p>
        </w:tc>
        <w:tc>
          <w:tcPr>
            <w:tcW w:w="1477" w:type="dxa"/>
            <w:tcBorders>
              <w:top w:val="single" w:sz="6" w:space="0" w:color="000000"/>
              <w:bottom w:val="single" w:sz="2" w:space="0" w:color="000000"/>
            </w:tcBorders>
          </w:tcPr>
          <w:p>
            <w:pPr>
              <w:pStyle w:val="TableParagraph"/>
              <w:spacing w:line="248" w:lineRule="exact" w:before="12"/>
              <w:ind w:right="226"/>
              <w:jc w:val="right"/>
              <w:rPr>
                <w:rFonts w:ascii="Calibri"/>
                <w:sz w:val="21"/>
              </w:rPr>
            </w:pPr>
            <w:r>
              <w:rPr>
                <w:rFonts w:ascii="Calibri"/>
                <w:sz w:val="21"/>
              </w:rPr>
              <w:t>704,334</w:t>
            </w:r>
          </w:p>
        </w:tc>
        <w:tc>
          <w:tcPr>
            <w:tcW w:w="1252" w:type="dxa"/>
            <w:tcBorders>
              <w:top w:val="single" w:sz="6" w:space="0" w:color="000000"/>
              <w:bottom w:val="single" w:sz="2" w:space="0" w:color="000000"/>
            </w:tcBorders>
          </w:tcPr>
          <w:p>
            <w:pPr>
              <w:pStyle w:val="TableParagraph"/>
              <w:spacing w:line="248" w:lineRule="exact" w:before="12"/>
              <w:ind w:right="478"/>
              <w:jc w:val="right"/>
              <w:rPr>
                <w:rFonts w:ascii="Calibri"/>
                <w:sz w:val="21"/>
              </w:rPr>
            </w:pPr>
            <w:r>
              <w:rPr>
                <w:rFonts w:ascii="Calibri"/>
                <w:sz w:val="21"/>
              </w:rPr>
              <w:t>11.6%</w:t>
            </w:r>
          </w:p>
        </w:tc>
      </w:tr>
    </w:tbl>
    <w:p>
      <w:pPr>
        <w:spacing w:line="240" w:lineRule="auto" w:before="2"/>
        <w:rPr>
          <w:sz w:val="24"/>
        </w:rPr>
      </w:pPr>
    </w:p>
    <w:p>
      <w:pPr>
        <w:spacing w:line="276" w:lineRule="auto" w:before="0"/>
        <w:ind w:left="5740" w:right="157" w:hanging="1"/>
        <w:jc w:val="both"/>
        <w:rPr>
          <w:sz w:val="22"/>
        </w:rPr>
      </w:pPr>
      <w:r>
        <w:rPr/>
        <w:pict>
          <v:group style="position:absolute;margin-left:575.292358pt;margin-top:-58.00832pt;width:.1pt;height:.75pt;mso-position-horizontal-relative:page;mso-position-vertical-relative:paragraph;z-index:251813888" coordorigin="11506,-1160" coordsize="2,15">
            <v:line style="position:absolute" from="11506,-1160" to="11506,-1160" stroked="true" strokeweight="0pt" strokecolor="#dfdfdf">
              <v:stroke dashstyle="solid"/>
            </v:line>
            <v:shape style="position:absolute;left:11505;top:-1161;width:2;height:15" coordorigin="11506,-1160" coordsize="1,15" path="m11506,-1160l11506,-1146,11506,-1160xe" filled="true" fillcolor="#dfdfdf" stroked="false">
              <v:path arrowok="t"/>
              <v:fill type="solid"/>
            </v:shape>
            <w10:wrap type="none"/>
          </v:group>
        </w:pict>
      </w:r>
      <w:r>
        <w:rPr/>
        <w:pict>
          <v:group style="position:absolute;margin-left:575.292358pt;margin-top:-43.817154pt;width:.1pt;height:.75pt;mso-position-horizontal-relative:page;mso-position-vertical-relative:paragraph;z-index:251814912" coordorigin="11506,-876" coordsize="2,15">
            <v:line style="position:absolute" from="11506,-876" to="11506,-876" stroked="true" strokeweight="0pt" strokecolor="#dfdfdf">
              <v:stroke dashstyle="solid"/>
            </v:line>
            <v:shape style="position:absolute;left:11505;top:-877;width:2;height:15" coordorigin="11506,-876" coordsize="1,15" path="m11506,-876l11506,-862,11506,-876xe" filled="true" fillcolor="#dfdfdf" stroked="false">
              <v:path arrowok="t"/>
              <v:fill type="solid"/>
            </v:shape>
            <w10:wrap type="none"/>
          </v:group>
        </w:pict>
      </w:r>
      <w:r>
        <w:rPr/>
        <w:drawing>
          <wp:anchor distT="0" distB="0" distL="0" distR="0" allowOverlap="1" layoutInCell="1" locked="0" behindDoc="0" simplePos="0" relativeHeight="251815936">
            <wp:simplePos x="0" y="0"/>
            <wp:positionH relativeFrom="page">
              <wp:posOffset>505571</wp:posOffset>
            </wp:positionH>
            <wp:positionV relativeFrom="paragraph">
              <wp:posOffset>96456</wp:posOffset>
            </wp:positionV>
            <wp:extent cx="3375569" cy="2129466"/>
            <wp:effectExtent l="0" t="0" r="0" b="0"/>
            <wp:wrapNone/>
            <wp:docPr id="93" name="image52.jpeg"/>
            <wp:cNvGraphicFramePr>
              <a:graphicFrameLocks noChangeAspect="1"/>
            </wp:cNvGraphicFramePr>
            <a:graphic>
              <a:graphicData uri="http://schemas.openxmlformats.org/drawingml/2006/picture">
                <pic:pic>
                  <pic:nvPicPr>
                    <pic:cNvPr id="94" name="image52.jpeg"/>
                    <pic:cNvPicPr/>
                  </pic:nvPicPr>
                  <pic:blipFill>
                    <a:blip r:embed="rId148" cstate="print"/>
                    <a:stretch>
                      <a:fillRect/>
                    </a:stretch>
                  </pic:blipFill>
                  <pic:spPr>
                    <a:xfrm>
                      <a:off x="0" y="0"/>
                      <a:ext cx="3375569" cy="2129466"/>
                    </a:xfrm>
                    <a:prstGeom prst="rect">
                      <a:avLst/>
                    </a:prstGeom>
                  </pic:spPr>
                </pic:pic>
              </a:graphicData>
            </a:graphic>
          </wp:anchor>
        </w:drawing>
      </w:r>
      <w:r>
        <w:rPr>
          <w:color w:val="0033CC"/>
          <w:sz w:val="22"/>
        </w:rPr>
        <w:t>Accounts Payable &amp; Accrued Expenses </w:t>
      </w:r>
      <w:r>
        <w:rPr>
          <w:sz w:val="22"/>
        </w:rPr>
        <w:t>total $1.7 million, reflecting a decrease of $207 thousand compared to June 2024. This reduction is primarily due to the timely processing of vendor invoices, which has resulted in fewer accruals at month-end.</w:t>
      </w:r>
    </w:p>
    <w:p>
      <w:pPr>
        <w:spacing w:line="240" w:lineRule="auto" w:before="5"/>
        <w:rPr>
          <w:sz w:val="16"/>
        </w:rPr>
      </w:pPr>
    </w:p>
    <w:p>
      <w:pPr>
        <w:spacing w:line="240" w:lineRule="auto" w:before="0"/>
        <w:ind w:left="5740" w:right="155" w:firstLine="0"/>
        <w:jc w:val="both"/>
        <w:rPr>
          <w:sz w:val="22"/>
        </w:rPr>
      </w:pPr>
      <w:r>
        <w:rPr>
          <w:color w:val="0033CC"/>
          <w:sz w:val="22"/>
        </w:rPr>
        <w:t>Accrued</w:t>
      </w:r>
      <w:r>
        <w:rPr>
          <w:color w:val="0033CC"/>
          <w:spacing w:val="-11"/>
          <w:sz w:val="22"/>
        </w:rPr>
        <w:t> </w:t>
      </w:r>
      <w:r>
        <w:rPr>
          <w:color w:val="0033CC"/>
          <w:sz w:val="22"/>
        </w:rPr>
        <w:t>Salaries,</w:t>
      </w:r>
      <w:r>
        <w:rPr>
          <w:color w:val="0033CC"/>
          <w:spacing w:val="-11"/>
          <w:sz w:val="22"/>
        </w:rPr>
        <w:t> </w:t>
      </w:r>
      <w:r>
        <w:rPr>
          <w:color w:val="0033CC"/>
          <w:sz w:val="22"/>
        </w:rPr>
        <w:t>Liabilities</w:t>
      </w:r>
      <w:r>
        <w:rPr>
          <w:color w:val="0033CC"/>
          <w:spacing w:val="-14"/>
          <w:sz w:val="22"/>
        </w:rPr>
        <w:t> </w:t>
      </w:r>
      <w:r>
        <w:rPr>
          <w:color w:val="0033CC"/>
          <w:sz w:val="22"/>
        </w:rPr>
        <w:t>&amp;</w:t>
      </w:r>
      <w:r>
        <w:rPr>
          <w:color w:val="0033CC"/>
          <w:spacing w:val="-9"/>
          <w:sz w:val="22"/>
        </w:rPr>
        <w:t> </w:t>
      </w:r>
      <w:r>
        <w:rPr>
          <w:color w:val="0033CC"/>
          <w:sz w:val="22"/>
        </w:rPr>
        <w:t>Benefits</w:t>
      </w:r>
      <w:r>
        <w:rPr>
          <w:color w:val="0033CC"/>
          <w:spacing w:val="-11"/>
          <w:sz w:val="22"/>
        </w:rPr>
        <w:t> </w:t>
      </w:r>
      <w:r>
        <w:rPr>
          <w:sz w:val="22"/>
        </w:rPr>
        <w:t>total</w:t>
      </w:r>
      <w:r>
        <w:rPr>
          <w:spacing w:val="-13"/>
          <w:sz w:val="22"/>
        </w:rPr>
        <w:t> </w:t>
      </w:r>
      <w:r>
        <w:rPr>
          <w:sz w:val="22"/>
        </w:rPr>
        <w:t>$3.9</w:t>
      </w:r>
      <w:r>
        <w:rPr>
          <w:spacing w:val="-10"/>
          <w:sz w:val="22"/>
        </w:rPr>
        <w:t> </w:t>
      </w:r>
      <w:r>
        <w:rPr>
          <w:sz w:val="22"/>
        </w:rPr>
        <w:t>million,</w:t>
      </w:r>
      <w:r>
        <w:rPr>
          <w:spacing w:val="-10"/>
          <w:sz w:val="22"/>
        </w:rPr>
        <w:t> </w:t>
      </w:r>
      <w:r>
        <w:rPr>
          <w:sz w:val="22"/>
        </w:rPr>
        <w:t>an increase of $637 thousand compared to June 2024. The higher balance is primarily driven by increased vacation and</w:t>
      </w:r>
      <w:r>
        <w:rPr>
          <w:spacing w:val="-13"/>
          <w:sz w:val="22"/>
        </w:rPr>
        <w:t> </w:t>
      </w:r>
      <w:r>
        <w:rPr>
          <w:sz w:val="22"/>
        </w:rPr>
        <w:t>sick</w:t>
      </w:r>
      <w:r>
        <w:rPr>
          <w:spacing w:val="-11"/>
          <w:sz w:val="22"/>
        </w:rPr>
        <w:t> </w:t>
      </w:r>
      <w:r>
        <w:rPr>
          <w:sz w:val="22"/>
        </w:rPr>
        <w:t>leave</w:t>
      </w:r>
      <w:r>
        <w:rPr>
          <w:spacing w:val="-11"/>
          <w:sz w:val="22"/>
        </w:rPr>
        <w:t> </w:t>
      </w:r>
      <w:r>
        <w:rPr>
          <w:sz w:val="22"/>
        </w:rPr>
        <w:t>accruals</w:t>
      </w:r>
      <w:r>
        <w:rPr>
          <w:spacing w:val="-12"/>
          <w:sz w:val="22"/>
        </w:rPr>
        <w:t> </w:t>
      </w:r>
      <w:r>
        <w:rPr>
          <w:sz w:val="22"/>
        </w:rPr>
        <w:t>recorded</w:t>
      </w:r>
      <w:r>
        <w:rPr>
          <w:spacing w:val="-12"/>
          <w:sz w:val="22"/>
        </w:rPr>
        <w:t> </w:t>
      </w:r>
      <w:r>
        <w:rPr>
          <w:sz w:val="22"/>
        </w:rPr>
        <w:t>during</w:t>
      </w:r>
      <w:r>
        <w:rPr>
          <w:spacing w:val="-12"/>
          <w:sz w:val="22"/>
        </w:rPr>
        <w:t> </w:t>
      </w:r>
      <w:r>
        <w:rPr>
          <w:sz w:val="22"/>
        </w:rPr>
        <w:t>the</w:t>
      </w:r>
      <w:r>
        <w:rPr>
          <w:spacing w:val="-11"/>
          <w:sz w:val="22"/>
        </w:rPr>
        <w:t> </w:t>
      </w:r>
      <w:r>
        <w:rPr>
          <w:sz w:val="22"/>
        </w:rPr>
        <w:t>current</w:t>
      </w:r>
      <w:r>
        <w:rPr>
          <w:spacing w:val="-12"/>
          <w:sz w:val="22"/>
        </w:rPr>
        <w:t> </w:t>
      </w:r>
      <w:r>
        <w:rPr>
          <w:sz w:val="22"/>
        </w:rPr>
        <w:t>year,</w:t>
      </w:r>
      <w:r>
        <w:rPr>
          <w:spacing w:val="-11"/>
          <w:sz w:val="22"/>
        </w:rPr>
        <w:t> </w:t>
      </w:r>
      <w:r>
        <w:rPr>
          <w:sz w:val="22"/>
        </w:rPr>
        <w:t>as well as additional accruals related to the implementation of GASB Statement No. 101 – Compensated</w:t>
      </w:r>
      <w:r>
        <w:rPr>
          <w:spacing w:val="-9"/>
          <w:sz w:val="22"/>
        </w:rPr>
        <w:t> </w:t>
      </w:r>
      <w:r>
        <w:rPr>
          <w:sz w:val="22"/>
        </w:rPr>
        <w:t>Absences.</w:t>
      </w:r>
    </w:p>
    <w:p>
      <w:pPr>
        <w:spacing w:line="240" w:lineRule="auto" w:before="11"/>
        <w:rPr>
          <w:sz w:val="21"/>
        </w:rPr>
      </w:pPr>
    </w:p>
    <w:p>
      <w:pPr>
        <w:spacing w:before="0"/>
        <w:ind w:left="160" w:right="155" w:hanging="1"/>
        <w:jc w:val="both"/>
        <w:rPr>
          <w:sz w:val="22"/>
        </w:rPr>
      </w:pPr>
      <w:r>
        <w:rPr>
          <w:color w:val="0033CC"/>
          <w:sz w:val="22"/>
        </w:rPr>
        <w:t>Estimated</w:t>
      </w:r>
      <w:r>
        <w:rPr>
          <w:color w:val="0033CC"/>
          <w:spacing w:val="-15"/>
          <w:sz w:val="22"/>
        </w:rPr>
        <w:t> </w:t>
      </w:r>
      <w:r>
        <w:rPr>
          <w:color w:val="0033CC"/>
          <w:sz w:val="22"/>
        </w:rPr>
        <w:t>Claims</w:t>
      </w:r>
      <w:r>
        <w:rPr>
          <w:color w:val="0033CC"/>
          <w:spacing w:val="-15"/>
          <w:sz w:val="22"/>
        </w:rPr>
        <w:t> </w:t>
      </w:r>
      <w:r>
        <w:rPr>
          <w:color w:val="0033CC"/>
          <w:sz w:val="22"/>
        </w:rPr>
        <w:t>Payables</w:t>
      </w:r>
      <w:r>
        <w:rPr>
          <w:color w:val="0033CC"/>
          <w:spacing w:val="-15"/>
          <w:sz w:val="22"/>
        </w:rPr>
        <w:t> </w:t>
      </w:r>
      <w:r>
        <w:rPr>
          <w:sz w:val="22"/>
        </w:rPr>
        <w:t>total</w:t>
      </w:r>
      <w:r>
        <w:rPr>
          <w:spacing w:val="-15"/>
          <w:sz w:val="22"/>
        </w:rPr>
        <w:t> </w:t>
      </w:r>
      <w:r>
        <w:rPr>
          <w:sz w:val="22"/>
        </w:rPr>
        <w:t>$1.1</w:t>
      </w:r>
      <w:r>
        <w:rPr>
          <w:spacing w:val="-12"/>
          <w:sz w:val="22"/>
        </w:rPr>
        <w:t> </w:t>
      </w:r>
      <w:r>
        <w:rPr>
          <w:sz w:val="22"/>
        </w:rPr>
        <w:t>million,</w:t>
      </w:r>
      <w:r>
        <w:rPr>
          <w:spacing w:val="-13"/>
          <w:sz w:val="22"/>
        </w:rPr>
        <w:t> </w:t>
      </w:r>
      <w:r>
        <w:rPr>
          <w:sz w:val="22"/>
        </w:rPr>
        <w:t>reflecting</w:t>
      </w:r>
      <w:r>
        <w:rPr>
          <w:spacing w:val="-16"/>
          <w:sz w:val="22"/>
        </w:rPr>
        <w:t> </w:t>
      </w:r>
      <w:r>
        <w:rPr>
          <w:sz w:val="22"/>
        </w:rPr>
        <w:t>an</w:t>
      </w:r>
      <w:r>
        <w:rPr>
          <w:spacing w:val="-13"/>
          <w:sz w:val="22"/>
        </w:rPr>
        <w:t> </w:t>
      </w:r>
      <w:r>
        <w:rPr>
          <w:sz w:val="22"/>
        </w:rPr>
        <w:t>increase</w:t>
      </w:r>
      <w:r>
        <w:rPr>
          <w:spacing w:val="-15"/>
          <w:sz w:val="22"/>
        </w:rPr>
        <w:t> </w:t>
      </w:r>
      <w:r>
        <w:rPr>
          <w:sz w:val="22"/>
        </w:rPr>
        <w:t>of</w:t>
      </w:r>
      <w:r>
        <w:rPr>
          <w:spacing w:val="-13"/>
          <w:sz w:val="22"/>
        </w:rPr>
        <w:t> </w:t>
      </w:r>
      <w:r>
        <w:rPr>
          <w:sz w:val="22"/>
        </w:rPr>
        <w:t>$274</w:t>
      </w:r>
      <w:r>
        <w:rPr>
          <w:spacing w:val="-12"/>
          <w:sz w:val="22"/>
        </w:rPr>
        <w:t> </w:t>
      </w:r>
      <w:r>
        <w:rPr>
          <w:sz w:val="22"/>
        </w:rPr>
        <w:t>thousand</w:t>
      </w:r>
      <w:r>
        <w:rPr>
          <w:spacing w:val="-15"/>
          <w:sz w:val="22"/>
        </w:rPr>
        <w:t> </w:t>
      </w:r>
      <w:r>
        <w:rPr>
          <w:sz w:val="22"/>
        </w:rPr>
        <w:t>compared</w:t>
      </w:r>
      <w:r>
        <w:rPr>
          <w:spacing w:val="-14"/>
          <w:sz w:val="22"/>
        </w:rPr>
        <w:t> </w:t>
      </w:r>
      <w:r>
        <w:rPr>
          <w:sz w:val="22"/>
        </w:rPr>
        <w:t>to</w:t>
      </w:r>
      <w:r>
        <w:rPr>
          <w:spacing w:val="-12"/>
          <w:sz w:val="22"/>
        </w:rPr>
        <w:t> </w:t>
      </w:r>
      <w:r>
        <w:rPr>
          <w:sz w:val="22"/>
        </w:rPr>
        <w:t>June</w:t>
      </w:r>
      <w:r>
        <w:rPr>
          <w:spacing w:val="-15"/>
          <w:sz w:val="22"/>
        </w:rPr>
        <w:t> </w:t>
      </w:r>
      <w:r>
        <w:rPr>
          <w:sz w:val="22"/>
        </w:rPr>
        <w:t>2024.</w:t>
      </w:r>
      <w:r>
        <w:rPr>
          <w:spacing w:val="-16"/>
          <w:sz w:val="22"/>
        </w:rPr>
        <w:t> </w:t>
      </w:r>
      <w:r>
        <w:rPr>
          <w:sz w:val="22"/>
        </w:rPr>
        <w:t>This</w:t>
      </w:r>
      <w:r>
        <w:rPr>
          <w:spacing w:val="-13"/>
          <w:sz w:val="22"/>
        </w:rPr>
        <w:t> </w:t>
      </w:r>
      <w:r>
        <w:rPr>
          <w:sz w:val="22"/>
        </w:rPr>
        <w:t>increase is the result of an adjustment made on March 31, 2025, to the UMR Incurred But Not Reported (IBNR) reserve, which better reflects the expected outstanding claims</w:t>
      </w:r>
      <w:r>
        <w:rPr>
          <w:spacing w:val="-6"/>
          <w:sz w:val="22"/>
        </w:rPr>
        <w:t> </w:t>
      </w:r>
      <w:r>
        <w:rPr>
          <w:sz w:val="22"/>
        </w:rPr>
        <w:t>liability.</w:t>
      </w:r>
    </w:p>
    <w:p>
      <w:pPr>
        <w:spacing w:after="0"/>
        <w:jc w:val="both"/>
        <w:rPr>
          <w:sz w:val="22"/>
        </w:rPr>
        <w:sectPr>
          <w:headerReference w:type="default" r:id="rId146"/>
          <w:footerReference w:type="default" r:id="rId147"/>
          <w:pgSz w:w="12240" w:h="15840"/>
          <w:pgMar w:header="790" w:footer="1255" w:top="1240" w:bottom="1440" w:left="560" w:right="560"/>
          <w:pgNumType w:start="4"/>
        </w:sectPr>
      </w:pPr>
    </w:p>
    <w:p>
      <w:pPr>
        <w:spacing w:line="240" w:lineRule="auto" w:before="2"/>
        <w:rPr>
          <w:sz w:val="12"/>
        </w:rPr>
      </w:pPr>
      <w:r>
        <w:rPr/>
        <w:pict>
          <v:group style="position:absolute;margin-left:209.704865pt;margin-top:513.4729pt;width:365.8pt;height:.550pt;mso-position-horizontal-relative:page;mso-position-vertical-relative:page;z-index:-266872832" coordorigin="4194,10269" coordsize="7316,11">
            <v:line style="position:absolute" from="4194,10269" to="11509,10269" stroked="true" strokeweight="0pt" strokecolor="#000000">
              <v:stroke dashstyle="solid"/>
            </v:line>
            <v:line style="position:absolute" from="4194,10275" to="11509,10275" stroked="true" strokeweight=".53943pt" strokecolor="#000000">
              <v:stroke dashstyle="solid"/>
            </v:line>
            <w10:wrap type="none"/>
          </v:group>
        </w:pict>
      </w:r>
      <w:r>
        <w:rPr/>
        <w:pict>
          <v:group style="position:absolute;margin-left:209.704849pt;margin-top:569.03418pt;width:365.8pt;height:.550pt;mso-position-horizontal-relative:page;mso-position-vertical-relative:page;z-index:-266871808" coordorigin="4194,11381" coordsize="7316,11">
            <v:line style="position:absolute" from="4194,11381" to="11509,11381" stroked="true" strokeweight="0pt" strokecolor="#000000">
              <v:stroke dashstyle="solid"/>
            </v:line>
            <v:line style="position:absolute" from="4194,11386" to="11509,11386" stroked="true" strokeweight=".53943pt" strokecolor="#000000">
              <v:stroke dashstyle="solid"/>
            </v:line>
            <w10:wrap type="none"/>
          </v:group>
        </w:pict>
      </w:r>
    </w:p>
    <w:p>
      <w:pPr>
        <w:spacing w:before="45"/>
        <w:ind w:left="160" w:right="0" w:firstLine="0"/>
        <w:jc w:val="left"/>
        <w:rPr>
          <w:sz w:val="28"/>
        </w:rPr>
      </w:pPr>
      <w:r>
        <w:rPr>
          <w:color w:val="000099"/>
          <w:sz w:val="28"/>
        </w:rPr>
        <w:t>STATEMENT OF REVENUES AND EXPENDITURES</w:t>
      </w:r>
    </w:p>
    <w:p>
      <w:pPr>
        <w:spacing w:line="240" w:lineRule="auto" w:before="48"/>
        <w:ind w:left="3176" w:right="3171" w:hanging="4"/>
        <w:jc w:val="center"/>
        <w:rPr>
          <w:sz w:val="22"/>
        </w:rPr>
      </w:pPr>
      <w:r>
        <w:rPr>
          <w:sz w:val="22"/>
        </w:rPr>
        <w:t>Central New York Regional Transportation Authority Preliminary Statement of Revenues and Expenditures From 04/01/2025 through 06/30/2025</w:t>
      </w:r>
    </w:p>
    <w:p>
      <w:pPr>
        <w:spacing w:line="169" w:lineRule="exact" w:before="0"/>
        <w:ind w:left="3226" w:right="3227" w:firstLine="0"/>
        <w:jc w:val="center"/>
        <w:rPr>
          <w:sz w:val="14"/>
        </w:rPr>
      </w:pPr>
      <w:r>
        <w:rPr>
          <w:sz w:val="14"/>
        </w:rPr>
        <w:t>(In Whole Numbers)</w:t>
      </w:r>
    </w:p>
    <w:p>
      <w:pPr>
        <w:spacing w:line="240" w:lineRule="auto" w:before="6"/>
        <w:rPr>
          <w:sz w:val="24"/>
        </w:rPr>
      </w:pPr>
      <w:r>
        <w:rPr/>
        <w:pict>
          <v:group style="position:absolute;margin-left:36.539078pt;margin-top:17.246590pt;width:538.950pt;height:32.950pt;mso-position-horizontal-relative:page;mso-position-vertical-relative:paragraph;z-index:-251492352;mso-wrap-distance-left:0;mso-wrap-distance-right:0" coordorigin="731,345" coordsize="10779,659">
            <v:rect style="position:absolute;left:730;top:355;width:10779;height:648" filled="true" fillcolor="#1f3763" stroked="false">
              <v:fill type="solid"/>
            </v:rect>
            <v:line style="position:absolute" from="4194,345" to="4194,1003" stroked="true" strokeweight="0pt" strokecolor="#ffffff">
              <v:stroke dashstyle="solid"/>
            </v:line>
            <v:line style="position:absolute" from="4199,345" to="4199,1003" stroked="true" strokeweight=".539458pt" strokecolor="#ffffff">
              <v:stroke dashstyle="solid"/>
            </v:line>
            <v:line style="position:absolute" from="5349,345" to="5349,1003" stroked="true" strokeweight="0pt" strokecolor="#ffffff">
              <v:stroke dashstyle="solid"/>
            </v:line>
            <v:line style="position:absolute" from="5354,345" to="5354,1003" stroked="true" strokeweight=".539458pt" strokecolor="#ffffff">
              <v:stroke dashstyle="solid"/>
            </v:line>
            <v:line style="position:absolute" from="6330,345" to="6330,1003" stroked="true" strokeweight="0pt" strokecolor="#ffffff">
              <v:stroke dashstyle="solid"/>
            </v:line>
            <v:line style="position:absolute" from="6336,345" to="6336,1003" stroked="true" strokeweight=".539458pt" strokecolor="#ffffff">
              <v:stroke dashstyle="solid"/>
            </v:line>
            <v:line style="position:absolute" from="7485,345" to="7485,1003" stroked="true" strokeweight="0pt" strokecolor="#ffffff">
              <v:stroke dashstyle="solid"/>
            </v:line>
            <v:line style="position:absolute" from="7490,345" to="7490,1003" stroked="true" strokeweight=".539458pt" strokecolor="#ffffff">
              <v:stroke dashstyle="solid"/>
            </v:line>
            <v:line style="position:absolute" from="8434,345" to="8434,1003" stroked="true" strokeweight="0pt" strokecolor="#ffffff">
              <v:stroke dashstyle="solid"/>
            </v:line>
            <v:line style="position:absolute" from="8440,345" to="8440,1003" stroked="true" strokeweight=".539458pt" strokecolor="#ffffff">
              <v:stroke dashstyle="solid"/>
            </v:line>
            <v:line style="position:absolute" from="9589,345" to="9589,1003" stroked="true" strokeweight="0pt" strokecolor="#ffffff">
              <v:stroke dashstyle="solid"/>
            </v:line>
            <v:line style="position:absolute" from="9594,345" to="9594,1003" stroked="true" strokeweight=".539458pt" strokecolor="#ffffff">
              <v:stroke dashstyle="solid"/>
            </v:line>
            <v:line style="position:absolute" from="10570,345" to="10570,1003" stroked="true" strokeweight="0pt" strokecolor="#ffffff">
              <v:stroke dashstyle="solid"/>
            </v:line>
            <v:line style="position:absolute" from="10576,345" to="10576,1003" stroked="true" strokeweight=".539458pt" strokecolor="#ffffff">
              <v:stroke dashstyle="solid"/>
            </v:line>
            <v:line style="position:absolute" from="11498,345" to="11498,1003" stroked="true" strokeweight="0pt" strokecolor="#ffffff">
              <v:stroke dashstyle="solid"/>
            </v:line>
            <v:line style="position:absolute" from="11504,345" to="11504,1003" stroked="true" strokeweight=".539458pt" strokecolor="#ffffff">
              <v:stroke dashstyle="solid"/>
            </v:line>
            <v:shape style="position:absolute;left:10581;top:355;width:918;height:648" type="#_x0000_t202" filled="true" fillcolor="#1f3763" stroked="false">
              <v:textbox inset="0,0,0,0">
                <w:txbxContent>
                  <w:p>
                    <w:pPr>
                      <w:spacing w:line="264" w:lineRule="auto" w:before="68"/>
                      <w:ind w:left="107" w:right="50" w:hanging="65"/>
                      <w:jc w:val="left"/>
                      <w:rPr>
                        <w:b/>
                        <w:sz w:val="20"/>
                      </w:rPr>
                    </w:pPr>
                    <w:r>
                      <w:rPr>
                        <w:b/>
                        <w:color w:val="FFFFFF"/>
                        <w:sz w:val="20"/>
                      </w:rPr>
                      <w:t>% Change CY to PY</w:t>
                    </w:r>
                  </w:p>
                </w:txbxContent>
              </v:textbox>
              <v:fill type="solid"/>
              <w10:wrap type="none"/>
            </v:shape>
            <v:shape style="position:absolute;left:9599;top:355;width:972;height:648" type="#_x0000_t202" filled="true" fillcolor="#1f3763" stroked="false">
              <v:textbox inset="0,0,0,0">
                <w:txbxContent>
                  <w:p>
                    <w:pPr>
                      <w:spacing w:line="264" w:lineRule="auto" w:before="68"/>
                      <w:ind w:left="172" w:right="136" w:hanging="44"/>
                      <w:jc w:val="left"/>
                      <w:rPr>
                        <w:b/>
                        <w:sz w:val="20"/>
                      </w:rPr>
                    </w:pPr>
                    <w:r>
                      <w:rPr>
                        <w:b/>
                        <w:color w:val="FFFFFF"/>
                        <w:sz w:val="20"/>
                      </w:rPr>
                      <w:t>CY to PY Change</w:t>
                    </w:r>
                  </w:p>
                </w:txbxContent>
              </v:textbox>
              <v:fill type="solid"/>
              <w10:wrap type="none"/>
            </v:shape>
            <v:shape style="position:absolute;left:8445;top:355;width:1144;height:648" type="#_x0000_t202" filled="true" fillcolor="#1f3763" stroked="false">
              <v:textbox inset="0,0,0,0">
                <w:txbxContent>
                  <w:p>
                    <w:pPr>
                      <w:spacing w:line="264" w:lineRule="auto" w:before="68"/>
                      <w:ind w:left="291" w:right="0" w:hanging="152"/>
                      <w:jc w:val="left"/>
                      <w:rPr>
                        <w:b/>
                        <w:sz w:val="20"/>
                      </w:rPr>
                    </w:pPr>
                    <w:r>
                      <w:rPr>
                        <w:b/>
                        <w:color w:val="FFFFFF"/>
                        <w:sz w:val="20"/>
                      </w:rPr>
                      <w:t>Prior Year Actual</w:t>
                    </w:r>
                  </w:p>
                </w:txbxContent>
              </v:textbox>
              <v:fill type="solid"/>
              <w10:wrap type="none"/>
            </v:shape>
            <v:shape style="position:absolute;left:7495;top:355;width:939;height:648" type="#_x0000_t202" filled="true" fillcolor="#1f3763" stroked="false">
              <v:textbox inset="0,0,0,0">
                <w:txbxContent>
                  <w:p>
                    <w:pPr>
                      <w:spacing w:line="264" w:lineRule="auto" w:before="68"/>
                      <w:ind w:left="43" w:right="0" w:firstLine="10"/>
                      <w:jc w:val="left"/>
                      <w:rPr>
                        <w:b/>
                        <w:sz w:val="20"/>
                      </w:rPr>
                    </w:pPr>
                    <w:r>
                      <w:rPr>
                        <w:b/>
                        <w:color w:val="FFFFFF"/>
                        <w:sz w:val="20"/>
                      </w:rPr>
                      <w:t>% Change to Budget</w:t>
                    </w:r>
                  </w:p>
                </w:txbxContent>
              </v:textbox>
              <v:fill type="solid"/>
              <w10:wrap type="none"/>
            </v:shape>
            <v:shape style="position:absolute;left:6341;top:355;width:1144;height:648" type="#_x0000_t202" filled="true" fillcolor="#1f3763" stroked="false">
              <v:textbox inset="0,0,0,0">
                <w:txbxContent>
                  <w:p>
                    <w:pPr>
                      <w:spacing w:line="264" w:lineRule="auto" w:before="68"/>
                      <w:ind w:left="258" w:right="251" w:firstLine="10"/>
                      <w:jc w:val="left"/>
                      <w:rPr>
                        <w:b/>
                        <w:sz w:val="20"/>
                      </w:rPr>
                    </w:pPr>
                    <w:r>
                      <w:rPr>
                        <w:b/>
                        <w:color w:val="FFFFFF"/>
                        <w:sz w:val="20"/>
                      </w:rPr>
                      <w:t>Budget Change</w:t>
                    </w:r>
                  </w:p>
                </w:txbxContent>
              </v:textbox>
              <v:fill type="solid"/>
              <w10:wrap type="none"/>
            </v:shape>
            <v:shape style="position:absolute;left:5359;top:355;width:972;height:648" type="#_x0000_t202" filled="true" fillcolor="#1f3763" stroked="false">
              <v:textbox inset="0,0,0,0">
                <w:txbxContent>
                  <w:p>
                    <w:pPr>
                      <w:spacing w:line="240" w:lineRule="auto" w:before="2"/>
                      <w:rPr>
                        <w:sz w:val="16"/>
                      </w:rPr>
                    </w:pPr>
                  </w:p>
                  <w:p>
                    <w:pPr>
                      <w:spacing w:before="0"/>
                      <w:ind w:left="172" w:right="0" w:firstLine="0"/>
                      <w:jc w:val="left"/>
                      <w:rPr>
                        <w:b/>
                        <w:sz w:val="20"/>
                      </w:rPr>
                    </w:pPr>
                    <w:r>
                      <w:rPr>
                        <w:b/>
                        <w:color w:val="FFFFFF"/>
                        <w:sz w:val="20"/>
                      </w:rPr>
                      <w:t>Budget</w:t>
                    </w:r>
                  </w:p>
                </w:txbxContent>
              </v:textbox>
              <v:fill type="solid"/>
              <w10:wrap type="none"/>
            </v:shape>
            <v:shape style="position:absolute;left:4204;top:355;width:1144;height:648" type="#_x0000_t202" filled="true" fillcolor="#1f3763" stroked="false">
              <v:textbox inset="0,0,0,0">
                <w:txbxContent>
                  <w:p>
                    <w:pPr>
                      <w:spacing w:line="240" w:lineRule="auto" w:before="2"/>
                      <w:rPr>
                        <w:sz w:val="16"/>
                      </w:rPr>
                    </w:pPr>
                  </w:p>
                  <w:p>
                    <w:pPr>
                      <w:spacing w:before="0"/>
                      <w:ind w:left="291" w:right="0" w:firstLine="0"/>
                      <w:jc w:val="left"/>
                      <w:rPr>
                        <w:b/>
                        <w:sz w:val="20"/>
                      </w:rPr>
                    </w:pPr>
                    <w:r>
                      <w:rPr>
                        <w:b/>
                        <w:color w:val="FFFFFF"/>
                        <w:sz w:val="20"/>
                      </w:rPr>
                      <w:t>Actual</w:t>
                    </w:r>
                  </w:p>
                </w:txbxContent>
              </v:textbox>
              <v:fill type="solid"/>
              <w10:wrap type="none"/>
            </v:shape>
            <w10:wrap type="topAndBottom"/>
          </v:group>
        </w:pict>
      </w: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92"/>
        <w:gridCol w:w="1225"/>
        <w:gridCol w:w="983"/>
        <w:gridCol w:w="1101"/>
        <w:gridCol w:w="986"/>
        <w:gridCol w:w="1185"/>
        <w:gridCol w:w="951"/>
        <w:gridCol w:w="892"/>
      </w:tblGrid>
      <w:tr>
        <w:trPr>
          <w:trHeight w:val="426" w:hRule="atLeast"/>
        </w:trPr>
        <w:tc>
          <w:tcPr>
            <w:tcW w:w="3492" w:type="dxa"/>
          </w:tcPr>
          <w:p>
            <w:pPr>
              <w:pStyle w:val="TableParagraph"/>
              <w:spacing w:line="175" w:lineRule="exact"/>
              <w:ind w:left="179"/>
              <w:rPr>
                <w:rFonts w:ascii="Calibri"/>
                <w:sz w:val="17"/>
              </w:rPr>
            </w:pPr>
            <w:r>
              <w:rPr>
                <w:rFonts w:ascii="Calibri"/>
                <w:sz w:val="17"/>
              </w:rPr>
              <w:t>Operating Revenue</w:t>
            </w:r>
          </w:p>
          <w:p>
            <w:pPr>
              <w:pStyle w:val="TableParagraph"/>
              <w:spacing w:before="19"/>
              <w:ind w:left="406"/>
              <w:rPr>
                <w:rFonts w:ascii="Calibri"/>
                <w:sz w:val="17"/>
              </w:rPr>
            </w:pPr>
            <w:r>
              <w:rPr>
                <w:rFonts w:ascii="Calibri"/>
                <w:sz w:val="17"/>
              </w:rPr>
              <w:t>Regular Line Passenger Revenue</w:t>
            </w:r>
          </w:p>
        </w:tc>
        <w:tc>
          <w:tcPr>
            <w:tcW w:w="1225" w:type="dxa"/>
          </w:tcPr>
          <w:p>
            <w:pPr>
              <w:pStyle w:val="TableParagraph"/>
              <w:spacing w:before="11"/>
              <w:rPr>
                <w:rFonts w:ascii="Calibri"/>
                <w:sz w:val="15"/>
              </w:rPr>
            </w:pPr>
          </w:p>
          <w:p>
            <w:pPr>
              <w:pStyle w:val="TableParagraph"/>
              <w:ind w:right="90"/>
              <w:jc w:val="right"/>
              <w:rPr>
                <w:rFonts w:ascii="Calibri"/>
                <w:sz w:val="17"/>
              </w:rPr>
            </w:pPr>
            <w:r>
              <w:rPr>
                <w:rFonts w:ascii="Calibri"/>
                <w:sz w:val="17"/>
              </w:rPr>
              <w:t>1,098,403</w:t>
            </w:r>
          </w:p>
        </w:tc>
        <w:tc>
          <w:tcPr>
            <w:tcW w:w="983" w:type="dxa"/>
          </w:tcPr>
          <w:p>
            <w:pPr>
              <w:pStyle w:val="TableParagraph"/>
              <w:spacing w:before="11"/>
              <w:rPr>
                <w:rFonts w:ascii="Calibri"/>
                <w:sz w:val="15"/>
              </w:rPr>
            </w:pPr>
          </w:p>
          <w:p>
            <w:pPr>
              <w:pStyle w:val="TableParagraph"/>
              <w:ind w:right="91"/>
              <w:jc w:val="right"/>
              <w:rPr>
                <w:rFonts w:ascii="Calibri"/>
                <w:sz w:val="17"/>
              </w:rPr>
            </w:pPr>
            <w:r>
              <w:rPr>
                <w:rFonts w:ascii="Calibri"/>
                <w:sz w:val="17"/>
              </w:rPr>
              <w:t>1,049,850</w:t>
            </w:r>
          </w:p>
        </w:tc>
        <w:tc>
          <w:tcPr>
            <w:tcW w:w="1101" w:type="dxa"/>
          </w:tcPr>
          <w:p>
            <w:pPr>
              <w:pStyle w:val="TableParagraph"/>
              <w:spacing w:before="11"/>
              <w:rPr>
                <w:rFonts w:ascii="Calibri"/>
                <w:sz w:val="15"/>
              </w:rPr>
            </w:pPr>
          </w:p>
          <w:p>
            <w:pPr>
              <w:pStyle w:val="TableParagraph"/>
              <w:ind w:right="38"/>
              <w:jc w:val="right"/>
              <w:rPr>
                <w:rFonts w:ascii="Calibri"/>
                <w:sz w:val="17"/>
              </w:rPr>
            </w:pPr>
            <w:r>
              <w:rPr>
                <w:rFonts w:ascii="Calibri"/>
                <w:sz w:val="17"/>
              </w:rPr>
              <w:t>48,553</w:t>
            </w:r>
          </w:p>
        </w:tc>
        <w:tc>
          <w:tcPr>
            <w:tcW w:w="986" w:type="dxa"/>
          </w:tcPr>
          <w:p>
            <w:pPr>
              <w:pStyle w:val="TableParagraph"/>
              <w:spacing w:before="11"/>
              <w:rPr>
                <w:rFonts w:ascii="Calibri"/>
                <w:sz w:val="15"/>
              </w:rPr>
            </w:pPr>
          </w:p>
          <w:p>
            <w:pPr>
              <w:pStyle w:val="TableParagraph"/>
              <w:ind w:left="294"/>
              <w:rPr>
                <w:rFonts w:ascii="Calibri"/>
                <w:sz w:val="17"/>
              </w:rPr>
            </w:pPr>
            <w:r>
              <w:rPr>
                <w:rFonts w:ascii="Calibri"/>
                <w:sz w:val="17"/>
              </w:rPr>
              <w:t>4.6%</w:t>
            </w:r>
          </w:p>
        </w:tc>
        <w:tc>
          <w:tcPr>
            <w:tcW w:w="1185" w:type="dxa"/>
          </w:tcPr>
          <w:p>
            <w:pPr>
              <w:pStyle w:val="TableParagraph"/>
              <w:spacing w:before="11"/>
              <w:rPr>
                <w:rFonts w:ascii="Calibri"/>
                <w:sz w:val="15"/>
              </w:rPr>
            </w:pPr>
          </w:p>
          <w:p>
            <w:pPr>
              <w:pStyle w:val="TableParagraph"/>
              <w:ind w:right="105"/>
              <w:jc w:val="right"/>
              <w:rPr>
                <w:rFonts w:ascii="Calibri"/>
                <w:sz w:val="17"/>
              </w:rPr>
            </w:pPr>
            <w:r>
              <w:rPr>
                <w:rFonts w:ascii="Calibri"/>
                <w:sz w:val="17"/>
              </w:rPr>
              <w:t>1,022,444</w:t>
            </w:r>
          </w:p>
        </w:tc>
        <w:tc>
          <w:tcPr>
            <w:tcW w:w="951" w:type="dxa"/>
          </w:tcPr>
          <w:p>
            <w:pPr>
              <w:pStyle w:val="TableParagraph"/>
              <w:spacing w:before="11"/>
              <w:rPr>
                <w:rFonts w:ascii="Calibri"/>
                <w:sz w:val="15"/>
              </w:rPr>
            </w:pPr>
          </w:p>
          <w:p>
            <w:pPr>
              <w:pStyle w:val="TableParagraph"/>
              <w:ind w:right="74"/>
              <w:jc w:val="right"/>
              <w:rPr>
                <w:rFonts w:ascii="Calibri"/>
                <w:sz w:val="17"/>
              </w:rPr>
            </w:pPr>
            <w:r>
              <w:rPr>
                <w:rFonts w:ascii="Calibri"/>
                <w:sz w:val="17"/>
              </w:rPr>
              <w:t>75,959</w:t>
            </w:r>
          </w:p>
        </w:tc>
        <w:tc>
          <w:tcPr>
            <w:tcW w:w="892" w:type="dxa"/>
          </w:tcPr>
          <w:p>
            <w:pPr>
              <w:pStyle w:val="TableParagraph"/>
              <w:spacing w:before="11"/>
              <w:rPr>
                <w:rFonts w:ascii="Calibri"/>
                <w:sz w:val="15"/>
              </w:rPr>
            </w:pPr>
          </w:p>
          <w:p>
            <w:pPr>
              <w:pStyle w:val="TableParagraph"/>
              <w:ind w:left="247"/>
              <w:rPr>
                <w:rFonts w:ascii="Calibri"/>
                <w:sz w:val="17"/>
              </w:rPr>
            </w:pPr>
            <w:r>
              <w:rPr>
                <w:rFonts w:ascii="Calibri"/>
                <w:sz w:val="17"/>
              </w:rPr>
              <w:t>7.4%</w:t>
            </w:r>
          </w:p>
        </w:tc>
      </w:tr>
      <w:tr>
        <w:trPr>
          <w:trHeight w:val="226" w:hRule="atLeast"/>
        </w:trPr>
        <w:tc>
          <w:tcPr>
            <w:tcW w:w="3492" w:type="dxa"/>
          </w:tcPr>
          <w:p>
            <w:pPr>
              <w:pStyle w:val="TableParagraph"/>
              <w:spacing w:line="202" w:lineRule="exact"/>
              <w:ind w:left="406"/>
              <w:rPr>
                <w:rFonts w:ascii="Calibri"/>
                <w:sz w:val="17"/>
              </w:rPr>
            </w:pPr>
            <w:r>
              <w:rPr>
                <w:rFonts w:ascii="Calibri"/>
                <w:sz w:val="17"/>
              </w:rPr>
              <w:t>Special Line Passenger Revenue</w:t>
            </w:r>
          </w:p>
        </w:tc>
        <w:tc>
          <w:tcPr>
            <w:tcW w:w="1225" w:type="dxa"/>
          </w:tcPr>
          <w:p>
            <w:pPr>
              <w:pStyle w:val="TableParagraph"/>
              <w:spacing w:line="202" w:lineRule="exact"/>
              <w:ind w:right="90"/>
              <w:jc w:val="right"/>
              <w:rPr>
                <w:rFonts w:ascii="Calibri"/>
                <w:sz w:val="17"/>
              </w:rPr>
            </w:pPr>
            <w:r>
              <w:rPr>
                <w:rFonts w:ascii="Calibri"/>
                <w:sz w:val="17"/>
              </w:rPr>
              <w:t>1,739,916</w:t>
            </w:r>
          </w:p>
        </w:tc>
        <w:tc>
          <w:tcPr>
            <w:tcW w:w="983" w:type="dxa"/>
          </w:tcPr>
          <w:p>
            <w:pPr>
              <w:pStyle w:val="TableParagraph"/>
              <w:spacing w:line="202" w:lineRule="exact"/>
              <w:ind w:right="91"/>
              <w:jc w:val="right"/>
              <w:rPr>
                <w:rFonts w:ascii="Calibri"/>
                <w:sz w:val="17"/>
              </w:rPr>
            </w:pPr>
            <w:r>
              <w:rPr>
                <w:rFonts w:ascii="Calibri"/>
                <w:sz w:val="17"/>
              </w:rPr>
              <w:t>1,689,975</w:t>
            </w:r>
          </w:p>
        </w:tc>
        <w:tc>
          <w:tcPr>
            <w:tcW w:w="1101" w:type="dxa"/>
          </w:tcPr>
          <w:p>
            <w:pPr>
              <w:pStyle w:val="TableParagraph"/>
              <w:spacing w:line="202" w:lineRule="exact"/>
              <w:ind w:right="38"/>
              <w:jc w:val="right"/>
              <w:rPr>
                <w:rFonts w:ascii="Calibri"/>
                <w:sz w:val="17"/>
              </w:rPr>
            </w:pPr>
            <w:r>
              <w:rPr>
                <w:rFonts w:ascii="Calibri"/>
                <w:sz w:val="17"/>
              </w:rPr>
              <w:t>49,941</w:t>
            </w:r>
          </w:p>
        </w:tc>
        <w:tc>
          <w:tcPr>
            <w:tcW w:w="986" w:type="dxa"/>
          </w:tcPr>
          <w:p>
            <w:pPr>
              <w:pStyle w:val="TableParagraph"/>
              <w:spacing w:line="202" w:lineRule="exact"/>
              <w:ind w:left="294"/>
              <w:rPr>
                <w:rFonts w:ascii="Calibri"/>
                <w:sz w:val="17"/>
              </w:rPr>
            </w:pPr>
            <w:r>
              <w:rPr>
                <w:rFonts w:ascii="Calibri"/>
                <w:sz w:val="17"/>
              </w:rPr>
              <w:t>3.0%</w:t>
            </w:r>
          </w:p>
        </w:tc>
        <w:tc>
          <w:tcPr>
            <w:tcW w:w="1185" w:type="dxa"/>
          </w:tcPr>
          <w:p>
            <w:pPr>
              <w:pStyle w:val="TableParagraph"/>
              <w:spacing w:line="202" w:lineRule="exact"/>
              <w:ind w:right="105"/>
              <w:jc w:val="right"/>
              <w:rPr>
                <w:rFonts w:ascii="Calibri"/>
                <w:sz w:val="17"/>
              </w:rPr>
            </w:pPr>
            <w:r>
              <w:rPr>
                <w:rFonts w:ascii="Calibri"/>
                <w:sz w:val="17"/>
              </w:rPr>
              <w:t>1,594,074</w:t>
            </w:r>
          </w:p>
        </w:tc>
        <w:tc>
          <w:tcPr>
            <w:tcW w:w="951" w:type="dxa"/>
          </w:tcPr>
          <w:p>
            <w:pPr>
              <w:pStyle w:val="TableParagraph"/>
              <w:spacing w:line="202" w:lineRule="exact"/>
              <w:ind w:right="74"/>
              <w:jc w:val="right"/>
              <w:rPr>
                <w:rFonts w:ascii="Calibri"/>
                <w:sz w:val="17"/>
              </w:rPr>
            </w:pPr>
            <w:r>
              <w:rPr>
                <w:rFonts w:ascii="Calibri"/>
                <w:sz w:val="17"/>
              </w:rPr>
              <w:t>145,842</w:t>
            </w:r>
          </w:p>
        </w:tc>
        <w:tc>
          <w:tcPr>
            <w:tcW w:w="892" w:type="dxa"/>
          </w:tcPr>
          <w:p>
            <w:pPr>
              <w:pStyle w:val="TableParagraph"/>
              <w:spacing w:line="202" w:lineRule="exact"/>
              <w:ind w:left="247"/>
              <w:rPr>
                <w:rFonts w:ascii="Calibri"/>
                <w:sz w:val="17"/>
              </w:rPr>
            </w:pPr>
            <w:r>
              <w:rPr>
                <w:rFonts w:ascii="Calibri"/>
                <w:sz w:val="17"/>
              </w:rPr>
              <w:t>9.1%</w:t>
            </w:r>
          </w:p>
        </w:tc>
      </w:tr>
      <w:tr>
        <w:trPr>
          <w:trHeight w:val="197" w:hRule="atLeast"/>
        </w:trPr>
        <w:tc>
          <w:tcPr>
            <w:tcW w:w="3492" w:type="dxa"/>
          </w:tcPr>
          <w:p>
            <w:pPr>
              <w:pStyle w:val="TableParagraph"/>
              <w:spacing w:line="177" w:lineRule="exact"/>
              <w:ind w:left="406"/>
              <w:rPr>
                <w:rFonts w:ascii="Calibri"/>
                <w:sz w:val="17"/>
              </w:rPr>
            </w:pPr>
            <w:r>
              <w:rPr>
                <w:rFonts w:ascii="Calibri"/>
                <w:sz w:val="17"/>
              </w:rPr>
              <w:t>Advertising &amp; Other Revenue</w:t>
            </w:r>
          </w:p>
        </w:tc>
        <w:tc>
          <w:tcPr>
            <w:tcW w:w="1225" w:type="dxa"/>
            <w:tcBorders>
              <w:bottom w:val="single" w:sz="6" w:space="0" w:color="000000"/>
            </w:tcBorders>
          </w:tcPr>
          <w:p>
            <w:pPr>
              <w:pStyle w:val="TableParagraph"/>
              <w:spacing w:line="177" w:lineRule="exact"/>
              <w:ind w:right="90"/>
              <w:jc w:val="right"/>
              <w:rPr>
                <w:rFonts w:ascii="Calibri"/>
                <w:sz w:val="17"/>
              </w:rPr>
            </w:pPr>
            <w:r>
              <w:rPr>
                <w:rFonts w:ascii="Calibri"/>
                <w:sz w:val="17"/>
              </w:rPr>
              <w:t>579,653</w:t>
            </w:r>
          </w:p>
        </w:tc>
        <w:tc>
          <w:tcPr>
            <w:tcW w:w="983" w:type="dxa"/>
            <w:tcBorders>
              <w:bottom w:val="single" w:sz="6" w:space="0" w:color="000000"/>
            </w:tcBorders>
          </w:tcPr>
          <w:p>
            <w:pPr>
              <w:pStyle w:val="TableParagraph"/>
              <w:spacing w:line="177" w:lineRule="exact"/>
              <w:ind w:right="91"/>
              <w:jc w:val="right"/>
              <w:rPr>
                <w:rFonts w:ascii="Calibri"/>
                <w:sz w:val="17"/>
              </w:rPr>
            </w:pPr>
            <w:r>
              <w:rPr>
                <w:rFonts w:ascii="Calibri"/>
                <w:sz w:val="17"/>
              </w:rPr>
              <w:t>587,519</w:t>
            </w:r>
          </w:p>
        </w:tc>
        <w:tc>
          <w:tcPr>
            <w:tcW w:w="1101" w:type="dxa"/>
            <w:tcBorders>
              <w:bottom w:val="single" w:sz="6" w:space="0" w:color="000000"/>
            </w:tcBorders>
          </w:tcPr>
          <w:p>
            <w:pPr>
              <w:pStyle w:val="TableParagraph"/>
              <w:spacing w:line="177" w:lineRule="exact"/>
              <w:ind w:right="40"/>
              <w:jc w:val="right"/>
              <w:rPr>
                <w:rFonts w:ascii="Calibri"/>
                <w:sz w:val="17"/>
              </w:rPr>
            </w:pPr>
            <w:r>
              <w:rPr>
                <w:rFonts w:ascii="Calibri"/>
                <w:color w:val="FF0000"/>
                <w:sz w:val="17"/>
              </w:rPr>
              <w:t>(7,866)</w:t>
            </w:r>
          </w:p>
        </w:tc>
        <w:tc>
          <w:tcPr>
            <w:tcW w:w="986" w:type="dxa"/>
            <w:tcBorders>
              <w:bottom w:val="single" w:sz="6" w:space="0" w:color="000000"/>
            </w:tcBorders>
          </w:tcPr>
          <w:p>
            <w:pPr>
              <w:pStyle w:val="TableParagraph"/>
              <w:spacing w:line="177" w:lineRule="exact"/>
              <w:ind w:left="261"/>
              <w:rPr>
                <w:rFonts w:ascii="Calibri"/>
                <w:sz w:val="17"/>
              </w:rPr>
            </w:pPr>
            <w:r>
              <w:rPr>
                <w:rFonts w:ascii="Calibri"/>
                <w:sz w:val="17"/>
              </w:rPr>
              <w:t>-1.3%</w:t>
            </w:r>
          </w:p>
        </w:tc>
        <w:tc>
          <w:tcPr>
            <w:tcW w:w="1185" w:type="dxa"/>
            <w:tcBorders>
              <w:bottom w:val="single" w:sz="6" w:space="0" w:color="000000"/>
            </w:tcBorders>
          </w:tcPr>
          <w:p>
            <w:pPr>
              <w:pStyle w:val="TableParagraph"/>
              <w:spacing w:line="177" w:lineRule="exact"/>
              <w:ind w:right="105"/>
              <w:jc w:val="right"/>
              <w:rPr>
                <w:rFonts w:ascii="Calibri"/>
                <w:sz w:val="17"/>
              </w:rPr>
            </w:pPr>
            <w:r>
              <w:rPr>
                <w:rFonts w:ascii="Calibri"/>
                <w:sz w:val="17"/>
              </w:rPr>
              <w:t>587,178</w:t>
            </w:r>
          </w:p>
        </w:tc>
        <w:tc>
          <w:tcPr>
            <w:tcW w:w="951" w:type="dxa"/>
            <w:tcBorders>
              <w:bottom w:val="single" w:sz="6" w:space="0" w:color="000000"/>
            </w:tcBorders>
          </w:tcPr>
          <w:p>
            <w:pPr>
              <w:pStyle w:val="TableParagraph"/>
              <w:spacing w:line="177" w:lineRule="exact"/>
              <w:ind w:right="77"/>
              <w:jc w:val="right"/>
              <w:rPr>
                <w:rFonts w:ascii="Calibri"/>
                <w:sz w:val="17"/>
              </w:rPr>
            </w:pPr>
            <w:r>
              <w:rPr>
                <w:rFonts w:ascii="Calibri"/>
                <w:color w:val="FF0000"/>
                <w:sz w:val="17"/>
              </w:rPr>
              <w:t>(7,525)</w:t>
            </w:r>
          </w:p>
        </w:tc>
        <w:tc>
          <w:tcPr>
            <w:tcW w:w="892" w:type="dxa"/>
            <w:tcBorders>
              <w:bottom w:val="single" w:sz="6" w:space="0" w:color="000000"/>
            </w:tcBorders>
          </w:tcPr>
          <w:p>
            <w:pPr>
              <w:pStyle w:val="TableParagraph"/>
              <w:spacing w:line="177" w:lineRule="exact"/>
              <w:ind w:left="214"/>
              <w:rPr>
                <w:rFonts w:ascii="Calibri"/>
                <w:sz w:val="17"/>
              </w:rPr>
            </w:pPr>
            <w:r>
              <w:rPr>
                <w:rFonts w:ascii="Calibri"/>
                <w:sz w:val="17"/>
              </w:rPr>
              <w:t>-1.3%</w:t>
            </w:r>
          </w:p>
        </w:tc>
      </w:tr>
      <w:tr>
        <w:trPr>
          <w:trHeight w:val="211" w:hRule="atLeast"/>
        </w:trPr>
        <w:tc>
          <w:tcPr>
            <w:tcW w:w="3492" w:type="dxa"/>
          </w:tcPr>
          <w:p>
            <w:pPr>
              <w:pStyle w:val="TableParagraph"/>
              <w:spacing w:line="183" w:lineRule="exact" w:before="8"/>
              <w:ind w:left="535"/>
              <w:rPr>
                <w:rFonts w:ascii="Calibri"/>
                <w:sz w:val="17"/>
              </w:rPr>
            </w:pPr>
            <w:r>
              <w:rPr>
                <w:rFonts w:ascii="Calibri"/>
                <w:sz w:val="17"/>
              </w:rPr>
              <w:t>Total Operating Revenue</w:t>
            </w:r>
          </w:p>
        </w:tc>
        <w:tc>
          <w:tcPr>
            <w:tcW w:w="1225" w:type="dxa"/>
            <w:tcBorders>
              <w:top w:val="single" w:sz="6" w:space="0" w:color="000000"/>
              <w:bottom w:val="single" w:sz="6" w:space="0" w:color="000000"/>
            </w:tcBorders>
          </w:tcPr>
          <w:p>
            <w:pPr>
              <w:pStyle w:val="TableParagraph"/>
              <w:spacing w:line="183" w:lineRule="exact" w:before="8"/>
              <w:ind w:right="90"/>
              <w:jc w:val="right"/>
              <w:rPr>
                <w:rFonts w:ascii="Calibri"/>
                <w:sz w:val="17"/>
              </w:rPr>
            </w:pPr>
            <w:r>
              <w:rPr>
                <w:rFonts w:ascii="Calibri"/>
                <w:sz w:val="17"/>
              </w:rPr>
              <w:t>3,417,972</w:t>
            </w:r>
          </w:p>
        </w:tc>
        <w:tc>
          <w:tcPr>
            <w:tcW w:w="983" w:type="dxa"/>
            <w:tcBorders>
              <w:top w:val="single" w:sz="6" w:space="0" w:color="000000"/>
              <w:bottom w:val="single" w:sz="6" w:space="0" w:color="000000"/>
            </w:tcBorders>
          </w:tcPr>
          <w:p>
            <w:pPr>
              <w:pStyle w:val="TableParagraph"/>
              <w:spacing w:line="183" w:lineRule="exact" w:before="8"/>
              <w:ind w:right="91"/>
              <w:jc w:val="right"/>
              <w:rPr>
                <w:rFonts w:ascii="Calibri"/>
                <w:sz w:val="17"/>
              </w:rPr>
            </w:pPr>
            <w:r>
              <w:rPr>
                <w:rFonts w:ascii="Calibri"/>
                <w:sz w:val="17"/>
              </w:rPr>
              <w:t>3,327,344</w:t>
            </w:r>
          </w:p>
        </w:tc>
        <w:tc>
          <w:tcPr>
            <w:tcW w:w="1101" w:type="dxa"/>
            <w:tcBorders>
              <w:top w:val="single" w:sz="6" w:space="0" w:color="000000"/>
              <w:bottom w:val="single" w:sz="6" w:space="0" w:color="000000"/>
            </w:tcBorders>
          </w:tcPr>
          <w:p>
            <w:pPr>
              <w:pStyle w:val="TableParagraph"/>
              <w:spacing w:line="183" w:lineRule="exact" w:before="8"/>
              <w:ind w:right="38"/>
              <w:jc w:val="right"/>
              <w:rPr>
                <w:rFonts w:ascii="Calibri"/>
                <w:sz w:val="17"/>
              </w:rPr>
            </w:pPr>
            <w:r>
              <w:rPr>
                <w:rFonts w:ascii="Calibri"/>
                <w:sz w:val="17"/>
              </w:rPr>
              <w:t>90,628</w:t>
            </w:r>
          </w:p>
        </w:tc>
        <w:tc>
          <w:tcPr>
            <w:tcW w:w="986" w:type="dxa"/>
            <w:tcBorders>
              <w:top w:val="single" w:sz="6" w:space="0" w:color="000000"/>
              <w:bottom w:val="single" w:sz="6" w:space="0" w:color="000000"/>
            </w:tcBorders>
          </w:tcPr>
          <w:p>
            <w:pPr>
              <w:pStyle w:val="TableParagraph"/>
              <w:spacing w:line="183" w:lineRule="exact" w:before="8"/>
              <w:ind w:left="294"/>
              <w:rPr>
                <w:rFonts w:ascii="Calibri"/>
                <w:sz w:val="17"/>
              </w:rPr>
            </w:pPr>
            <w:r>
              <w:rPr>
                <w:rFonts w:ascii="Calibri"/>
                <w:sz w:val="17"/>
              </w:rPr>
              <w:t>2.7%</w:t>
            </w:r>
          </w:p>
        </w:tc>
        <w:tc>
          <w:tcPr>
            <w:tcW w:w="1185" w:type="dxa"/>
            <w:tcBorders>
              <w:top w:val="single" w:sz="6" w:space="0" w:color="000000"/>
              <w:bottom w:val="single" w:sz="6" w:space="0" w:color="000000"/>
            </w:tcBorders>
          </w:tcPr>
          <w:p>
            <w:pPr>
              <w:pStyle w:val="TableParagraph"/>
              <w:spacing w:line="183" w:lineRule="exact" w:before="8"/>
              <w:ind w:right="105"/>
              <w:jc w:val="right"/>
              <w:rPr>
                <w:rFonts w:ascii="Calibri"/>
                <w:sz w:val="17"/>
              </w:rPr>
            </w:pPr>
            <w:r>
              <w:rPr>
                <w:rFonts w:ascii="Calibri"/>
                <w:sz w:val="17"/>
              </w:rPr>
              <w:t>3,203,696</w:t>
            </w:r>
          </w:p>
        </w:tc>
        <w:tc>
          <w:tcPr>
            <w:tcW w:w="951" w:type="dxa"/>
            <w:tcBorders>
              <w:top w:val="single" w:sz="6" w:space="0" w:color="000000"/>
              <w:bottom w:val="single" w:sz="6" w:space="0" w:color="000000"/>
            </w:tcBorders>
          </w:tcPr>
          <w:p>
            <w:pPr>
              <w:pStyle w:val="TableParagraph"/>
              <w:spacing w:line="183" w:lineRule="exact" w:before="8"/>
              <w:ind w:right="74"/>
              <w:jc w:val="right"/>
              <w:rPr>
                <w:rFonts w:ascii="Calibri"/>
                <w:sz w:val="17"/>
              </w:rPr>
            </w:pPr>
            <w:r>
              <w:rPr>
                <w:rFonts w:ascii="Calibri"/>
                <w:sz w:val="17"/>
              </w:rPr>
              <w:t>214,276</w:t>
            </w:r>
          </w:p>
        </w:tc>
        <w:tc>
          <w:tcPr>
            <w:tcW w:w="892" w:type="dxa"/>
            <w:tcBorders>
              <w:top w:val="single" w:sz="6" w:space="0" w:color="000000"/>
              <w:bottom w:val="single" w:sz="6" w:space="0" w:color="000000"/>
            </w:tcBorders>
          </w:tcPr>
          <w:p>
            <w:pPr>
              <w:pStyle w:val="TableParagraph"/>
              <w:spacing w:line="183" w:lineRule="exact" w:before="8"/>
              <w:ind w:left="247"/>
              <w:rPr>
                <w:rFonts w:ascii="Calibri"/>
                <w:sz w:val="17"/>
              </w:rPr>
            </w:pPr>
            <w:r>
              <w:rPr>
                <w:rFonts w:ascii="Calibri"/>
                <w:sz w:val="17"/>
              </w:rPr>
              <w:t>6.7%</w:t>
            </w:r>
          </w:p>
        </w:tc>
      </w:tr>
      <w:tr>
        <w:trPr>
          <w:trHeight w:val="661" w:hRule="atLeast"/>
        </w:trPr>
        <w:tc>
          <w:tcPr>
            <w:tcW w:w="3492" w:type="dxa"/>
          </w:tcPr>
          <w:p>
            <w:pPr>
              <w:pStyle w:val="TableParagraph"/>
              <w:spacing w:before="7"/>
              <w:rPr>
                <w:rFonts w:ascii="Calibri"/>
                <w:sz w:val="15"/>
              </w:rPr>
            </w:pPr>
          </w:p>
          <w:p>
            <w:pPr>
              <w:pStyle w:val="TableParagraph"/>
              <w:spacing w:line="220" w:lineRule="atLeast"/>
              <w:ind w:left="406" w:right="1652" w:hanging="227"/>
              <w:rPr>
                <w:rFonts w:ascii="Calibri"/>
                <w:sz w:val="17"/>
              </w:rPr>
            </w:pPr>
            <w:r>
              <w:rPr>
                <w:rFonts w:ascii="Calibri"/>
                <w:sz w:val="17"/>
              </w:rPr>
              <w:t>Operating Expenses Salaries &amp; Wages</w:t>
            </w:r>
          </w:p>
        </w:tc>
        <w:tc>
          <w:tcPr>
            <w:tcW w:w="1225"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right="90"/>
              <w:jc w:val="right"/>
              <w:rPr>
                <w:rFonts w:ascii="Calibri"/>
                <w:sz w:val="17"/>
              </w:rPr>
            </w:pPr>
            <w:r>
              <w:rPr>
                <w:rFonts w:ascii="Calibri"/>
                <w:sz w:val="17"/>
              </w:rPr>
              <w:t>10,043,205</w:t>
            </w:r>
          </w:p>
        </w:tc>
        <w:tc>
          <w:tcPr>
            <w:tcW w:w="983"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right="91"/>
              <w:jc w:val="right"/>
              <w:rPr>
                <w:rFonts w:ascii="Calibri"/>
                <w:sz w:val="17"/>
              </w:rPr>
            </w:pPr>
            <w:r>
              <w:rPr>
                <w:rFonts w:ascii="Calibri"/>
                <w:sz w:val="17"/>
              </w:rPr>
              <w:t>11,022,563</w:t>
            </w:r>
          </w:p>
        </w:tc>
        <w:tc>
          <w:tcPr>
            <w:tcW w:w="1101"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right="38"/>
              <w:jc w:val="right"/>
              <w:rPr>
                <w:rFonts w:ascii="Calibri"/>
                <w:sz w:val="17"/>
              </w:rPr>
            </w:pPr>
            <w:r>
              <w:rPr>
                <w:rFonts w:ascii="Calibri"/>
                <w:sz w:val="17"/>
              </w:rPr>
              <w:t>979,357</w:t>
            </w:r>
          </w:p>
        </w:tc>
        <w:tc>
          <w:tcPr>
            <w:tcW w:w="986"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left="261"/>
              <w:rPr>
                <w:rFonts w:ascii="Calibri"/>
                <w:sz w:val="17"/>
              </w:rPr>
            </w:pPr>
            <w:r>
              <w:rPr>
                <w:rFonts w:ascii="Calibri"/>
                <w:sz w:val="17"/>
              </w:rPr>
              <w:t>-8.9%</w:t>
            </w:r>
          </w:p>
        </w:tc>
        <w:tc>
          <w:tcPr>
            <w:tcW w:w="1185"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right="105"/>
              <w:jc w:val="right"/>
              <w:rPr>
                <w:rFonts w:ascii="Calibri"/>
                <w:sz w:val="17"/>
              </w:rPr>
            </w:pPr>
            <w:r>
              <w:rPr>
                <w:rFonts w:ascii="Calibri"/>
                <w:sz w:val="17"/>
              </w:rPr>
              <w:t>9,508,771</w:t>
            </w:r>
          </w:p>
        </w:tc>
        <w:tc>
          <w:tcPr>
            <w:tcW w:w="951"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right="74"/>
              <w:jc w:val="right"/>
              <w:rPr>
                <w:rFonts w:ascii="Calibri"/>
                <w:sz w:val="17"/>
              </w:rPr>
            </w:pPr>
            <w:r>
              <w:rPr>
                <w:rFonts w:ascii="Calibri"/>
                <w:sz w:val="17"/>
              </w:rPr>
              <w:t>534,434</w:t>
            </w:r>
          </w:p>
        </w:tc>
        <w:tc>
          <w:tcPr>
            <w:tcW w:w="892"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left="247"/>
              <w:rPr>
                <w:rFonts w:ascii="Calibri"/>
                <w:sz w:val="17"/>
              </w:rPr>
            </w:pPr>
            <w:r>
              <w:rPr>
                <w:rFonts w:ascii="Calibri"/>
                <w:sz w:val="17"/>
              </w:rPr>
              <w:t>5.6%</w:t>
            </w:r>
          </w:p>
        </w:tc>
      </w:tr>
      <w:tr>
        <w:trPr>
          <w:trHeight w:val="226" w:hRule="atLeast"/>
        </w:trPr>
        <w:tc>
          <w:tcPr>
            <w:tcW w:w="3492" w:type="dxa"/>
          </w:tcPr>
          <w:p>
            <w:pPr>
              <w:pStyle w:val="TableParagraph"/>
              <w:spacing w:line="202" w:lineRule="exact"/>
              <w:ind w:left="406"/>
              <w:rPr>
                <w:rFonts w:ascii="Calibri"/>
                <w:sz w:val="17"/>
              </w:rPr>
            </w:pPr>
            <w:r>
              <w:rPr>
                <w:rFonts w:ascii="Calibri"/>
                <w:sz w:val="17"/>
              </w:rPr>
              <w:t>Other Employee Benefits &amp; Payroll Taxes</w:t>
            </w:r>
          </w:p>
        </w:tc>
        <w:tc>
          <w:tcPr>
            <w:tcW w:w="1225" w:type="dxa"/>
          </w:tcPr>
          <w:p>
            <w:pPr>
              <w:pStyle w:val="TableParagraph"/>
              <w:spacing w:line="202" w:lineRule="exact"/>
              <w:ind w:right="90"/>
              <w:jc w:val="right"/>
              <w:rPr>
                <w:rFonts w:ascii="Calibri"/>
                <w:sz w:val="17"/>
              </w:rPr>
            </w:pPr>
            <w:r>
              <w:rPr>
                <w:rFonts w:ascii="Calibri"/>
                <w:sz w:val="17"/>
              </w:rPr>
              <w:t>1,017,364</w:t>
            </w:r>
          </w:p>
        </w:tc>
        <w:tc>
          <w:tcPr>
            <w:tcW w:w="983" w:type="dxa"/>
          </w:tcPr>
          <w:p>
            <w:pPr>
              <w:pStyle w:val="TableParagraph"/>
              <w:spacing w:line="202" w:lineRule="exact"/>
              <w:ind w:right="91"/>
              <w:jc w:val="right"/>
              <w:rPr>
                <w:rFonts w:ascii="Calibri"/>
                <w:sz w:val="17"/>
              </w:rPr>
            </w:pPr>
            <w:r>
              <w:rPr>
                <w:rFonts w:ascii="Calibri"/>
                <w:sz w:val="17"/>
              </w:rPr>
              <w:t>1,156,980</w:t>
            </w:r>
          </w:p>
        </w:tc>
        <w:tc>
          <w:tcPr>
            <w:tcW w:w="1101" w:type="dxa"/>
          </w:tcPr>
          <w:p>
            <w:pPr>
              <w:pStyle w:val="TableParagraph"/>
              <w:spacing w:line="202" w:lineRule="exact"/>
              <w:ind w:right="38"/>
              <w:jc w:val="right"/>
              <w:rPr>
                <w:rFonts w:ascii="Calibri"/>
                <w:sz w:val="17"/>
              </w:rPr>
            </w:pPr>
            <w:r>
              <w:rPr>
                <w:rFonts w:ascii="Calibri"/>
                <w:sz w:val="17"/>
              </w:rPr>
              <w:t>139,616</w:t>
            </w:r>
          </w:p>
        </w:tc>
        <w:tc>
          <w:tcPr>
            <w:tcW w:w="986" w:type="dxa"/>
          </w:tcPr>
          <w:p>
            <w:pPr>
              <w:pStyle w:val="TableParagraph"/>
              <w:spacing w:line="202" w:lineRule="exact"/>
              <w:ind w:left="218"/>
              <w:rPr>
                <w:rFonts w:ascii="Calibri"/>
                <w:sz w:val="17"/>
              </w:rPr>
            </w:pPr>
            <w:r>
              <w:rPr>
                <w:rFonts w:ascii="Calibri"/>
                <w:sz w:val="17"/>
              </w:rPr>
              <w:t>-12.1%</w:t>
            </w:r>
          </w:p>
        </w:tc>
        <w:tc>
          <w:tcPr>
            <w:tcW w:w="1185" w:type="dxa"/>
          </w:tcPr>
          <w:p>
            <w:pPr>
              <w:pStyle w:val="TableParagraph"/>
              <w:spacing w:line="202" w:lineRule="exact"/>
              <w:ind w:right="105"/>
              <w:jc w:val="right"/>
              <w:rPr>
                <w:rFonts w:ascii="Calibri"/>
                <w:sz w:val="17"/>
              </w:rPr>
            </w:pPr>
            <w:r>
              <w:rPr>
                <w:rFonts w:ascii="Calibri"/>
                <w:sz w:val="17"/>
              </w:rPr>
              <w:t>978,391</w:t>
            </w:r>
          </w:p>
        </w:tc>
        <w:tc>
          <w:tcPr>
            <w:tcW w:w="951" w:type="dxa"/>
          </w:tcPr>
          <w:p>
            <w:pPr>
              <w:pStyle w:val="TableParagraph"/>
              <w:spacing w:line="202" w:lineRule="exact"/>
              <w:ind w:right="74"/>
              <w:jc w:val="right"/>
              <w:rPr>
                <w:rFonts w:ascii="Calibri"/>
                <w:sz w:val="17"/>
              </w:rPr>
            </w:pPr>
            <w:r>
              <w:rPr>
                <w:rFonts w:ascii="Calibri"/>
                <w:sz w:val="17"/>
              </w:rPr>
              <w:t>38,973</w:t>
            </w:r>
          </w:p>
        </w:tc>
        <w:tc>
          <w:tcPr>
            <w:tcW w:w="892" w:type="dxa"/>
          </w:tcPr>
          <w:p>
            <w:pPr>
              <w:pStyle w:val="TableParagraph"/>
              <w:spacing w:line="202" w:lineRule="exact"/>
              <w:ind w:left="247"/>
              <w:rPr>
                <w:rFonts w:ascii="Calibri"/>
                <w:sz w:val="17"/>
              </w:rPr>
            </w:pPr>
            <w:r>
              <w:rPr>
                <w:rFonts w:ascii="Calibri"/>
                <w:sz w:val="17"/>
              </w:rPr>
              <w:t>4.0%</w:t>
            </w:r>
          </w:p>
        </w:tc>
      </w:tr>
      <w:tr>
        <w:trPr>
          <w:trHeight w:val="226" w:hRule="atLeast"/>
        </w:trPr>
        <w:tc>
          <w:tcPr>
            <w:tcW w:w="3492" w:type="dxa"/>
          </w:tcPr>
          <w:p>
            <w:pPr>
              <w:pStyle w:val="TableParagraph"/>
              <w:spacing w:line="202" w:lineRule="exact"/>
              <w:ind w:left="406"/>
              <w:rPr>
                <w:rFonts w:ascii="Calibri"/>
                <w:sz w:val="17"/>
              </w:rPr>
            </w:pPr>
            <w:r>
              <w:rPr>
                <w:rFonts w:ascii="Calibri"/>
                <w:sz w:val="17"/>
              </w:rPr>
              <w:t>Healthcare Benefits</w:t>
            </w:r>
          </w:p>
        </w:tc>
        <w:tc>
          <w:tcPr>
            <w:tcW w:w="1225" w:type="dxa"/>
          </w:tcPr>
          <w:p>
            <w:pPr>
              <w:pStyle w:val="TableParagraph"/>
              <w:spacing w:line="202" w:lineRule="exact"/>
              <w:ind w:right="90"/>
              <w:jc w:val="right"/>
              <w:rPr>
                <w:rFonts w:ascii="Calibri"/>
                <w:sz w:val="17"/>
              </w:rPr>
            </w:pPr>
            <w:r>
              <w:rPr>
                <w:rFonts w:ascii="Calibri"/>
                <w:sz w:val="17"/>
              </w:rPr>
              <w:t>3,060,160</w:t>
            </w:r>
          </w:p>
        </w:tc>
        <w:tc>
          <w:tcPr>
            <w:tcW w:w="983" w:type="dxa"/>
          </w:tcPr>
          <w:p>
            <w:pPr>
              <w:pStyle w:val="TableParagraph"/>
              <w:spacing w:line="202" w:lineRule="exact"/>
              <w:ind w:right="91"/>
              <w:jc w:val="right"/>
              <w:rPr>
                <w:rFonts w:ascii="Calibri"/>
                <w:sz w:val="17"/>
              </w:rPr>
            </w:pPr>
            <w:r>
              <w:rPr>
                <w:rFonts w:ascii="Calibri"/>
                <w:sz w:val="17"/>
              </w:rPr>
              <w:t>4,105,445</w:t>
            </w:r>
          </w:p>
        </w:tc>
        <w:tc>
          <w:tcPr>
            <w:tcW w:w="1101" w:type="dxa"/>
          </w:tcPr>
          <w:p>
            <w:pPr>
              <w:pStyle w:val="TableParagraph"/>
              <w:spacing w:line="202" w:lineRule="exact"/>
              <w:ind w:right="38"/>
              <w:jc w:val="right"/>
              <w:rPr>
                <w:rFonts w:ascii="Calibri"/>
                <w:sz w:val="17"/>
              </w:rPr>
            </w:pPr>
            <w:r>
              <w:rPr>
                <w:rFonts w:ascii="Calibri"/>
                <w:sz w:val="17"/>
              </w:rPr>
              <w:t>1,045,285</w:t>
            </w:r>
          </w:p>
        </w:tc>
        <w:tc>
          <w:tcPr>
            <w:tcW w:w="986" w:type="dxa"/>
          </w:tcPr>
          <w:p>
            <w:pPr>
              <w:pStyle w:val="TableParagraph"/>
              <w:spacing w:line="202" w:lineRule="exact"/>
              <w:ind w:left="218"/>
              <w:rPr>
                <w:rFonts w:ascii="Calibri"/>
                <w:sz w:val="17"/>
              </w:rPr>
            </w:pPr>
            <w:r>
              <w:rPr>
                <w:rFonts w:ascii="Calibri"/>
                <w:sz w:val="17"/>
              </w:rPr>
              <w:t>-25.5%</w:t>
            </w:r>
          </w:p>
        </w:tc>
        <w:tc>
          <w:tcPr>
            <w:tcW w:w="1185" w:type="dxa"/>
          </w:tcPr>
          <w:p>
            <w:pPr>
              <w:pStyle w:val="TableParagraph"/>
              <w:spacing w:line="202" w:lineRule="exact"/>
              <w:ind w:right="105"/>
              <w:jc w:val="right"/>
              <w:rPr>
                <w:rFonts w:ascii="Calibri"/>
                <w:sz w:val="17"/>
              </w:rPr>
            </w:pPr>
            <w:r>
              <w:rPr>
                <w:rFonts w:ascii="Calibri"/>
                <w:sz w:val="17"/>
              </w:rPr>
              <w:t>3,359,788</w:t>
            </w:r>
          </w:p>
        </w:tc>
        <w:tc>
          <w:tcPr>
            <w:tcW w:w="951" w:type="dxa"/>
          </w:tcPr>
          <w:p>
            <w:pPr>
              <w:pStyle w:val="TableParagraph"/>
              <w:spacing w:line="202" w:lineRule="exact"/>
              <w:ind w:right="77"/>
              <w:jc w:val="right"/>
              <w:rPr>
                <w:rFonts w:ascii="Calibri"/>
                <w:sz w:val="17"/>
              </w:rPr>
            </w:pPr>
            <w:r>
              <w:rPr>
                <w:rFonts w:ascii="Calibri"/>
                <w:color w:val="FF0000"/>
                <w:sz w:val="17"/>
              </w:rPr>
              <w:t>(299,627)</w:t>
            </w:r>
          </w:p>
        </w:tc>
        <w:tc>
          <w:tcPr>
            <w:tcW w:w="892" w:type="dxa"/>
          </w:tcPr>
          <w:p>
            <w:pPr>
              <w:pStyle w:val="TableParagraph"/>
              <w:spacing w:line="202" w:lineRule="exact"/>
              <w:ind w:left="214"/>
              <w:rPr>
                <w:rFonts w:ascii="Calibri"/>
                <w:sz w:val="17"/>
              </w:rPr>
            </w:pPr>
            <w:r>
              <w:rPr>
                <w:rFonts w:ascii="Calibri"/>
                <w:sz w:val="17"/>
              </w:rPr>
              <w:t>-8.9%</w:t>
            </w:r>
          </w:p>
        </w:tc>
      </w:tr>
      <w:tr>
        <w:trPr>
          <w:trHeight w:val="226" w:hRule="atLeast"/>
        </w:trPr>
        <w:tc>
          <w:tcPr>
            <w:tcW w:w="3492" w:type="dxa"/>
          </w:tcPr>
          <w:p>
            <w:pPr>
              <w:pStyle w:val="TableParagraph"/>
              <w:spacing w:line="202" w:lineRule="exact"/>
              <w:ind w:left="406"/>
              <w:rPr>
                <w:rFonts w:ascii="Calibri"/>
                <w:sz w:val="17"/>
              </w:rPr>
            </w:pPr>
            <w:r>
              <w:rPr>
                <w:rFonts w:ascii="Calibri"/>
                <w:sz w:val="17"/>
              </w:rPr>
              <w:t>Workers Compensation</w:t>
            </w:r>
          </w:p>
        </w:tc>
        <w:tc>
          <w:tcPr>
            <w:tcW w:w="1225" w:type="dxa"/>
          </w:tcPr>
          <w:p>
            <w:pPr>
              <w:pStyle w:val="TableParagraph"/>
              <w:spacing w:line="202" w:lineRule="exact"/>
              <w:ind w:right="90"/>
              <w:jc w:val="right"/>
              <w:rPr>
                <w:rFonts w:ascii="Calibri"/>
                <w:sz w:val="17"/>
              </w:rPr>
            </w:pPr>
            <w:r>
              <w:rPr>
                <w:rFonts w:ascii="Calibri"/>
                <w:sz w:val="17"/>
              </w:rPr>
              <w:t>768,982</w:t>
            </w:r>
          </w:p>
        </w:tc>
        <w:tc>
          <w:tcPr>
            <w:tcW w:w="983" w:type="dxa"/>
          </w:tcPr>
          <w:p>
            <w:pPr>
              <w:pStyle w:val="TableParagraph"/>
              <w:spacing w:line="202" w:lineRule="exact"/>
              <w:ind w:right="91"/>
              <w:jc w:val="right"/>
              <w:rPr>
                <w:rFonts w:ascii="Calibri"/>
                <w:sz w:val="17"/>
              </w:rPr>
            </w:pPr>
            <w:r>
              <w:rPr>
                <w:rFonts w:ascii="Calibri"/>
                <w:sz w:val="17"/>
              </w:rPr>
              <w:t>815,100</w:t>
            </w:r>
          </w:p>
        </w:tc>
        <w:tc>
          <w:tcPr>
            <w:tcW w:w="1101" w:type="dxa"/>
          </w:tcPr>
          <w:p>
            <w:pPr>
              <w:pStyle w:val="TableParagraph"/>
              <w:spacing w:line="202" w:lineRule="exact"/>
              <w:ind w:right="38"/>
              <w:jc w:val="right"/>
              <w:rPr>
                <w:rFonts w:ascii="Calibri"/>
                <w:sz w:val="17"/>
              </w:rPr>
            </w:pPr>
            <w:r>
              <w:rPr>
                <w:rFonts w:ascii="Calibri"/>
                <w:sz w:val="17"/>
              </w:rPr>
              <w:t>46,118</w:t>
            </w:r>
          </w:p>
        </w:tc>
        <w:tc>
          <w:tcPr>
            <w:tcW w:w="986" w:type="dxa"/>
          </w:tcPr>
          <w:p>
            <w:pPr>
              <w:pStyle w:val="TableParagraph"/>
              <w:spacing w:line="202" w:lineRule="exact"/>
              <w:ind w:left="261"/>
              <w:rPr>
                <w:rFonts w:ascii="Calibri"/>
                <w:sz w:val="17"/>
              </w:rPr>
            </w:pPr>
            <w:r>
              <w:rPr>
                <w:rFonts w:ascii="Calibri"/>
                <w:sz w:val="17"/>
              </w:rPr>
              <w:t>-5.7%</w:t>
            </w:r>
          </w:p>
        </w:tc>
        <w:tc>
          <w:tcPr>
            <w:tcW w:w="1185" w:type="dxa"/>
          </w:tcPr>
          <w:p>
            <w:pPr>
              <w:pStyle w:val="TableParagraph"/>
              <w:spacing w:line="202" w:lineRule="exact"/>
              <w:ind w:right="105"/>
              <w:jc w:val="right"/>
              <w:rPr>
                <w:rFonts w:ascii="Calibri"/>
                <w:sz w:val="17"/>
              </w:rPr>
            </w:pPr>
            <w:r>
              <w:rPr>
                <w:rFonts w:ascii="Calibri"/>
                <w:sz w:val="17"/>
              </w:rPr>
              <w:t>606,161</w:t>
            </w:r>
          </w:p>
        </w:tc>
        <w:tc>
          <w:tcPr>
            <w:tcW w:w="951" w:type="dxa"/>
          </w:tcPr>
          <w:p>
            <w:pPr>
              <w:pStyle w:val="TableParagraph"/>
              <w:spacing w:line="202" w:lineRule="exact"/>
              <w:ind w:right="74"/>
              <w:jc w:val="right"/>
              <w:rPr>
                <w:rFonts w:ascii="Calibri"/>
                <w:sz w:val="17"/>
              </w:rPr>
            </w:pPr>
            <w:r>
              <w:rPr>
                <w:rFonts w:ascii="Calibri"/>
                <w:sz w:val="17"/>
              </w:rPr>
              <w:t>162,821</w:t>
            </w:r>
          </w:p>
        </w:tc>
        <w:tc>
          <w:tcPr>
            <w:tcW w:w="892" w:type="dxa"/>
          </w:tcPr>
          <w:p>
            <w:pPr>
              <w:pStyle w:val="TableParagraph"/>
              <w:spacing w:line="202" w:lineRule="exact"/>
              <w:ind w:left="204"/>
              <w:rPr>
                <w:rFonts w:ascii="Calibri"/>
                <w:sz w:val="17"/>
              </w:rPr>
            </w:pPr>
            <w:r>
              <w:rPr>
                <w:rFonts w:ascii="Calibri"/>
                <w:sz w:val="17"/>
              </w:rPr>
              <w:t>26.9%</w:t>
            </w:r>
          </w:p>
        </w:tc>
      </w:tr>
      <w:tr>
        <w:trPr>
          <w:trHeight w:val="226" w:hRule="atLeast"/>
        </w:trPr>
        <w:tc>
          <w:tcPr>
            <w:tcW w:w="3492" w:type="dxa"/>
          </w:tcPr>
          <w:p>
            <w:pPr>
              <w:pStyle w:val="TableParagraph"/>
              <w:spacing w:line="202" w:lineRule="exact"/>
              <w:ind w:left="406"/>
              <w:rPr>
                <w:rFonts w:ascii="Calibri"/>
                <w:sz w:val="17"/>
              </w:rPr>
            </w:pPr>
            <w:r>
              <w:rPr>
                <w:rFonts w:ascii="Calibri"/>
                <w:sz w:val="17"/>
              </w:rPr>
              <w:t>Pension Benefits</w:t>
            </w:r>
          </w:p>
        </w:tc>
        <w:tc>
          <w:tcPr>
            <w:tcW w:w="1225" w:type="dxa"/>
          </w:tcPr>
          <w:p>
            <w:pPr>
              <w:pStyle w:val="TableParagraph"/>
              <w:spacing w:line="202" w:lineRule="exact"/>
              <w:ind w:right="90"/>
              <w:jc w:val="right"/>
              <w:rPr>
                <w:rFonts w:ascii="Calibri"/>
                <w:sz w:val="17"/>
              </w:rPr>
            </w:pPr>
            <w:r>
              <w:rPr>
                <w:rFonts w:ascii="Calibri"/>
                <w:sz w:val="17"/>
              </w:rPr>
              <w:t>1,011,139</w:t>
            </w:r>
          </w:p>
        </w:tc>
        <w:tc>
          <w:tcPr>
            <w:tcW w:w="983" w:type="dxa"/>
          </w:tcPr>
          <w:p>
            <w:pPr>
              <w:pStyle w:val="TableParagraph"/>
              <w:spacing w:line="202" w:lineRule="exact"/>
              <w:ind w:right="91"/>
              <w:jc w:val="right"/>
              <w:rPr>
                <w:rFonts w:ascii="Calibri"/>
                <w:sz w:val="17"/>
              </w:rPr>
            </w:pPr>
            <w:r>
              <w:rPr>
                <w:rFonts w:ascii="Calibri"/>
                <w:sz w:val="17"/>
              </w:rPr>
              <w:t>1,266,910</w:t>
            </w:r>
          </w:p>
        </w:tc>
        <w:tc>
          <w:tcPr>
            <w:tcW w:w="1101" w:type="dxa"/>
          </w:tcPr>
          <w:p>
            <w:pPr>
              <w:pStyle w:val="TableParagraph"/>
              <w:spacing w:line="202" w:lineRule="exact"/>
              <w:ind w:right="38"/>
              <w:jc w:val="right"/>
              <w:rPr>
                <w:rFonts w:ascii="Calibri"/>
                <w:sz w:val="17"/>
              </w:rPr>
            </w:pPr>
            <w:r>
              <w:rPr>
                <w:rFonts w:ascii="Calibri"/>
                <w:sz w:val="17"/>
              </w:rPr>
              <w:t>255,771</w:t>
            </w:r>
          </w:p>
        </w:tc>
        <w:tc>
          <w:tcPr>
            <w:tcW w:w="986" w:type="dxa"/>
          </w:tcPr>
          <w:p>
            <w:pPr>
              <w:pStyle w:val="TableParagraph"/>
              <w:spacing w:line="202" w:lineRule="exact"/>
              <w:ind w:left="218"/>
              <w:rPr>
                <w:rFonts w:ascii="Calibri"/>
                <w:sz w:val="17"/>
              </w:rPr>
            </w:pPr>
            <w:r>
              <w:rPr>
                <w:rFonts w:ascii="Calibri"/>
                <w:sz w:val="17"/>
              </w:rPr>
              <w:t>-20.2%</w:t>
            </w:r>
          </w:p>
        </w:tc>
        <w:tc>
          <w:tcPr>
            <w:tcW w:w="1185" w:type="dxa"/>
          </w:tcPr>
          <w:p>
            <w:pPr>
              <w:pStyle w:val="TableParagraph"/>
              <w:spacing w:line="202" w:lineRule="exact"/>
              <w:ind w:right="105"/>
              <w:jc w:val="right"/>
              <w:rPr>
                <w:rFonts w:ascii="Calibri"/>
                <w:sz w:val="17"/>
              </w:rPr>
            </w:pPr>
            <w:r>
              <w:rPr>
                <w:rFonts w:ascii="Calibri"/>
                <w:sz w:val="17"/>
              </w:rPr>
              <w:t>1,227,028</w:t>
            </w:r>
          </w:p>
        </w:tc>
        <w:tc>
          <w:tcPr>
            <w:tcW w:w="951" w:type="dxa"/>
          </w:tcPr>
          <w:p>
            <w:pPr>
              <w:pStyle w:val="TableParagraph"/>
              <w:spacing w:line="202" w:lineRule="exact"/>
              <w:ind w:right="77"/>
              <w:jc w:val="right"/>
              <w:rPr>
                <w:rFonts w:ascii="Calibri"/>
                <w:sz w:val="17"/>
              </w:rPr>
            </w:pPr>
            <w:r>
              <w:rPr>
                <w:rFonts w:ascii="Calibri"/>
                <w:color w:val="FF0000"/>
                <w:sz w:val="17"/>
              </w:rPr>
              <w:t>(215,889)</w:t>
            </w:r>
          </w:p>
        </w:tc>
        <w:tc>
          <w:tcPr>
            <w:tcW w:w="892" w:type="dxa"/>
          </w:tcPr>
          <w:p>
            <w:pPr>
              <w:pStyle w:val="TableParagraph"/>
              <w:spacing w:line="202" w:lineRule="exact"/>
              <w:ind w:left="171"/>
              <w:rPr>
                <w:rFonts w:ascii="Calibri"/>
                <w:sz w:val="17"/>
              </w:rPr>
            </w:pPr>
            <w:r>
              <w:rPr>
                <w:rFonts w:ascii="Calibri"/>
                <w:sz w:val="17"/>
              </w:rPr>
              <w:t>-17.6%</w:t>
            </w:r>
          </w:p>
        </w:tc>
      </w:tr>
      <w:tr>
        <w:trPr>
          <w:trHeight w:val="226" w:hRule="atLeast"/>
        </w:trPr>
        <w:tc>
          <w:tcPr>
            <w:tcW w:w="3492" w:type="dxa"/>
          </w:tcPr>
          <w:p>
            <w:pPr>
              <w:pStyle w:val="TableParagraph"/>
              <w:spacing w:line="202" w:lineRule="exact"/>
              <w:ind w:left="406"/>
              <w:rPr>
                <w:rFonts w:ascii="Calibri"/>
                <w:sz w:val="17"/>
              </w:rPr>
            </w:pPr>
            <w:r>
              <w:rPr>
                <w:rFonts w:ascii="Calibri"/>
                <w:sz w:val="17"/>
              </w:rPr>
              <w:t>Risk Management</w:t>
            </w:r>
          </w:p>
        </w:tc>
        <w:tc>
          <w:tcPr>
            <w:tcW w:w="1225" w:type="dxa"/>
          </w:tcPr>
          <w:p>
            <w:pPr>
              <w:pStyle w:val="TableParagraph"/>
              <w:spacing w:line="202" w:lineRule="exact"/>
              <w:ind w:right="90"/>
              <w:jc w:val="right"/>
              <w:rPr>
                <w:rFonts w:ascii="Calibri"/>
                <w:sz w:val="17"/>
              </w:rPr>
            </w:pPr>
            <w:r>
              <w:rPr>
                <w:rFonts w:ascii="Calibri"/>
                <w:sz w:val="17"/>
              </w:rPr>
              <w:t>804,614</w:t>
            </w:r>
          </w:p>
        </w:tc>
        <w:tc>
          <w:tcPr>
            <w:tcW w:w="983" w:type="dxa"/>
          </w:tcPr>
          <w:p>
            <w:pPr>
              <w:pStyle w:val="TableParagraph"/>
              <w:spacing w:line="202" w:lineRule="exact"/>
              <w:ind w:right="91"/>
              <w:jc w:val="right"/>
              <w:rPr>
                <w:rFonts w:ascii="Calibri"/>
                <w:sz w:val="17"/>
              </w:rPr>
            </w:pPr>
            <w:r>
              <w:rPr>
                <w:rFonts w:ascii="Calibri"/>
                <w:sz w:val="17"/>
              </w:rPr>
              <w:t>1,119,087</w:t>
            </w:r>
          </w:p>
        </w:tc>
        <w:tc>
          <w:tcPr>
            <w:tcW w:w="1101" w:type="dxa"/>
          </w:tcPr>
          <w:p>
            <w:pPr>
              <w:pStyle w:val="TableParagraph"/>
              <w:spacing w:line="202" w:lineRule="exact"/>
              <w:ind w:right="38"/>
              <w:jc w:val="right"/>
              <w:rPr>
                <w:rFonts w:ascii="Calibri"/>
                <w:sz w:val="17"/>
              </w:rPr>
            </w:pPr>
            <w:r>
              <w:rPr>
                <w:rFonts w:ascii="Calibri"/>
                <w:sz w:val="17"/>
              </w:rPr>
              <w:t>314,474</w:t>
            </w:r>
          </w:p>
        </w:tc>
        <w:tc>
          <w:tcPr>
            <w:tcW w:w="986" w:type="dxa"/>
          </w:tcPr>
          <w:p>
            <w:pPr>
              <w:pStyle w:val="TableParagraph"/>
              <w:spacing w:line="202" w:lineRule="exact"/>
              <w:ind w:left="218"/>
              <w:rPr>
                <w:rFonts w:ascii="Calibri"/>
                <w:sz w:val="17"/>
              </w:rPr>
            </w:pPr>
            <w:r>
              <w:rPr>
                <w:rFonts w:ascii="Calibri"/>
                <w:sz w:val="17"/>
              </w:rPr>
              <w:t>-28.1%</w:t>
            </w:r>
          </w:p>
        </w:tc>
        <w:tc>
          <w:tcPr>
            <w:tcW w:w="1185" w:type="dxa"/>
          </w:tcPr>
          <w:p>
            <w:pPr>
              <w:pStyle w:val="TableParagraph"/>
              <w:spacing w:line="202" w:lineRule="exact"/>
              <w:ind w:right="105"/>
              <w:jc w:val="right"/>
              <w:rPr>
                <w:rFonts w:ascii="Calibri"/>
                <w:sz w:val="17"/>
              </w:rPr>
            </w:pPr>
            <w:r>
              <w:rPr>
                <w:rFonts w:ascii="Calibri"/>
                <w:sz w:val="17"/>
              </w:rPr>
              <w:t>531,949</w:t>
            </w:r>
          </w:p>
        </w:tc>
        <w:tc>
          <w:tcPr>
            <w:tcW w:w="951" w:type="dxa"/>
          </w:tcPr>
          <w:p>
            <w:pPr>
              <w:pStyle w:val="TableParagraph"/>
              <w:spacing w:line="202" w:lineRule="exact"/>
              <w:ind w:right="74"/>
              <w:jc w:val="right"/>
              <w:rPr>
                <w:rFonts w:ascii="Calibri"/>
                <w:sz w:val="17"/>
              </w:rPr>
            </w:pPr>
            <w:r>
              <w:rPr>
                <w:rFonts w:ascii="Calibri"/>
                <w:sz w:val="17"/>
              </w:rPr>
              <w:t>272,665</w:t>
            </w:r>
          </w:p>
        </w:tc>
        <w:tc>
          <w:tcPr>
            <w:tcW w:w="892" w:type="dxa"/>
          </w:tcPr>
          <w:p>
            <w:pPr>
              <w:pStyle w:val="TableParagraph"/>
              <w:spacing w:line="202" w:lineRule="exact"/>
              <w:ind w:left="204"/>
              <w:rPr>
                <w:rFonts w:ascii="Calibri"/>
                <w:sz w:val="17"/>
              </w:rPr>
            </w:pPr>
            <w:r>
              <w:rPr>
                <w:rFonts w:ascii="Calibri"/>
                <w:sz w:val="17"/>
              </w:rPr>
              <w:t>51.3%</w:t>
            </w:r>
          </w:p>
        </w:tc>
      </w:tr>
      <w:tr>
        <w:trPr>
          <w:trHeight w:val="226" w:hRule="atLeast"/>
        </w:trPr>
        <w:tc>
          <w:tcPr>
            <w:tcW w:w="3492" w:type="dxa"/>
          </w:tcPr>
          <w:p>
            <w:pPr>
              <w:pStyle w:val="TableParagraph"/>
              <w:spacing w:line="202" w:lineRule="exact"/>
              <w:ind w:left="406"/>
              <w:rPr>
                <w:rFonts w:ascii="Calibri"/>
                <w:sz w:val="17"/>
              </w:rPr>
            </w:pPr>
            <w:r>
              <w:rPr>
                <w:rFonts w:ascii="Calibri"/>
                <w:sz w:val="17"/>
              </w:rPr>
              <w:t>Purchased Transportation</w:t>
            </w:r>
          </w:p>
        </w:tc>
        <w:tc>
          <w:tcPr>
            <w:tcW w:w="1225" w:type="dxa"/>
          </w:tcPr>
          <w:p>
            <w:pPr>
              <w:pStyle w:val="TableParagraph"/>
              <w:spacing w:line="202" w:lineRule="exact"/>
              <w:ind w:right="90"/>
              <w:jc w:val="right"/>
              <w:rPr>
                <w:rFonts w:ascii="Calibri"/>
                <w:sz w:val="17"/>
              </w:rPr>
            </w:pPr>
            <w:r>
              <w:rPr>
                <w:rFonts w:ascii="Calibri"/>
                <w:sz w:val="17"/>
              </w:rPr>
              <w:t>1,513,383</w:t>
            </w:r>
          </w:p>
        </w:tc>
        <w:tc>
          <w:tcPr>
            <w:tcW w:w="983" w:type="dxa"/>
          </w:tcPr>
          <w:p>
            <w:pPr>
              <w:pStyle w:val="TableParagraph"/>
              <w:spacing w:line="202" w:lineRule="exact"/>
              <w:ind w:right="91"/>
              <w:jc w:val="right"/>
              <w:rPr>
                <w:rFonts w:ascii="Calibri"/>
                <w:sz w:val="17"/>
              </w:rPr>
            </w:pPr>
            <w:r>
              <w:rPr>
                <w:rFonts w:ascii="Calibri"/>
                <w:sz w:val="17"/>
              </w:rPr>
              <w:t>1,698,000</w:t>
            </w:r>
          </w:p>
        </w:tc>
        <w:tc>
          <w:tcPr>
            <w:tcW w:w="1101" w:type="dxa"/>
          </w:tcPr>
          <w:p>
            <w:pPr>
              <w:pStyle w:val="TableParagraph"/>
              <w:spacing w:line="202" w:lineRule="exact"/>
              <w:ind w:right="38"/>
              <w:jc w:val="right"/>
              <w:rPr>
                <w:rFonts w:ascii="Calibri"/>
                <w:sz w:val="17"/>
              </w:rPr>
            </w:pPr>
            <w:r>
              <w:rPr>
                <w:rFonts w:ascii="Calibri"/>
                <w:sz w:val="17"/>
              </w:rPr>
              <w:t>184,617</w:t>
            </w:r>
          </w:p>
        </w:tc>
        <w:tc>
          <w:tcPr>
            <w:tcW w:w="986" w:type="dxa"/>
          </w:tcPr>
          <w:p>
            <w:pPr>
              <w:pStyle w:val="TableParagraph"/>
              <w:spacing w:line="202" w:lineRule="exact"/>
              <w:ind w:left="218"/>
              <w:rPr>
                <w:rFonts w:ascii="Calibri"/>
                <w:sz w:val="17"/>
              </w:rPr>
            </w:pPr>
            <w:r>
              <w:rPr>
                <w:rFonts w:ascii="Calibri"/>
                <w:sz w:val="17"/>
              </w:rPr>
              <w:t>-10.9%</w:t>
            </w:r>
          </w:p>
        </w:tc>
        <w:tc>
          <w:tcPr>
            <w:tcW w:w="1185" w:type="dxa"/>
          </w:tcPr>
          <w:p>
            <w:pPr>
              <w:pStyle w:val="TableParagraph"/>
              <w:spacing w:line="202" w:lineRule="exact"/>
              <w:ind w:right="105"/>
              <w:jc w:val="right"/>
              <w:rPr>
                <w:rFonts w:ascii="Calibri"/>
                <w:sz w:val="17"/>
              </w:rPr>
            </w:pPr>
            <w:r>
              <w:rPr>
                <w:rFonts w:ascii="Calibri"/>
                <w:sz w:val="17"/>
              </w:rPr>
              <w:t>1,528,485</w:t>
            </w:r>
          </w:p>
        </w:tc>
        <w:tc>
          <w:tcPr>
            <w:tcW w:w="951" w:type="dxa"/>
          </w:tcPr>
          <w:p>
            <w:pPr>
              <w:pStyle w:val="TableParagraph"/>
              <w:spacing w:line="202" w:lineRule="exact"/>
              <w:ind w:right="77"/>
              <w:jc w:val="right"/>
              <w:rPr>
                <w:rFonts w:ascii="Calibri"/>
                <w:sz w:val="17"/>
              </w:rPr>
            </w:pPr>
            <w:r>
              <w:rPr>
                <w:rFonts w:ascii="Calibri"/>
                <w:color w:val="FF0000"/>
                <w:sz w:val="17"/>
              </w:rPr>
              <w:t>(15,102)</w:t>
            </w:r>
          </w:p>
        </w:tc>
        <w:tc>
          <w:tcPr>
            <w:tcW w:w="892" w:type="dxa"/>
          </w:tcPr>
          <w:p>
            <w:pPr>
              <w:pStyle w:val="TableParagraph"/>
              <w:spacing w:line="202" w:lineRule="exact"/>
              <w:ind w:left="214"/>
              <w:rPr>
                <w:rFonts w:ascii="Calibri"/>
                <w:sz w:val="17"/>
              </w:rPr>
            </w:pPr>
            <w:r>
              <w:rPr>
                <w:rFonts w:ascii="Calibri"/>
                <w:sz w:val="17"/>
              </w:rPr>
              <w:t>-1.0%</w:t>
            </w:r>
          </w:p>
        </w:tc>
      </w:tr>
      <w:tr>
        <w:trPr>
          <w:trHeight w:val="226" w:hRule="atLeast"/>
        </w:trPr>
        <w:tc>
          <w:tcPr>
            <w:tcW w:w="3492" w:type="dxa"/>
          </w:tcPr>
          <w:p>
            <w:pPr>
              <w:pStyle w:val="TableParagraph"/>
              <w:spacing w:line="202" w:lineRule="exact"/>
              <w:ind w:left="406"/>
              <w:rPr>
                <w:rFonts w:ascii="Calibri"/>
                <w:sz w:val="17"/>
              </w:rPr>
            </w:pPr>
            <w:r>
              <w:rPr>
                <w:rFonts w:ascii="Calibri"/>
                <w:sz w:val="17"/>
              </w:rPr>
              <w:t>Materials &amp; Supplies</w:t>
            </w:r>
          </w:p>
        </w:tc>
        <w:tc>
          <w:tcPr>
            <w:tcW w:w="1225" w:type="dxa"/>
          </w:tcPr>
          <w:p>
            <w:pPr>
              <w:pStyle w:val="TableParagraph"/>
              <w:spacing w:line="202" w:lineRule="exact"/>
              <w:ind w:right="90"/>
              <w:jc w:val="right"/>
              <w:rPr>
                <w:rFonts w:ascii="Calibri"/>
                <w:sz w:val="17"/>
              </w:rPr>
            </w:pPr>
            <w:r>
              <w:rPr>
                <w:rFonts w:ascii="Calibri"/>
                <w:sz w:val="17"/>
              </w:rPr>
              <w:t>1,140,406</w:t>
            </w:r>
          </w:p>
        </w:tc>
        <w:tc>
          <w:tcPr>
            <w:tcW w:w="983" w:type="dxa"/>
          </w:tcPr>
          <w:p>
            <w:pPr>
              <w:pStyle w:val="TableParagraph"/>
              <w:spacing w:line="202" w:lineRule="exact"/>
              <w:ind w:right="91"/>
              <w:jc w:val="right"/>
              <w:rPr>
                <w:rFonts w:ascii="Calibri"/>
                <w:sz w:val="17"/>
              </w:rPr>
            </w:pPr>
            <w:r>
              <w:rPr>
                <w:rFonts w:ascii="Calibri"/>
                <w:sz w:val="17"/>
              </w:rPr>
              <w:t>1,237,607</w:t>
            </w:r>
          </w:p>
        </w:tc>
        <w:tc>
          <w:tcPr>
            <w:tcW w:w="1101" w:type="dxa"/>
          </w:tcPr>
          <w:p>
            <w:pPr>
              <w:pStyle w:val="TableParagraph"/>
              <w:spacing w:line="202" w:lineRule="exact"/>
              <w:ind w:right="38"/>
              <w:jc w:val="right"/>
              <w:rPr>
                <w:rFonts w:ascii="Calibri"/>
                <w:sz w:val="17"/>
              </w:rPr>
            </w:pPr>
            <w:r>
              <w:rPr>
                <w:rFonts w:ascii="Calibri"/>
                <w:sz w:val="17"/>
              </w:rPr>
              <w:t>97,201</w:t>
            </w:r>
          </w:p>
        </w:tc>
        <w:tc>
          <w:tcPr>
            <w:tcW w:w="986" w:type="dxa"/>
          </w:tcPr>
          <w:p>
            <w:pPr>
              <w:pStyle w:val="TableParagraph"/>
              <w:spacing w:line="202" w:lineRule="exact"/>
              <w:ind w:left="261"/>
              <w:rPr>
                <w:rFonts w:ascii="Calibri"/>
                <w:sz w:val="17"/>
              </w:rPr>
            </w:pPr>
            <w:r>
              <w:rPr>
                <w:rFonts w:ascii="Calibri"/>
                <w:sz w:val="17"/>
              </w:rPr>
              <w:t>-7.9%</w:t>
            </w:r>
          </w:p>
        </w:tc>
        <w:tc>
          <w:tcPr>
            <w:tcW w:w="1185" w:type="dxa"/>
          </w:tcPr>
          <w:p>
            <w:pPr>
              <w:pStyle w:val="TableParagraph"/>
              <w:spacing w:line="202" w:lineRule="exact"/>
              <w:ind w:right="105"/>
              <w:jc w:val="right"/>
              <w:rPr>
                <w:rFonts w:ascii="Calibri"/>
                <w:sz w:val="17"/>
              </w:rPr>
            </w:pPr>
            <w:r>
              <w:rPr>
                <w:rFonts w:ascii="Calibri"/>
                <w:sz w:val="17"/>
              </w:rPr>
              <w:t>1,221,649</w:t>
            </w:r>
          </w:p>
        </w:tc>
        <w:tc>
          <w:tcPr>
            <w:tcW w:w="951" w:type="dxa"/>
          </w:tcPr>
          <w:p>
            <w:pPr>
              <w:pStyle w:val="TableParagraph"/>
              <w:spacing w:line="202" w:lineRule="exact"/>
              <w:ind w:right="77"/>
              <w:jc w:val="right"/>
              <w:rPr>
                <w:rFonts w:ascii="Calibri"/>
                <w:sz w:val="17"/>
              </w:rPr>
            </w:pPr>
            <w:r>
              <w:rPr>
                <w:rFonts w:ascii="Calibri"/>
                <w:color w:val="FF0000"/>
                <w:sz w:val="17"/>
              </w:rPr>
              <w:t>(81,243)</w:t>
            </w:r>
          </w:p>
        </w:tc>
        <w:tc>
          <w:tcPr>
            <w:tcW w:w="892" w:type="dxa"/>
          </w:tcPr>
          <w:p>
            <w:pPr>
              <w:pStyle w:val="TableParagraph"/>
              <w:spacing w:line="202" w:lineRule="exact"/>
              <w:ind w:left="214"/>
              <w:rPr>
                <w:rFonts w:ascii="Calibri"/>
                <w:sz w:val="17"/>
              </w:rPr>
            </w:pPr>
            <w:r>
              <w:rPr>
                <w:rFonts w:ascii="Calibri"/>
                <w:sz w:val="17"/>
              </w:rPr>
              <w:t>-6.7%</w:t>
            </w:r>
          </w:p>
        </w:tc>
      </w:tr>
      <w:tr>
        <w:trPr>
          <w:trHeight w:val="226" w:hRule="atLeast"/>
        </w:trPr>
        <w:tc>
          <w:tcPr>
            <w:tcW w:w="3492" w:type="dxa"/>
          </w:tcPr>
          <w:p>
            <w:pPr>
              <w:pStyle w:val="TableParagraph"/>
              <w:spacing w:line="202" w:lineRule="exact"/>
              <w:ind w:left="406"/>
              <w:rPr>
                <w:rFonts w:ascii="Calibri"/>
                <w:sz w:val="17"/>
              </w:rPr>
            </w:pPr>
            <w:r>
              <w:rPr>
                <w:rFonts w:ascii="Calibri"/>
                <w:sz w:val="17"/>
              </w:rPr>
              <w:t>Services</w:t>
            </w:r>
          </w:p>
        </w:tc>
        <w:tc>
          <w:tcPr>
            <w:tcW w:w="1225" w:type="dxa"/>
          </w:tcPr>
          <w:p>
            <w:pPr>
              <w:pStyle w:val="TableParagraph"/>
              <w:spacing w:line="202" w:lineRule="exact"/>
              <w:ind w:right="90"/>
              <w:jc w:val="right"/>
              <w:rPr>
                <w:rFonts w:ascii="Calibri"/>
                <w:sz w:val="17"/>
              </w:rPr>
            </w:pPr>
            <w:r>
              <w:rPr>
                <w:rFonts w:ascii="Calibri"/>
                <w:sz w:val="17"/>
              </w:rPr>
              <w:t>1,354,926</w:t>
            </w:r>
          </w:p>
        </w:tc>
        <w:tc>
          <w:tcPr>
            <w:tcW w:w="983" w:type="dxa"/>
          </w:tcPr>
          <w:p>
            <w:pPr>
              <w:pStyle w:val="TableParagraph"/>
              <w:spacing w:line="202" w:lineRule="exact"/>
              <w:ind w:right="91"/>
              <w:jc w:val="right"/>
              <w:rPr>
                <w:rFonts w:ascii="Calibri"/>
                <w:sz w:val="17"/>
              </w:rPr>
            </w:pPr>
            <w:r>
              <w:rPr>
                <w:rFonts w:ascii="Calibri"/>
                <w:sz w:val="17"/>
              </w:rPr>
              <w:t>2,031,309</w:t>
            </w:r>
          </w:p>
        </w:tc>
        <w:tc>
          <w:tcPr>
            <w:tcW w:w="1101" w:type="dxa"/>
          </w:tcPr>
          <w:p>
            <w:pPr>
              <w:pStyle w:val="TableParagraph"/>
              <w:spacing w:line="202" w:lineRule="exact"/>
              <w:ind w:right="38"/>
              <w:jc w:val="right"/>
              <w:rPr>
                <w:rFonts w:ascii="Calibri"/>
                <w:sz w:val="17"/>
              </w:rPr>
            </w:pPr>
            <w:r>
              <w:rPr>
                <w:rFonts w:ascii="Calibri"/>
                <w:sz w:val="17"/>
              </w:rPr>
              <w:t>676,383</w:t>
            </w:r>
          </w:p>
        </w:tc>
        <w:tc>
          <w:tcPr>
            <w:tcW w:w="986" w:type="dxa"/>
          </w:tcPr>
          <w:p>
            <w:pPr>
              <w:pStyle w:val="TableParagraph"/>
              <w:spacing w:line="202" w:lineRule="exact"/>
              <w:ind w:left="218"/>
              <w:rPr>
                <w:rFonts w:ascii="Calibri"/>
                <w:sz w:val="17"/>
              </w:rPr>
            </w:pPr>
            <w:r>
              <w:rPr>
                <w:rFonts w:ascii="Calibri"/>
                <w:sz w:val="17"/>
              </w:rPr>
              <w:t>-33.3%</w:t>
            </w:r>
          </w:p>
        </w:tc>
        <w:tc>
          <w:tcPr>
            <w:tcW w:w="1185" w:type="dxa"/>
          </w:tcPr>
          <w:p>
            <w:pPr>
              <w:pStyle w:val="TableParagraph"/>
              <w:spacing w:line="202" w:lineRule="exact"/>
              <w:ind w:right="105"/>
              <w:jc w:val="right"/>
              <w:rPr>
                <w:rFonts w:ascii="Calibri"/>
                <w:sz w:val="17"/>
              </w:rPr>
            </w:pPr>
            <w:r>
              <w:rPr>
                <w:rFonts w:ascii="Calibri"/>
                <w:sz w:val="17"/>
              </w:rPr>
              <w:t>1,487,766</w:t>
            </w:r>
          </w:p>
        </w:tc>
        <w:tc>
          <w:tcPr>
            <w:tcW w:w="951" w:type="dxa"/>
          </w:tcPr>
          <w:p>
            <w:pPr>
              <w:pStyle w:val="TableParagraph"/>
              <w:spacing w:line="202" w:lineRule="exact"/>
              <w:ind w:right="77"/>
              <w:jc w:val="right"/>
              <w:rPr>
                <w:rFonts w:ascii="Calibri"/>
                <w:sz w:val="17"/>
              </w:rPr>
            </w:pPr>
            <w:r>
              <w:rPr>
                <w:rFonts w:ascii="Calibri"/>
                <w:color w:val="FF0000"/>
                <w:sz w:val="17"/>
              </w:rPr>
              <w:t>(132,840)</w:t>
            </w:r>
          </w:p>
        </w:tc>
        <w:tc>
          <w:tcPr>
            <w:tcW w:w="892" w:type="dxa"/>
          </w:tcPr>
          <w:p>
            <w:pPr>
              <w:pStyle w:val="TableParagraph"/>
              <w:spacing w:line="202" w:lineRule="exact"/>
              <w:ind w:left="214"/>
              <w:rPr>
                <w:rFonts w:ascii="Calibri"/>
                <w:sz w:val="17"/>
              </w:rPr>
            </w:pPr>
            <w:r>
              <w:rPr>
                <w:rFonts w:ascii="Calibri"/>
                <w:sz w:val="17"/>
              </w:rPr>
              <w:t>-8.9%</w:t>
            </w:r>
          </w:p>
        </w:tc>
      </w:tr>
      <w:tr>
        <w:trPr>
          <w:trHeight w:val="226" w:hRule="atLeast"/>
        </w:trPr>
        <w:tc>
          <w:tcPr>
            <w:tcW w:w="3492" w:type="dxa"/>
          </w:tcPr>
          <w:p>
            <w:pPr>
              <w:pStyle w:val="TableParagraph"/>
              <w:spacing w:line="202" w:lineRule="exact"/>
              <w:ind w:left="406"/>
              <w:rPr>
                <w:rFonts w:ascii="Calibri"/>
                <w:sz w:val="17"/>
              </w:rPr>
            </w:pPr>
            <w:r>
              <w:rPr>
                <w:rFonts w:ascii="Calibri"/>
                <w:sz w:val="17"/>
              </w:rPr>
              <w:t>Fuel</w:t>
            </w:r>
          </w:p>
        </w:tc>
        <w:tc>
          <w:tcPr>
            <w:tcW w:w="1225" w:type="dxa"/>
          </w:tcPr>
          <w:p>
            <w:pPr>
              <w:pStyle w:val="TableParagraph"/>
              <w:spacing w:line="202" w:lineRule="exact"/>
              <w:ind w:right="90"/>
              <w:jc w:val="right"/>
              <w:rPr>
                <w:rFonts w:ascii="Calibri"/>
                <w:sz w:val="17"/>
              </w:rPr>
            </w:pPr>
            <w:r>
              <w:rPr>
                <w:rFonts w:ascii="Calibri"/>
                <w:sz w:val="17"/>
              </w:rPr>
              <w:t>534,855</w:t>
            </w:r>
          </w:p>
        </w:tc>
        <w:tc>
          <w:tcPr>
            <w:tcW w:w="983" w:type="dxa"/>
          </w:tcPr>
          <w:p>
            <w:pPr>
              <w:pStyle w:val="TableParagraph"/>
              <w:spacing w:line="202" w:lineRule="exact"/>
              <w:ind w:right="91"/>
              <w:jc w:val="right"/>
              <w:rPr>
                <w:rFonts w:ascii="Calibri"/>
                <w:sz w:val="17"/>
              </w:rPr>
            </w:pPr>
            <w:r>
              <w:rPr>
                <w:rFonts w:ascii="Calibri"/>
                <w:sz w:val="17"/>
              </w:rPr>
              <w:t>716,450</w:t>
            </w:r>
          </w:p>
        </w:tc>
        <w:tc>
          <w:tcPr>
            <w:tcW w:w="1101" w:type="dxa"/>
          </w:tcPr>
          <w:p>
            <w:pPr>
              <w:pStyle w:val="TableParagraph"/>
              <w:spacing w:line="202" w:lineRule="exact"/>
              <w:ind w:right="38"/>
              <w:jc w:val="right"/>
              <w:rPr>
                <w:rFonts w:ascii="Calibri"/>
                <w:sz w:val="17"/>
              </w:rPr>
            </w:pPr>
            <w:r>
              <w:rPr>
                <w:rFonts w:ascii="Calibri"/>
                <w:sz w:val="17"/>
              </w:rPr>
              <w:t>181,595</w:t>
            </w:r>
          </w:p>
        </w:tc>
        <w:tc>
          <w:tcPr>
            <w:tcW w:w="986" w:type="dxa"/>
          </w:tcPr>
          <w:p>
            <w:pPr>
              <w:pStyle w:val="TableParagraph"/>
              <w:spacing w:line="202" w:lineRule="exact"/>
              <w:ind w:left="218"/>
              <w:rPr>
                <w:rFonts w:ascii="Calibri"/>
                <w:sz w:val="17"/>
              </w:rPr>
            </w:pPr>
            <w:r>
              <w:rPr>
                <w:rFonts w:ascii="Calibri"/>
                <w:sz w:val="17"/>
              </w:rPr>
              <w:t>-25.3%</w:t>
            </w:r>
          </w:p>
        </w:tc>
        <w:tc>
          <w:tcPr>
            <w:tcW w:w="1185" w:type="dxa"/>
          </w:tcPr>
          <w:p>
            <w:pPr>
              <w:pStyle w:val="TableParagraph"/>
              <w:spacing w:line="202" w:lineRule="exact"/>
              <w:ind w:right="105"/>
              <w:jc w:val="right"/>
              <w:rPr>
                <w:rFonts w:ascii="Calibri"/>
                <w:sz w:val="17"/>
              </w:rPr>
            </w:pPr>
            <w:r>
              <w:rPr>
                <w:rFonts w:ascii="Calibri"/>
                <w:sz w:val="17"/>
              </w:rPr>
              <w:t>500,605</w:t>
            </w:r>
          </w:p>
        </w:tc>
        <w:tc>
          <w:tcPr>
            <w:tcW w:w="951" w:type="dxa"/>
          </w:tcPr>
          <w:p>
            <w:pPr>
              <w:pStyle w:val="TableParagraph"/>
              <w:spacing w:line="202" w:lineRule="exact"/>
              <w:ind w:right="74"/>
              <w:jc w:val="right"/>
              <w:rPr>
                <w:rFonts w:ascii="Calibri"/>
                <w:sz w:val="17"/>
              </w:rPr>
            </w:pPr>
            <w:r>
              <w:rPr>
                <w:rFonts w:ascii="Calibri"/>
                <w:sz w:val="17"/>
              </w:rPr>
              <w:t>34,251</w:t>
            </w:r>
          </w:p>
        </w:tc>
        <w:tc>
          <w:tcPr>
            <w:tcW w:w="892" w:type="dxa"/>
          </w:tcPr>
          <w:p>
            <w:pPr>
              <w:pStyle w:val="TableParagraph"/>
              <w:spacing w:line="202" w:lineRule="exact"/>
              <w:ind w:left="247"/>
              <w:rPr>
                <w:rFonts w:ascii="Calibri"/>
                <w:sz w:val="17"/>
              </w:rPr>
            </w:pPr>
            <w:r>
              <w:rPr>
                <w:rFonts w:ascii="Calibri"/>
                <w:sz w:val="17"/>
              </w:rPr>
              <w:t>6.8%</w:t>
            </w:r>
          </w:p>
        </w:tc>
      </w:tr>
      <w:tr>
        <w:trPr>
          <w:trHeight w:val="226" w:hRule="atLeast"/>
        </w:trPr>
        <w:tc>
          <w:tcPr>
            <w:tcW w:w="3492" w:type="dxa"/>
          </w:tcPr>
          <w:p>
            <w:pPr>
              <w:pStyle w:val="TableParagraph"/>
              <w:spacing w:line="202" w:lineRule="exact"/>
              <w:ind w:left="406"/>
              <w:rPr>
                <w:rFonts w:ascii="Calibri"/>
                <w:sz w:val="17"/>
              </w:rPr>
            </w:pPr>
            <w:r>
              <w:rPr>
                <w:rFonts w:ascii="Calibri"/>
                <w:sz w:val="17"/>
              </w:rPr>
              <w:t>Utilities</w:t>
            </w:r>
          </w:p>
        </w:tc>
        <w:tc>
          <w:tcPr>
            <w:tcW w:w="1225" w:type="dxa"/>
          </w:tcPr>
          <w:p>
            <w:pPr>
              <w:pStyle w:val="TableParagraph"/>
              <w:spacing w:line="202" w:lineRule="exact"/>
              <w:ind w:right="90"/>
              <w:jc w:val="right"/>
              <w:rPr>
                <w:rFonts w:ascii="Calibri"/>
                <w:sz w:val="17"/>
              </w:rPr>
            </w:pPr>
            <w:r>
              <w:rPr>
                <w:rFonts w:ascii="Calibri"/>
                <w:sz w:val="17"/>
              </w:rPr>
              <w:t>140,385</w:t>
            </w:r>
          </w:p>
        </w:tc>
        <w:tc>
          <w:tcPr>
            <w:tcW w:w="983" w:type="dxa"/>
          </w:tcPr>
          <w:p>
            <w:pPr>
              <w:pStyle w:val="TableParagraph"/>
              <w:spacing w:line="202" w:lineRule="exact"/>
              <w:ind w:right="91"/>
              <w:jc w:val="right"/>
              <w:rPr>
                <w:rFonts w:ascii="Calibri"/>
                <w:sz w:val="17"/>
              </w:rPr>
            </w:pPr>
            <w:r>
              <w:rPr>
                <w:rFonts w:ascii="Calibri"/>
                <w:sz w:val="17"/>
              </w:rPr>
              <w:t>181,285</w:t>
            </w:r>
          </w:p>
        </w:tc>
        <w:tc>
          <w:tcPr>
            <w:tcW w:w="1101" w:type="dxa"/>
          </w:tcPr>
          <w:p>
            <w:pPr>
              <w:pStyle w:val="TableParagraph"/>
              <w:spacing w:line="202" w:lineRule="exact"/>
              <w:ind w:right="38"/>
              <w:jc w:val="right"/>
              <w:rPr>
                <w:rFonts w:ascii="Calibri"/>
                <w:sz w:val="17"/>
              </w:rPr>
            </w:pPr>
            <w:r>
              <w:rPr>
                <w:rFonts w:ascii="Calibri"/>
                <w:sz w:val="17"/>
              </w:rPr>
              <w:t>40,900</w:t>
            </w:r>
          </w:p>
        </w:tc>
        <w:tc>
          <w:tcPr>
            <w:tcW w:w="986" w:type="dxa"/>
          </w:tcPr>
          <w:p>
            <w:pPr>
              <w:pStyle w:val="TableParagraph"/>
              <w:spacing w:line="202" w:lineRule="exact"/>
              <w:ind w:left="218"/>
              <w:rPr>
                <w:rFonts w:ascii="Calibri"/>
                <w:sz w:val="17"/>
              </w:rPr>
            </w:pPr>
            <w:r>
              <w:rPr>
                <w:rFonts w:ascii="Calibri"/>
                <w:sz w:val="17"/>
              </w:rPr>
              <w:t>-22.6%</w:t>
            </w:r>
          </w:p>
        </w:tc>
        <w:tc>
          <w:tcPr>
            <w:tcW w:w="1185" w:type="dxa"/>
          </w:tcPr>
          <w:p>
            <w:pPr>
              <w:pStyle w:val="TableParagraph"/>
              <w:spacing w:line="202" w:lineRule="exact"/>
              <w:ind w:right="105"/>
              <w:jc w:val="right"/>
              <w:rPr>
                <w:rFonts w:ascii="Calibri"/>
                <w:sz w:val="17"/>
              </w:rPr>
            </w:pPr>
            <w:r>
              <w:rPr>
                <w:rFonts w:ascii="Calibri"/>
                <w:sz w:val="17"/>
              </w:rPr>
              <w:t>135,104</w:t>
            </w:r>
          </w:p>
        </w:tc>
        <w:tc>
          <w:tcPr>
            <w:tcW w:w="951" w:type="dxa"/>
          </w:tcPr>
          <w:p>
            <w:pPr>
              <w:pStyle w:val="TableParagraph"/>
              <w:spacing w:line="202" w:lineRule="exact"/>
              <w:ind w:right="74"/>
              <w:jc w:val="right"/>
              <w:rPr>
                <w:rFonts w:ascii="Calibri"/>
                <w:sz w:val="17"/>
              </w:rPr>
            </w:pPr>
            <w:r>
              <w:rPr>
                <w:rFonts w:ascii="Calibri"/>
                <w:sz w:val="17"/>
              </w:rPr>
              <w:t>5,281</w:t>
            </w:r>
          </w:p>
        </w:tc>
        <w:tc>
          <w:tcPr>
            <w:tcW w:w="892" w:type="dxa"/>
          </w:tcPr>
          <w:p>
            <w:pPr>
              <w:pStyle w:val="TableParagraph"/>
              <w:spacing w:line="202" w:lineRule="exact"/>
              <w:ind w:left="247"/>
              <w:rPr>
                <w:rFonts w:ascii="Calibri"/>
                <w:sz w:val="17"/>
              </w:rPr>
            </w:pPr>
            <w:r>
              <w:rPr>
                <w:rFonts w:ascii="Calibri"/>
                <w:sz w:val="17"/>
              </w:rPr>
              <w:t>3.9%</w:t>
            </w:r>
          </w:p>
        </w:tc>
      </w:tr>
      <w:tr>
        <w:trPr>
          <w:trHeight w:val="197" w:hRule="atLeast"/>
        </w:trPr>
        <w:tc>
          <w:tcPr>
            <w:tcW w:w="3492" w:type="dxa"/>
          </w:tcPr>
          <w:p>
            <w:pPr>
              <w:pStyle w:val="TableParagraph"/>
              <w:spacing w:line="177" w:lineRule="exact"/>
              <w:ind w:left="406"/>
              <w:rPr>
                <w:rFonts w:ascii="Calibri"/>
                <w:sz w:val="17"/>
              </w:rPr>
            </w:pPr>
            <w:r>
              <w:rPr>
                <w:rFonts w:ascii="Calibri"/>
                <w:sz w:val="17"/>
              </w:rPr>
              <w:t>Other Expenses</w:t>
            </w:r>
          </w:p>
        </w:tc>
        <w:tc>
          <w:tcPr>
            <w:tcW w:w="1225" w:type="dxa"/>
            <w:tcBorders>
              <w:bottom w:val="single" w:sz="6" w:space="0" w:color="000000"/>
            </w:tcBorders>
          </w:tcPr>
          <w:p>
            <w:pPr>
              <w:pStyle w:val="TableParagraph"/>
              <w:spacing w:line="177" w:lineRule="exact"/>
              <w:ind w:right="90"/>
              <w:jc w:val="right"/>
              <w:rPr>
                <w:rFonts w:ascii="Calibri"/>
                <w:sz w:val="17"/>
              </w:rPr>
            </w:pPr>
            <w:r>
              <w:rPr>
                <w:rFonts w:ascii="Calibri"/>
                <w:sz w:val="17"/>
              </w:rPr>
              <w:t>90,328</w:t>
            </w:r>
          </w:p>
        </w:tc>
        <w:tc>
          <w:tcPr>
            <w:tcW w:w="983" w:type="dxa"/>
            <w:tcBorders>
              <w:bottom w:val="single" w:sz="6" w:space="0" w:color="000000"/>
            </w:tcBorders>
          </w:tcPr>
          <w:p>
            <w:pPr>
              <w:pStyle w:val="TableParagraph"/>
              <w:spacing w:line="177" w:lineRule="exact"/>
              <w:ind w:right="91"/>
              <w:jc w:val="right"/>
              <w:rPr>
                <w:rFonts w:ascii="Calibri"/>
                <w:sz w:val="17"/>
              </w:rPr>
            </w:pPr>
            <w:r>
              <w:rPr>
                <w:rFonts w:ascii="Calibri"/>
                <w:sz w:val="17"/>
              </w:rPr>
              <w:t>156,610</w:t>
            </w:r>
          </w:p>
        </w:tc>
        <w:tc>
          <w:tcPr>
            <w:tcW w:w="1101" w:type="dxa"/>
            <w:tcBorders>
              <w:bottom w:val="single" w:sz="6" w:space="0" w:color="000000"/>
            </w:tcBorders>
          </w:tcPr>
          <w:p>
            <w:pPr>
              <w:pStyle w:val="TableParagraph"/>
              <w:spacing w:line="177" w:lineRule="exact"/>
              <w:ind w:right="38"/>
              <w:jc w:val="right"/>
              <w:rPr>
                <w:rFonts w:ascii="Calibri"/>
                <w:sz w:val="17"/>
              </w:rPr>
            </w:pPr>
            <w:r>
              <w:rPr>
                <w:rFonts w:ascii="Calibri"/>
                <w:sz w:val="17"/>
              </w:rPr>
              <w:t>66,282</w:t>
            </w:r>
          </w:p>
        </w:tc>
        <w:tc>
          <w:tcPr>
            <w:tcW w:w="986" w:type="dxa"/>
            <w:tcBorders>
              <w:bottom w:val="single" w:sz="6" w:space="0" w:color="000000"/>
            </w:tcBorders>
          </w:tcPr>
          <w:p>
            <w:pPr>
              <w:pStyle w:val="TableParagraph"/>
              <w:spacing w:line="177" w:lineRule="exact"/>
              <w:ind w:left="218"/>
              <w:rPr>
                <w:rFonts w:ascii="Calibri"/>
                <w:sz w:val="17"/>
              </w:rPr>
            </w:pPr>
            <w:r>
              <w:rPr>
                <w:rFonts w:ascii="Calibri"/>
                <w:sz w:val="17"/>
              </w:rPr>
              <w:t>-42.3%</w:t>
            </w:r>
          </w:p>
        </w:tc>
        <w:tc>
          <w:tcPr>
            <w:tcW w:w="1185" w:type="dxa"/>
            <w:tcBorders>
              <w:bottom w:val="single" w:sz="6" w:space="0" w:color="000000"/>
            </w:tcBorders>
          </w:tcPr>
          <w:p>
            <w:pPr>
              <w:pStyle w:val="TableParagraph"/>
              <w:spacing w:line="177" w:lineRule="exact"/>
              <w:ind w:right="105"/>
              <w:jc w:val="right"/>
              <w:rPr>
                <w:rFonts w:ascii="Calibri"/>
                <w:sz w:val="17"/>
              </w:rPr>
            </w:pPr>
            <w:r>
              <w:rPr>
                <w:rFonts w:ascii="Calibri"/>
                <w:sz w:val="17"/>
              </w:rPr>
              <w:t>86,194</w:t>
            </w:r>
          </w:p>
        </w:tc>
        <w:tc>
          <w:tcPr>
            <w:tcW w:w="951" w:type="dxa"/>
            <w:tcBorders>
              <w:bottom w:val="single" w:sz="6" w:space="0" w:color="000000"/>
            </w:tcBorders>
          </w:tcPr>
          <w:p>
            <w:pPr>
              <w:pStyle w:val="TableParagraph"/>
              <w:spacing w:line="177" w:lineRule="exact"/>
              <w:ind w:right="74"/>
              <w:jc w:val="right"/>
              <w:rPr>
                <w:rFonts w:ascii="Calibri"/>
                <w:sz w:val="17"/>
              </w:rPr>
            </w:pPr>
            <w:r>
              <w:rPr>
                <w:rFonts w:ascii="Calibri"/>
                <w:sz w:val="17"/>
              </w:rPr>
              <w:t>4,134</w:t>
            </w:r>
          </w:p>
        </w:tc>
        <w:tc>
          <w:tcPr>
            <w:tcW w:w="892" w:type="dxa"/>
            <w:tcBorders>
              <w:bottom w:val="single" w:sz="6" w:space="0" w:color="000000"/>
            </w:tcBorders>
          </w:tcPr>
          <w:p>
            <w:pPr>
              <w:pStyle w:val="TableParagraph"/>
              <w:spacing w:line="177" w:lineRule="exact"/>
              <w:ind w:left="247"/>
              <w:rPr>
                <w:rFonts w:ascii="Calibri"/>
                <w:sz w:val="17"/>
              </w:rPr>
            </w:pPr>
            <w:r>
              <w:rPr>
                <w:rFonts w:ascii="Calibri"/>
                <w:sz w:val="17"/>
              </w:rPr>
              <w:t>4.8%</w:t>
            </w:r>
          </w:p>
        </w:tc>
      </w:tr>
      <w:tr>
        <w:trPr>
          <w:trHeight w:val="211" w:hRule="atLeast"/>
        </w:trPr>
        <w:tc>
          <w:tcPr>
            <w:tcW w:w="3492" w:type="dxa"/>
          </w:tcPr>
          <w:p>
            <w:pPr>
              <w:pStyle w:val="TableParagraph"/>
              <w:spacing w:line="183" w:lineRule="exact" w:before="8"/>
              <w:ind w:left="535"/>
              <w:rPr>
                <w:rFonts w:ascii="Calibri"/>
                <w:sz w:val="17"/>
              </w:rPr>
            </w:pPr>
            <w:r>
              <w:rPr>
                <w:rFonts w:ascii="Calibri"/>
                <w:sz w:val="17"/>
              </w:rPr>
              <w:t>Total Operating Expenses</w:t>
            </w:r>
          </w:p>
        </w:tc>
        <w:tc>
          <w:tcPr>
            <w:tcW w:w="1225" w:type="dxa"/>
            <w:tcBorders>
              <w:top w:val="single" w:sz="6" w:space="0" w:color="000000"/>
              <w:bottom w:val="single" w:sz="6" w:space="0" w:color="000000"/>
            </w:tcBorders>
          </w:tcPr>
          <w:p>
            <w:pPr>
              <w:pStyle w:val="TableParagraph"/>
              <w:spacing w:line="183" w:lineRule="exact" w:before="8"/>
              <w:ind w:right="90"/>
              <w:jc w:val="right"/>
              <w:rPr>
                <w:rFonts w:ascii="Calibri"/>
                <w:sz w:val="17"/>
              </w:rPr>
            </w:pPr>
            <w:r>
              <w:rPr>
                <w:rFonts w:ascii="Calibri"/>
                <w:sz w:val="17"/>
              </w:rPr>
              <w:t>21,479,747</w:t>
            </w:r>
          </w:p>
        </w:tc>
        <w:tc>
          <w:tcPr>
            <w:tcW w:w="983" w:type="dxa"/>
            <w:tcBorders>
              <w:top w:val="single" w:sz="6" w:space="0" w:color="000000"/>
              <w:bottom w:val="single" w:sz="6" w:space="0" w:color="000000"/>
            </w:tcBorders>
          </w:tcPr>
          <w:p>
            <w:pPr>
              <w:pStyle w:val="TableParagraph"/>
              <w:spacing w:line="183" w:lineRule="exact" w:before="8"/>
              <w:ind w:right="91"/>
              <w:jc w:val="right"/>
              <w:rPr>
                <w:rFonts w:ascii="Calibri"/>
                <w:sz w:val="17"/>
              </w:rPr>
            </w:pPr>
            <w:r>
              <w:rPr>
                <w:rFonts w:ascii="Calibri"/>
                <w:sz w:val="17"/>
              </w:rPr>
              <w:t>25,507,346</w:t>
            </w:r>
          </w:p>
        </w:tc>
        <w:tc>
          <w:tcPr>
            <w:tcW w:w="1101" w:type="dxa"/>
            <w:tcBorders>
              <w:top w:val="single" w:sz="6" w:space="0" w:color="000000"/>
              <w:bottom w:val="single" w:sz="6" w:space="0" w:color="000000"/>
            </w:tcBorders>
          </w:tcPr>
          <w:p>
            <w:pPr>
              <w:pStyle w:val="TableParagraph"/>
              <w:spacing w:line="183" w:lineRule="exact" w:before="8"/>
              <w:ind w:right="38"/>
              <w:jc w:val="right"/>
              <w:rPr>
                <w:rFonts w:ascii="Calibri"/>
                <w:sz w:val="17"/>
              </w:rPr>
            </w:pPr>
            <w:r>
              <w:rPr>
                <w:rFonts w:ascii="Calibri"/>
                <w:sz w:val="17"/>
              </w:rPr>
              <w:t>4,027,599</w:t>
            </w:r>
          </w:p>
        </w:tc>
        <w:tc>
          <w:tcPr>
            <w:tcW w:w="986" w:type="dxa"/>
            <w:tcBorders>
              <w:top w:val="single" w:sz="6" w:space="0" w:color="000000"/>
              <w:bottom w:val="single" w:sz="6" w:space="0" w:color="000000"/>
            </w:tcBorders>
          </w:tcPr>
          <w:p>
            <w:pPr>
              <w:pStyle w:val="TableParagraph"/>
              <w:spacing w:line="183" w:lineRule="exact" w:before="8"/>
              <w:ind w:left="218"/>
              <w:rPr>
                <w:rFonts w:ascii="Calibri"/>
                <w:sz w:val="17"/>
              </w:rPr>
            </w:pPr>
            <w:r>
              <w:rPr>
                <w:rFonts w:ascii="Calibri"/>
                <w:sz w:val="17"/>
              </w:rPr>
              <w:t>-15.8%</w:t>
            </w:r>
          </w:p>
        </w:tc>
        <w:tc>
          <w:tcPr>
            <w:tcW w:w="1185" w:type="dxa"/>
            <w:tcBorders>
              <w:top w:val="single" w:sz="6" w:space="0" w:color="000000"/>
              <w:bottom w:val="single" w:sz="6" w:space="0" w:color="000000"/>
            </w:tcBorders>
          </w:tcPr>
          <w:p>
            <w:pPr>
              <w:pStyle w:val="TableParagraph"/>
              <w:spacing w:line="183" w:lineRule="exact" w:before="8"/>
              <w:ind w:right="105"/>
              <w:jc w:val="right"/>
              <w:rPr>
                <w:rFonts w:ascii="Calibri"/>
                <w:sz w:val="17"/>
              </w:rPr>
            </w:pPr>
            <w:r>
              <w:rPr>
                <w:rFonts w:ascii="Calibri"/>
                <w:sz w:val="17"/>
              </w:rPr>
              <w:t>21,171,890</w:t>
            </w:r>
          </w:p>
        </w:tc>
        <w:tc>
          <w:tcPr>
            <w:tcW w:w="951" w:type="dxa"/>
            <w:tcBorders>
              <w:top w:val="single" w:sz="6" w:space="0" w:color="000000"/>
              <w:bottom w:val="single" w:sz="6" w:space="0" w:color="000000"/>
            </w:tcBorders>
          </w:tcPr>
          <w:p>
            <w:pPr>
              <w:pStyle w:val="TableParagraph"/>
              <w:spacing w:line="183" w:lineRule="exact" w:before="8"/>
              <w:ind w:right="74"/>
              <w:jc w:val="right"/>
              <w:rPr>
                <w:rFonts w:ascii="Calibri"/>
                <w:sz w:val="17"/>
              </w:rPr>
            </w:pPr>
            <w:r>
              <w:rPr>
                <w:rFonts w:ascii="Calibri"/>
                <w:sz w:val="17"/>
              </w:rPr>
              <w:t>307,857</w:t>
            </w:r>
          </w:p>
        </w:tc>
        <w:tc>
          <w:tcPr>
            <w:tcW w:w="892" w:type="dxa"/>
            <w:tcBorders>
              <w:top w:val="single" w:sz="6" w:space="0" w:color="000000"/>
              <w:bottom w:val="single" w:sz="6" w:space="0" w:color="000000"/>
            </w:tcBorders>
          </w:tcPr>
          <w:p>
            <w:pPr>
              <w:pStyle w:val="TableParagraph"/>
              <w:spacing w:line="183" w:lineRule="exact" w:before="8"/>
              <w:ind w:left="247"/>
              <w:rPr>
                <w:rFonts w:ascii="Calibri"/>
                <w:sz w:val="17"/>
              </w:rPr>
            </w:pPr>
            <w:r>
              <w:rPr>
                <w:rFonts w:ascii="Calibri"/>
                <w:sz w:val="17"/>
              </w:rPr>
              <w:t>1.5%</w:t>
            </w:r>
          </w:p>
        </w:tc>
      </w:tr>
      <w:tr>
        <w:trPr>
          <w:trHeight w:val="661" w:hRule="atLeast"/>
        </w:trPr>
        <w:tc>
          <w:tcPr>
            <w:tcW w:w="3492" w:type="dxa"/>
          </w:tcPr>
          <w:p>
            <w:pPr>
              <w:pStyle w:val="TableParagraph"/>
              <w:spacing w:before="7"/>
              <w:rPr>
                <w:rFonts w:ascii="Calibri"/>
                <w:sz w:val="15"/>
              </w:rPr>
            </w:pPr>
          </w:p>
          <w:p>
            <w:pPr>
              <w:pStyle w:val="TableParagraph"/>
              <w:spacing w:line="220" w:lineRule="atLeast"/>
              <w:ind w:left="308" w:right="1652" w:hanging="162"/>
              <w:rPr>
                <w:rFonts w:ascii="Calibri"/>
                <w:sz w:val="17"/>
              </w:rPr>
            </w:pPr>
            <w:r>
              <w:rPr>
                <w:rFonts w:ascii="Calibri"/>
                <w:sz w:val="17"/>
              </w:rPr>
              <w:t>Non-Operating Revenue Operating Assistance</w:t>
            </w:r>
          </w:p>
        </w:tc>
        <w:tc>
          <w:tcPr>
            <w:tcW w:w="1225"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right="90"/>
              <w:jc w:val="right"/>
              <w:rPr>
                <w:rFonts w:ascii="Calibri"/>
                <w:sz w:val="17"/>
              </w:rPr>
            </w:pPr>
            <w:r>
              <w:rPr>
                <w:rFonts w:ascii="Calibri"/>
                <w:sz w:val="17"/>
              </w:rPr>
              <w:t>16,818,187</w:t>
            </w:r>
          </w:p>
        </w:tc>
        <w:tc>
          <w:tcPr>
            <w:tcW w:w="983"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right="91"/>
              <w:jc w:val="right"/>
              <w:rPr>
                <w:rFonts w:ascii="Calibri"/>
                <w:sz w:val="17"/>
              </w:rPr>
            </w:pPr>
            <w:r>
              <w:rPr>
                <w:rFonts w:ascii="Calibri"/>
                <w:sz w:val="17"/>
              </w:rPr>
              <w:t>19,169,100</w:t>
            </w:r>
          </w:p>
        </w:tc>
        <w:tc>
          <w:tcPr>
            <w:tcW w:w="1101"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right="41"/>
              <w:jc w:val="right"/>
              <w:rPr>
                <w:rFonts w:ascii="Calibri"/>
                <w:sz w:val="17"/>
              </w:rPr>
            </w:pPr>
            <w:r>
              <w:rPr>
                <w:rFonts w:ascii="Calibri"/>
                <w:color w:val="FF0000"/>
                <w:sz w:val="17"/>
              </w:rPr>
              <w:t>(2,350,913)</w:t>
            </w:r>
          </w:p>
        </w:tc>
        <w:tc>
          <w:tcPr>
            <w:tcW w:w="986"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left="218"/>
              <w:rPr>
                <w:rFonts w:ascii="Calibri"/>
                <w:sz w:val="17"/>
              </w:rPr>
            </w:pPr>
            <w:r>
              <w:rPr>
                <w:rFonts w:ascii="Calibri"/>
                <w:sz w:val="17"/>
              </w:rPr>
              <w:t>-12.3%</w:t>
            </w:r>
          </w:p>
        </w:tc>
        <w:tc>
          <w:tcPr>
            <w:tcW w:w="1185"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right="105"/>
              <w:jc w:val="right"/>
              <w:rPr>
                <w:rFonts w:ascii="Calibri"/>
                <w:sz w:val="17"/>
              </w:rPr>
            </w:pPr>
            <w:r>
              <w:rPr>
                <w:rFonts w:ascii="Calibri"/>
                <w:sz w:val="17"/>
              </w:rPr>
              <w:t>16,718,600</w:t>
            </w:r>
          </w:p>
        </w:tc>
        <w:tc>
          <w:tcPr>
            <w:tcW w:w="951"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right="74"/>
              <w:jc w:val="right"/>
              <w:rPr>
                <w:rFonts w:ascii="Calibri"/>
                <w:sz w:val="17"/>
              </w:rPr>
            </w:pPr>
            <w:r>
              <w:rPr>
                <w:rFonts w:ascii="Calibri"/>
                <w:sz w:val="17"/>
              </w:rPr>
              <w:t>99,587</w:t>
            </w:r>
          </w:p>
        </w:tc>
        <w:tc>
          <w:tcPr>
            <w:tcW w:w="892" w:type="dxa"/>
            <w:tcBorders>
              <w:top w:val="single" w:sz="6" w:space="0" w:color="000000"/>
            </w:tcBorders>
          </w:tcPr>
          <w:p>
            <w:pPr>
              <w:pStyle w:val="TableParagraph"/>
              <w:rPr>
                <w:rFonts w:ascii="Calibri"/>
                <w:sz w:val="16"/>
              </w:rPr>
            </w:pPr>
          </w:p>
          <w:p>
            <w:pPr>
              <w:pStyle w:val="TableParagraph"/>
              <w:spacing w:before="2"/>
              <w:rPr>
                <w:rFonts w:ascii="Calibri"/>
                <w:sz w:val="19"/>
              </w:rPr>
            </w:pPr>
          </w:p>
          <w:p>
            <w:pPr>
              <w:pStyle w:val="TableParagraph"/>
              <w:ind w:left="247"/>
              <w:rPr>
                <w:rFonts w:ascii="Calibri"/>
                <w:sz w:val="17"/>
              </w:rPr>
            </w:pPr>
            <w:r>
              <w:rPr>
                <w:rFonts w:ascii="Calibri"/>
                <w:sz w:val="17"/>
              </w:rPr>
              <w:t>0.6%</w:t>
            </w:r>
          </w:p>
        </w:tc>
      </w:tr>
      <w:tr>
        <w:trPr>
          <w:trHeight w:val="226" w:hRule="atLeast"/>
        </w:trPr>
        <w:tc>
          <w:tcPr>
            <w:tcW w:w="3492" w:type="dxa"/>
          </w:tcPr>
          <w:p>
            <w:pPr>
              <w:pStyle w:val="TableParagraph"/>
              <w:spacing w:line="202" w:lineRule="exact"/>
              <w:ind w:left="308"/>
              <w:rPr>
                <w:rFonts w:ascii="Calibri"/>
                <w:sz w:val="17"/>
              </w:rPr>
            </w:pPr>
            <w:r>
              <w:rPr>
                <w:rFonts w:ascii="Calibri"/>
                <w:sz w:val="17"/>
              </w:rPr>
              <w:t>Mortgage Tax Revenue</w:t>
            </w:r>
          </w:p>
        </w:tc>
        <w:tc>
          <w:tcPr>
            <w:tcW w:w="1225" w:type="dxa"/>
          </w:tcPr>
          <w:p>
            <w:pPr>
              <w:pStyle w:val="TableParagraph"/>
              <w:spacing w:line="202" w:lineRule="exact"/>
              <w:ind w:right="90"/>
              <w:jc w:val="right"/>
              <w:rPr>
                <w:rFonts w:ascii="Calibri"/>
                <w:sz w:val="17"/>
              </w:rPr>
            </w:pPr>
            <w:r>
              <w:rPr>
                <w:rFonts w:ascii="Calibri"/>
                <w:sz w:val="17"/>
              </w:rPr>
              <w:t>2,400,657</w:t>
            </w:r>
          </w:p>
        </w:tc>
        <w:tc>
          <w:tcPr>
            <w:tcW w:w="983" w:type="dxa"/>
          </w:tcPr>
          <w:p>
            <w:pPr>
              <w:pStyle w:val="TableParagraph"/>
              <w:spacing w:line="202" w:lineRule="exact"/>
              <w:ind w:right="91"/>
              <w:jc w:val="right"/>
              <w:rPr>
                <w:rFonts w:ascii="Calibri"/>
                <w:sz w:val="17"/>
              </w:rPr>
            </w:pPr>
            <w:r>
              <w:rPr>
                <w:rFonts w:ascii="Calibri"/>
                <w:sz w:val="17"/>
              </w:rPr>
              <w:t>1,770,000</w:t>
            </w:r>
          </w:p>
        </w:tc>
        <w:tc>
          <w:tcPr>
            <w:tcW w:w="1101" w:type="dxa"/>
          </w:tcPr>
          <w:p>
            <w:pPr>
              <w:pStyle w:val="TableParagraph"/>
              <w:spacing w:line="202" w:lineRule="exact"/>
              <w:ind w:right="38"/>
              <w:jc w:val="right"/>
              <w:rPr>
                <w:rFonts w:ascii="Calibri"/>
                <w:sz w:val="17"/>
              </w:rPr>
            </w:pPr>
            <w:r>
              <w:rPr>
                <w:rFonts w:ascii="Calibri"/>
                <w:sz w:val="17"/>
              </w:rPr>
              <w:t>630,657</w:t>
            </w:r>
          </w:p>
        </w:tc>
        <w:tc>
          <w:tcPr>
            <w:tcW w:w="986" w:type="dxa"/>
          </w:tcPr>
          <w:p>
            <w:pPr>
              <w:pStyle w:val="TableParagraph"/>
              <w:spacing w:line="202" w:lineRule="exact"/>
              <w:ind w:left="251"/>
              <w:rPr>
                <w:rFonts w:ascii="Calibri"/>
                <w:sz w:val="17"/>
              </w:rPr>
            </w:pPr>
            <w:r>
              <w:rPr>
                <w:rFonts w:ascii="Calibri"/>
                <w:sz w:val="17"/>
              </w:rPr>
              <w:t>35.6%</w:t>
            </w:r>
          </w:p>
        </w:tc>
        <w:tc>
          <w:tcPr>
            <w:tcW w:w="1185" w:type="dxa"/>
          </w:tcPr>
          <w:p>
            <w:pPr>
              <w:pStyle w:val="TableParagraph"/>
              <w:spacing w:line="202" w:lineRule="exact"/>
              <w:ind w:right="105"/>
              <w:jc w:val="right"/>
              <w:rPr>
                <w:rFonts w:ascii="Calibri"/>
                <w:sz w:val="17"/>
              </w:rPr>
            </w:pPr>
            <w:r>
              <w:rPr>
                <w:rFonts w:ascii="Calibri"/>
                <w:sz w:val="17"/>
              </w:rPr>
              <w:t>1,666,750</w:t>
            </w:r>
          </w:p>
        </w:tc>
        <w:tc>
          <w:tcPr>
            <w:tcW w:w="951" w:type="dxa"/>
          </w:tcPr>
          <w:p>
            <w:pPr>
              <w:pStyle w:val="TableParagraph"/>
              <w:spacing w:line="202" w:lineRule="exact"/>
              <w:ind w:right="74"/>
              <w:jc w:val="right"/>
              <w:rPr>
                <w:rFonts w:ascii="Calibri"/>
                <w:sz w:val="17"/>
              </w:rPr>
            </w:pPr>
            <w:r>
              <w:rPr>
                <w:rFonts w:ascii="Calibri"/>
                <w:sz w:val="17"/>
              </w:rPr>
              <w:t>733,907</w:t>
            </w:r>
          </w:p>
        </w:tc>
        <w:tc>
          <w:tcPr>
            <w:tcW w:w="892" w:type="dxa"/>
          </w:tcPr>
          <w:p>
            <w:pPr>
              <w:pStyle w:val="TableParagraph"/>
              <w:spacing w:line="202" w:lineRule="exact"/>
              <w:ind w:left="204"/>
              <w:rPr>
                <w:rFonts w:ascii="Calibri"/>
                <w:sz w:val="17"/>
              </w:rPr>
            </w:pPr>
            <w:r>
              <w:rPr>
                <w:rFonts w:ascii="Calibri"/>
                <w:sz w:val="17"/>
              </w:rPr>
              <w:t>44.0%</w:t>
            </w:r>
          </w:p>
        </w:tc>
      </w:tr>
      <w:tr>
        <w:trPr>
          <w:trHeight w:val="226" w:hRule="atLeast"/>
        </w:trPr>
        <w:tc>
          <w:tcPr>
            <w:tcW w:w="3492" w:type="dxa"/>
          </w:tcPr>
          <w:p>
            <w:pPr>
              <w:pStyle w:val="TableParagraph"/>
              <w:spacing w:line="202" w:lineRule="exact"/>
              <w:ind w:left="308"/>
              <w:rPr>
                <w:rFonts w:ascii="Calibri"/>
                <w:sz w:val="17"/>
              </w:rPr>
            </w:pPr>
            <w:r>
              <w:rPr>
                <w:rFonts w:ascii="Calibri"/>
                <w:sz w:val="17"/>
              </w:rPr>
              <w:t>Gain/Loss on Disposal of Capital</w:t>
            </w:r>
          </w:p>
        </w:tc>
        <w:tc>
          <w:tcPr>
            <w:tcW w:w="1225" w:type="dxa"/>
          </w:tcPr>
          <w:p>
            <w:pPr>
              <w:pStyle w:val="TableParagraph"/>
              <w:spacing w:line="202" w:lineRule="exact"/>
              <w:ind w:right="90"/>
              <w:jc w:val="right"/>
              <w:rPr>
                <w:rFonts w:ascii="Calibri"/>
                <w:sz w:val="17"/>
              </w:rPr>
            </w:pPr>
            <w:r>
              <w:rPr>
                <w:rFonts w:ascii="Calibri"/>
                <w:sz w:val="17"/>
              </w:rPr>
              <w:t>34,331</w:t>
            </w:r>
          </w:p>
        </w:tc>
        <w:tc>
          <w:tcPr>
            <w:tcW w:w="983" w:type="dxa"/>
          </w:tcPr>
          <w:p>
            <w:pPr>
              <w:pStyle w:val="TableParagraph"/>
              <w:spacing w:line="202" w:lineRule="exact"/>
              <w:ind w:right="91"/>
              <w:jc w:val="right"/>
              <w:rPr>
                <w:rFonts w:ascii="Calibri"/>
                <w:sz w:val="17"/>
              </w:rPr>
            </w:pPr>
            <w:r>
              <w:rPr>
                <w:rFonts w:ascii="Calibri"/>
                <w:sz w:val="17"/>
              </w:rPr>
              <w:t>12,500</w:t>
            </w:r>
          </w:p>
        </w:tc>
        <w:tc>
          <w:tcPr>
            <w:tcW w:w="1101" w:type="dxa"/>
          </w:tcPr>
          <w:p>
            <w:pPr>
              <w:pStyle w:val="TableParagraph"/>
              <w:spacing w:line="202" w:lineRule="exact"/>
              <w:ind w:right="38"/>
              <w:jc w:val="right"/>
              <w:rPr>
                <w:rFonts w:ascii="Calibri"/>
                <w:sz w:val="17"/>
              </w:rPr>
            </w:pPr>
            <w:r>
              <w:rPr>
                <w:rFonts w:ascii="Calibri"/>
                <w:sz w:val="17"/>
              </w:rPr>
              <w:t>21,831</w:t>
            </w:r>
          </w:p>
        </w:tc>
        <w:tc>
          <w:tcPr>
            <w:tcW w:w="986" w:type="dxa"/>
          </w:tcPr>
          <w:p>
            <w:pPr>
              <w:pStyle w:val="TableParagraph"/>
              <w:spacing w:line="202" w:lineRule="exact"/>
              <w:ind w:left="208"/>
              <w:rPr>
                <w:rFonts w:ascii="Calibri"/>
                <w:sz w:val="17"/>
              </w:rPr>
            </w:pPr>
            <w:r>
              <w:rPr>
                <w:rFonts w:ascii="Calibri"/>
                <w:sz w:val="17"/>
              </w:rPr>
              <w:t>174.7%</w:t>
            </w:r>
          </w:p>
        </w:tc>
        <w:tc>
          <w:tcPr>
            <w:tcW w:w="1185" w:type="dxa"/>
          </w:tcPr>
          <w:p>
            <w:pPr>
              <w:pStyle w:val="TableParagraph"/>
              <w:spacing w:line="202" w:lineRule="exact"/>
              <w:ind w:right="105"/>
              <w:jc w:val="right"/>
              <w:rPr>
                <w:rFonts w:ascii="Calibri"/>
                <w:sz w:val="17"/>
              </w:rPr>
            </w:pPr>
            <w:r>
              <w:rPr>
                <w:rFonts w:ascii="Calibri"/>
                <w:sz w:val="17"/>
              </w:rPr>
              <w:t>15,725</w:t>
            </w:r>
          </w:p>
        </w:tc>
        <w:tc>
          <w:tcPr>
            <w:tcW w:w="951" w:type="dxa"/>
          </w:tcPr>
          <w:p>
            <w:pPr>
              <w:pStyle w:val="TableParagraph"/>
              <w:spacing w:line="202" w:lineRule="exact"/>
              <w:ind w:right="74"/>
              <w:jc w:val="right"/>
              <w:rPr>
                <w:rFonts w:ascii="Calibri"/>
                <w:sz w:val="17"/>
              </w:rPr>
            </w:pPr>
            <w:r>
              <w:rPr>
                <w:rFonts w:ascii="Calibri"/>
                <w:sz w:val="17"/>
              </w:rPr>
              <w:t>18,606</w:t>
            </w:r>
          </w:p>
        </w:tc>
        <w:tc>
          <w:tcPr>
            <w:tcW w:w="892" w:type="dxa"/>
          </w:tcPr>
          <w:p>
            <w:pPr>
              <w:pStyle w:val="TableParagraph"/>
              <w:spacing w:line="202" w:lineRule="exact"/>
              <w:ind w:left="160"/>
              <w:rPr>
                <w:rFonts w:ascii="Calibri"/>
                <w:sz w:val="17"/>
              </w:rPr>
            </w:pPr>
            <w:r>
              <w:rPr>
                <w:rFonts w:ascii="Calibri"/>
                <w:sz w:val="17"/>
              </w:rPr>
              <w:t>118.3%</w:t>
            </w:r>
          </w:p>
        </w:tc>
      </w:tr>
      <w:tr>
        <w:trPr>
          <w:trHeight w:val="197" w:hRule="atLeast"/>
        </w:trPr>
        <w:tc>
          <w:tcPr>
            <w:tcW w:w="3492" w:type="dxa"/>
          </w:tcPr>
          <w:p>
            <w:pPr>
              <w:pStyle w:val="TableParagraph"/>
              <w:spacing w:line="177" w:lineRule="exact"/>
              <w:ind w:left="308"/>
              <w:rPr>
                <w:rFonts w:ascii="Calibri"/>
                <w:sz w:val="17"/>
              </w:rPr>
            </w:pPr>
            <w:r>
              <w:rPr>
                <w:rFonts w:ascii="Calibri"/>
                <w:sz w:val="17"/>
              </w:rPr>
              <w:t>Investment Revenue</w:t>
            </w:r>
          </w:p>
        </w:tc>
        <w:tc>
          <w:tcPr>
            <w:tcW w:w="1225" w:type="dxa"/>
            <w:tcBorders>
              <w:bottom w:val="single" w:sz="6" w:space="0" w:color="000000"/>
            </w:tcBorders>
          </w:tcPr>
          <w:p>
            <w:pPr>
              <w:pStyle w:val="TableParagraph"/>
              <w:spacing w:line="177" w:lineRule="exact"/>
              <w:ind w:right="90"/>
              <w:jc w:val="right"/>
              <w:rPr>
                <w:rFonts w:ascii="Calibri"/>
                <w:sz w:val="17"/>
              </w:rPr>
            </w:pPr>
            <w:r>
              <w:rPr>
                <w:rFonts w:ascii="Calibri"/>
                <w:sz w:val="17"/>
              </w:rPr>
              <w:t>274,977</w:t>
            </w:r>
          </w:p>
        </w:tc>
        <w:tc>
          <w:tcPr>
            <w:tcW w:w="983" w:type="dxa"/>
            <w:tcBorders>
              <w:bottom w:val="single" w:sz="6" w:space="0" w:color="000000"/>
            </w:tcBorders>
          </w:tcPr>
          <w:p>
            <w:pPr>
              <w:pStyle w:val="TableParagraph"/>
              <w:spacing w:line="177" w:lineRule="exact"/>
              <w:ind w:right="91"/>
              <w:jc w:val="right"/>
              <w:rPr>
                <w:rFonts w:ascii="Calibri"/>
                <w:sz w:val="17"/>
              </w:rPr>
            </w:pPr>
            <w:r>
              <w:rPr>
                <w:rFonts w:ascii="Calibri"/>
                <w:sz w:val="17"/>
              </w:rPr>
              <w:t>125,101</w:t>
            </w:r>
          </w:p>
        </w:tc>
        <w:tc>
          <w:tcPr>
            <w:tcW w:w="1101" w:type="dxa"/>
            <w:tcBorders>
              <w:bottom w:val="single" w:sz="6" w:space="0" w:color="000000"/>
            </w:tcBorders>
          </w:tcPr>
          <w:p>
            <w:pPr>
              <w:pStyle w:val="TableParagraph"/>
              <w:spacing w:line="177" w:lineRule="exact"/>
              <w:ind w:right="38"/>
              <w:jc w:val="right"/>
              <w:rPr>
                <w:rFonts w:ascii="Calibri"/>
                <w:sz w:val="17"/>
              </w:rPr>
            </w:pPr>
            <w:r>
              <w:rPr>
                <w:rFonts w:ascii="Calibri"/>
                <w:sz w:val="17"/>
              </w:rPr>
              <w:t>149,876</w:t>
            </w:r>
          </w:p>
        </w:tc>
        <w:tc>
          <w:tcPr>
            <w:tcW w:w="986" w:type="dxa"/>
            <w:tcBorders>
              <w:bottom w:val="single" w:sz="6" w:space="0" w:color="000000"/>
            </w:tcBorders>
          </w:tcPr>
          <w:p>
            <w:pPr>
              <w:pStyle w:val="TableParagraph"/>
              <w:spacing w:line="177" w:lineRule="exact"/>
              <w:ind w:left="208"/>
              <w:rPr>
                <w:rFonts w:ascii="Calibri"/>
                <w:sz w:val="17"/>
              </w:rPr>
            </w:pPr>
            <w:r>
              <w:rPr>
                <w:rFonts w:ascii="Calibri"/>
                <w:sz w:val="17"/>
              </w:rPr>
              <w:t>119.8%</w:t>
            </w:r>
          </w:p>
        </w:tc>
        <w:tc>
          <w:tcPr>
            <w:tcW w:w="1185" w:type="dxa"/>
            <w:tcBorders>
              <w:bottom w:val="single" w:sz="6" w:space="0" w:color="000000"/>
            </w:tcBorders>
          </w:tcPr>
          <w:p>
            <w:pPr>
              <w:pStyle w:val="TableParagraph"/>
              <w:spacing w:line="177" w:lineRule="exact"/>
              <w:ind w:right="105"/>
              <w:jc w:val="right"/>
              <w:rPr>
                <w:rFonts w:ascii="Calibri"/>
                <w:sz w:val="17"/>
              </w:rPr>
            </w:pPr>
            <w:r>
              <w:rPr>
                <w:rFonts w:ascii="Calibri"/>
                <w:sz w:val="17"/>
              </w:rPr>
              <w:t>404,350</w:t>
            </w:r>
          </w:p>
        </w:tc>
        <w:tc>
          <w:tcPr>
            <w:tcW w:w="951" w:type="dxa"/>
            <w:tcBorders>
              <w:bottom w:val="single" w:sz="6" w:space="0" w:color="000000"/>
            </w:tcBorders>
          </w:tcPr>
          <w:p>
            <w:pPr>
              <w:pStyle w:val="TableParagraph"/>
              <w:spacing w:line="177" w:lineRule="exact"/>
              <w:ind w:right="77"/>
              <w:jc w:val="right"/>
              <w:rPr>
                <w:rFonts w:ascii="Calibri"/>
                <w:sz w:val="17"/>
              </w:rPr>
            </w:pPr>
            <w:r>
              <w:rPr>
                <w:rFonts w:ascii="Calibri"/>
                <w:color w:val="FF0000"/>
                <w:sz w:val="17"/>
              </w:rPr>
              <w:t>(129,373)</w:t>
            </w:r>
          </w:p>
        </w:tc>
        <w:tc>
          <w:tcPr>
            <w:tcW w:w="892" w:type="dxa"/>
            <w:tcBorders>
              <w:bottom w:val="single" w:sz="6" w:space="0" w:color="000000"/>
            </w:tcBorders>
          </w:tcPr>
          <w:p>
            <w:pPr>
              <w:pStyle w:val="TableParagraph"/>
              <w:spacing w:line="177" w:lineRule="exact"/>
              <w:ind w:left="171"/>
              <w:rPr>
                <w:rFonts w:ascii="Calibri"/>
                <w:sz w:val="17"/>
              </w:rPr>
            </w:pPr>
            <w:r>
              <w:rPr>
                <w:rFonts w:ascii="Calibri"/>
                <w:sz w:val="17"/>
              </w:rPr>
              <w:t>-32.0%</w:t>
            </w:r>
          </w:p>
        </w:tc>
      </w:tr>
      <w:tr>
        <w:trPr>
          <w:trHeight w:val="211" w:hRule="atLeast"/>
        </w:trPr>
        <w:tc>
          <w:tcPr>
            <w:tcW w:w="3492" w:type="dxa"/>
          </w:tcPr>
          <w:p>
            <w:pPr>
              <w:pStyle w:val="TableParagraph"/>
              <w:spacing w:line="183" w:lineRule="exact" w:before="8"/>
              <w:ind w:left="438"/>
              <w:rPr>
                <w:rFonts w:ascii="Calibri"/>
                <w:sz w:val="17"/>
              </w:rPr>
            </w:pPr>
            <w:r>
              <w:rPr>
                <w:rFonts w:ascii="Calibri"/>
                <w:sz w:val="17"/>
              </w:rPr>
              <w:t>Total Non-Operating Revenue</w:t>
            </w:r>
          </w:p>
        </w:tc>
        <w:tc>
          <w:tcPr>
            <w:tcW w:w="1225" w:type="dxa"/>
            <w:tcBorders>
              <w:top w:val="single" w:sz="6" w:space="0" w:color="000000"/>
              <w:bottom w:val="single" w:sz="6" w:space="0" w:color="000000"/>
            </w:tcBorders>
          </w:tcPr>
          <w:p>
            <w:pPr>
              <w:pStyle w:val="TableParagraph"/>
              <w:spacing w:line="183" w:lineRule="exact" w:before="8"/>
              <w:ind w:right="90"/>
              <w:jc w:val="right"/>
              <w:rPr>
                <w:rFonts w:ascii="Calibri"/>
                <w:sz w:val="17"/>
              </w:rPr>
            </w:pPr>
            <w:r>
              <w:rPr>
                <w:rFonts w:ascii="Calibri"/>
                <w:sz w:val="17"/>
              </w:rPr>
              <w:t>19,528,152</w:t>
            </w:r>
          </w:p>
        </w:tc>
        <w:tc>
          <w:tcPr>
            <w:tcW w:w="983" w:type="dxa"/>
            <w:tcBorders>
              <w:top w:val="single" w:sz="6" w:space="0" w:color="000000"/>
              <w:bottom w:val="single" w:sz="6" w:space="0" w:color="000000"/>
            </w:tcBorders>
          </w:tcPr>
          <w:p>
            <w:pPr>
              <w:pStyle w:val="TableParagraph"/>
              <w:spacing w:line="183" w:lineRule="exact" w:before="8"/>
              <w:ind w:right="91"/>
              <w:jc w:val="right"/>
              <w:rPr>
                <w:rFonts w:ascii="Calibri"/>
                <w:sz w:val="17"/>
              </w:rPr>
            </w:pPr>
            <w:r>
              <w:rPr>
                <w:rFonts w:ascii="Calibri"/>
                <w:sz w:val="17"/>
              </w:rPr>
              <w:t>21,076,701</w:t>
            </w:r>
          </w:p>
        </w:tc>
        <w:tc>
          <w:tcPr>
            <w:tcW w:w="1101" w:type="dxa"/>
            <w:tcBorders>
              <w:top w:val="single" w:sz="6" w:space="0" w:color="000000"/>
              <w:bottom w:val="single" w:sz="6" w:space="0" w:color="000000"/>
            </w:tcBorders>
          </w:tcPr>
          <w:p>
            <w:pPr>
              <w:pStyle w:val="TableParagraph"/>
              <w:spacing w:line="183" w:lineRule="exact" w:before="8"/>
              <w:ind w:right="41"/>
              <w:jc w:val="right"/>
              <w:rPr>
                <w:rFonts w:ascii="Calibri"/>
                <w:sz w:val="17"/>
              </w:rPr>
            </w:pPr>
            <w:r>
              <w:rPr>
                <w:rFonts w:ascii="Calibri"/>
                <w:color w:val="FF0000"/>
                <w:sz w:val="17"/>
              </w:rPr>
              <w:t>(1,548,549)</w:t>
            </w:r>
          </w:p>
        </w:tc>
        <w:tc>
          <w:tcPr>
            <w:tcW w:w="986" w:type="dxa"/>
            <w:tcBorders>
              <w:top w:val="single" w:sz="6" w:space="0" w:color="000000"/>
              <w:bottom w:val="single" w:sz="6" w:space="0" w:color="000000"/>
            </w:tcBorders>
          </w:tcPr>
          <w:p>
            <w:pPr>
              <w:pStyle w:val="TableParagraph"/>
              <w:spacing w:line="183" w:lineRule="exact" w:before="8"/>
              <w:ind w:left="261"/>
              <w:rPr>
                <w:rFonts w:ascii="Calibri"/>
                <w:sz w:val="17"/>
              </w:rPr>
            </w:pPr>
            <w:r>
              <w:rPr>
                <w:rFonts w:ascii="Calibri"/>
                <w:sz w:val="17"/>
              </w:rPr>
              <w:t>-7.4%</w:t>
            </w:r>
          </w:p>
        </w:tc>
        <w:tc>
          <w:tcPr>
            <w:tcW w:w="1185" w:type="dxa"/>
            <w:tcBorders>
              <w:top w:val="single" w:sz="6" w:space="0" w:color="000000"/>
              <w:bottom w:val="single" w:sz="6" w:space="0" w:color="000000"/>
            </w:tcBorders>
          </w:tcPr>
          <w:p>
            <w:pPr>
              <w:pStyle w:val="TableParagraph"/>
              <w:spacing w:line="183" w:lineRule="exact" w:before="8"/>
              <w:ind w:right="105"/>
              <w:jc w:val="right"/>
              <w:rPr>
                <w:rFonts w:ascii="Calibri"/>
                <w:sz w:val="17"/>
              </w:rPr>
            </w:pPr>
            <w:r>
              <w:rPr>
                <w:rFonts w:ascii="Calibri"/>
                <w:sz w:val="17"/>
              </w:rPr>
              <w:t>18,805,424</w:t>
            </w:r>
          </w:p>
        </w:tc>
        <w:tc>
          <w:tcPr>
            <w:tcW w:w="951" w:type="dxa"/>
            <w:tcBorders>
              <w:top w:val="single" w:sz="6" w:space="0" w:color="000000"/>
              <w:bottom w:val="single" w:sz="6" w:space="0" w:color="000000"/>
            </w:tcBorders>
          </w:tcPr>
          <w:p>
            <w:pPr>
              <w:pStyle w:val="TableParagraph"/>
              <w:spacing w:line="183" w:lineRule="exact" w:before="8"/>
              <w:ind w:right="74"/>
              <w:jc w:val="right"/>
              <w:rPr>
                <w:rFonts w:ascii="Calibri"/>
                <w:sz w:val="17"/>
              </w:rPr>
            </w:pPr>
            <w:r>
              <w:rPr>
                <w:rFonts w:ascii="Calibri"/>
                <w:sz w:val="17"/>
              </w:rPr>
              <w:t>722,728</w:t>
            </w:r>
          </w:p>
        </w:tc>
        <w:tc>
          <w:tcPr>
            <w:tcW w:w="892" w:type="dxa"/>
            <w:tcBorders>
              <w:top w:val="single" w:sz="6" w:space="0" w:color="000000"/>
              <w:bottom w:val="single" w:sz="6" w:space="0" w:color="000000"/>
            </w:tcBorders>
          </w:tcPr>
          <w:p>
            <w:pPr>
              <w:pStyle w:val="TableParagraph"/>
              <w:spacing w:line="183" w:lineRule="exact" w:before="8"/>
              <w:ind w:left="247"/>
              <w:rPr>
                <w:rFonts w:ascii="Calibri"/>
                <w:sz w:val="17"/>
              </w:rPr>
            </w:pPr>
            <w:r>
              <w:rPr>
                <w:rFonts w:ascii="Calibri"/>
                <w:sz w:val="17"/>
              </w:rPr>
              <w:t>3.8%</w:t>
            </w:r>
          </w:p>
        </w:tc>
      </w:tr>
      <w:tr>
        <w:trPr>
          <w:trHeight w:val="179" w:hRule="atLeast"/>
        </w:trPr>
        <w:tc>
          <w:tcPr>
            <w:tcW w:w="3492" w:type="dxa"/>
          </w:tcPr>
          <w:p>
            <w:pPr>
              <w:pStyle w:val="TableParagraph"/>
              <w:rPr>
                <w:rFonts w:ascii="Times New Roman"/>
                <w:sz w:val="12"/>
              </w:rPr>
            </w:pPr>
          </w:p>
        </w:tc>
        <w:tc>
          <w:tcPr>
            <w:tcW w:w="1225" w:type="dxa"/>
            <w:tcBorders>
              <w:top w:val="single" w:sz="6" w:space="0" w:color="000000"/>
              <w:bottom w:val="single" w:sz="6" w:space="0" w:color="000000"/>
            </w:tcBorders>
          </w:tcPr>
          <w:p>
            <w:pPr>
              <w:pStyle w:val="TableParagraph"/>
              <w:rPr>
                <w:rFonts w:ascii="Times New Roman"/>
                <w:sz w:val="12"/>
              </w:rPr>
            </w:pPr>
          </w:p>
        </w:tc>
        <w:tc>
          <w:tcPr>
            <w:tcW w:w="983" w:type="dxa"/>
            <w:tcBorders>
              <w:top w:val="single" w:sz="6" w:space="0" w:color="000000"/>
              <w:bottom w:val="single" w:sz="6" w:space="0" w:color="000000"/>
            </w:tcBorders>
          </w:tcPr>
          <w:p>
            <w:pPr>
              <w:pStyle w:val="TableParagraph"/>
              <w:rPr>
                <w:rFonts w:ascii="Times New Roman"/>
                <w:sz w:val="12"/>
              </w:rPr>
            </w:pPr>
          </w:p>
        </w:tc>
        <w:tc>
          <w:tcPr>
            <w:tcW w:w="1101" w:type="dxa"/>
            <w:tcBorders>
              <w:top w:val="single" w:sz="6" w:space="0" w:color="000000"/>
              <w:bottom w:val="single" w:sz="6" w:space="0" w:color="000000"/>
            </w:tcBorders>
          </w:tcPr>
          <w:p>
            <w:pPr>
              <w:pStyle w:val="TableParagraph"/>
              <w:rPr>
                <w:rFonts w:ascii="Times New Roman"/>
                <w:sz w:val="12"/>
              </w:rPr>
            </w:pPr>
          </w:p>
        </w:tc>
        <w:tc>
          <w:tcPr>
            <w:tcW w:w="986" w:type="dxa"/>
            <w:tcBorders>
              <w:top w:val="single" w:sz="6" w:space="0" w:color="000000"/>
              <w:bottom w:val="single" w:sz="6" w:space="0" w:color="000000"/>
            </w:tcBorders>
          </w:tcPr>
          <w:p>
            <w:pPr>
              <w:pStyle w:val="TableParagraph"/>
              <w:rPr>
                <w:rFonts w:ascii="Times New Roman"/>
                <w:sz w:val="12"/>
              </w:rPr>
            </w:pPr>
          </w:p>
        </w:tc>
        <w:tc>
          <w:tcPr>
            <w:tcW w:w="1185" w:type="dxa"/>
            <w:tcBorders>
              <w:top w:val="single" w:sz="6" w:space="0" w:color="000000"/>
              <w:bottom w:val="single" w:sz="6" w:space="0" w:color="000000"/>
            </w:tcBorders>
          </w:tcPr>
          <w:p>
            <w:pPr>
              <w:pStyle w:val="TableParagraph"/>
              <w:rPr>
                <w:rFonts w:ascii="Times New Roman"/>
                <w:sz w:val="12"/>
              </w:rPr>
            </w:pPr>
          </w:p>
        </w:tc>
        <w:tc>
          <w:tcPr>
            <w:tcW w:w="951" w:type="dxa"/>
            <w:tcBorders>
              <w:top w:val="single" w:sz="6" w:space="0" w:color="000000"/>
              <w:bottom w:val="single" w:sz="6" w:space="0" w:color="000000"/>
            </w:tcBorders>
          </w:tcPr>
          <w:p>
            <w:pPr>
              <w:pStyle w:val="TableParagraph"/>
              <w:rPr>
                <w:rFonts w:ascii="Times New Roman"/>
                <w:sz w:val="12"/>
              </w:rPr>
            </w:pPr>
          </w:p>
        </w:tc>
        <w:tc>
          <w:tcPr>
            <w:tcW w:w="892" w:type="dxa"/>
            <w:tcBorders>
              <w:top w:val="single" w:sz="6" w:space="0" w:color="000000"/>
              <w:bottom w:val="single" w:sz="6" w:space="0" w:color="000000"/>
            </w:tcBorders>
          </w:tcPr>
          <w:p>
            <w:pPr>
              <w:pStyle w:val="TableParagraph"/>
              <w:rPr>
                <w:rFonts w:ascii="Times New Roman"/>
                <w:sz w:val="12"/>
              </w:rPr>
            </w:pPr>
          </w:p>
        </w:tc>
      </w:tr>
      <w:tr>
        <w:trPr>
          <w:trHeight w:val="233" w:hRule="atLeast"/>
        </w:trPr>
        <w:tc>
          <w:tcPr>
            <w:tcW w:w="3492" w:type="dxa"/>
          </w:tcPr>
          <w:p>
            <w:pPr>
              <w:pStyle w:val="TableParagraph"/>
              <w:spacing w:line="204" w:lineRule="exact" w:before="8"/>
              <w:ind w:left="632"/>
              <w:rPr>
                <w:rFonts w:ascii="Calibri"/>
                <w:sz w:val="17"/>
              </w:rPr>
            </w:pPr>
            <w:r>
              <w:rPr>
                <w:rFonts w:ascii="Calibri"/>
                <w:sz w:val="17"/>
              </w:rPr>
              <w:t>Operating Income (Loss)</w:t>
            </w:r>
          </w:p>
        </w:tc>
        <w:tc>
          <w:tcPr>
            <w:tcW w:w="1225" w:type="dxa"/>
            <w:tcBorders>
              <w:top w:val="single" w:sz="6" w:space="0" w:color="000000"/>
              <w:bottom w:val="single" w:sz="6" w:space="0" w:color="000000"/>
            </w:tcBorders>
          </w:tcPr>
          <w:p>
            <w:pPr>
              <w:pStyle w:val="TableParagraph"/>
              <w:spacing w:line="204" w:lineRule="exact" w:before="8"/>
              <w:ind w:right="90"/>
              <w:jc w:val="right"/>
              <w:rPr>
                <w:rFonts w:ascii="Calibri"/>
                <w:sz w:val="17"/>
              </w:rPr>
            </w:pPr>
            <w:r>
              <w:rPr>
                <w:rFonts w:ascii="Calibri"/>
                <w:sz w:val="17"/>
              </w:rPr>
              <w:t>1,466,378</w:t>
            </w:r>
          </w:p>
        </w:tc>
        <w:tc>
          <w:tcPr>
            <w:tcW w:w="983" w:type="dxa"/>
            <w:tcBorders>
              <w:top w:val="single" w:sz="6" w:space="0" w:color="000000"/>
              <w:bottom w:val="single" w:sz="6" w:space="0" w:color="000000"/>
            </w:tcBorders>
          </w:tcPr>
          <w:p>
            <w:pPr>
              <w:pStyle w:val="TableParagraph"/>
              <w:spacing w:line="204" w:lineRule="exact" w:before="8"/>
              <w:ind w:right="94"/>
              <w:jc w:val="right"/>
              <w:rPr>
                <w:rFonts w:ascii="Calibri"/>
                <w:sz w:val="17"/>
              </w:rPr>
            </w:pPr>
            <w:r>
              <w:rPr>
                <w:rFonts w:ascii="Calibri"/>
                <w:color w:val="FF0000"/>
                <w:sz w:val="17"/>
              </w:rPr>
              <w:t>(1,103,301)</w:t>
            </w:r>
          </w:p>
        </w:tc>
        <w:tc>
          <w:tcPr>
            <w:tcW w:w="1101" w:type="dxa"/>
            <w:tcBorders>
              <w:top w:val="single" w:sz="6" w:space="0" w:color="000000"/>
              <w:bottom w:val="single" w:sz="6" w:space="0" w:color="000000"/>
            </w:tcBorders>
          </w:tcPr>
          <w:p>
            <w:pPr>
              <w:pStyle w:val="TableParagraph"/>
              <w:spacing w:line="204" w:lineRule="exact" w:before="8"/>
              <w:ind w:right="38"/>
              <w:jc w:val="right"/>
              <w:rPr>
                <w:rFonts w:ascii="Calibri"/>
                <w:sz w:val="17"/>
              </w:rPr>
            </w:pPr>
            <w:r>
              <w:rPr>
                <w:rFonts w:ascii="Calibri"/>
                <w:sz w:val="17"/>
              </w:rPr>
              <w:t>2,569,678</w:t>
            </w:r>
          </w:p>
        </w:tc>
        <w:tc>
          <w:tcPr>
            <w:tcW w:w="986" w:type="dxa"/>
            <w:tcBorders>
              <w:top w:val="single" w:sz="6" w:space="0" w:color="000000"/>
              <w:bottom w:val="single" w:sz="6" w:space="0" w:color="000000"/>
            </w:tcBorders>
          </w:tcPr>
          <w:p>
            <w:pPr>
              <w:pStyle w:val="TableParagraph"/>
              <w:spacing w:line="204" w:lineRule="exact" w:before="8"/>
              <w:ind w:left="175"/>
              <w:rPr>
                <w:rFonts w:ascii="Calibri"/>
                <w:sz w:val="17"/>
              </w:rPr>
            </w:pPr>
            <w:r>
              <w:rPr>
                <w:rFonts w:ascii="Calibri"/>
                <w:sz w:val="17"/>
              </w:rPr>
              <w:t>-232.9%</w:t>
            </w:r>
          </w:p>
        </w:tc>
        <w:tc>
          <w:tcPr>
            <w:tcW w:w="1185" w:type="dxa"/>
            <w:tcBorders>
              <w:top w:val="single" w:sz="6" w:space="0" w:color="000000"/>
              <w:bottom w:val="single" w:sz="6" w:space="0" w:color="000000"/>
            </w:tcBorders>
          </w:tcPr>
          <w:p>
            <w:pPr>
              <w:pStyle w:val="TableParagraph"/>
              <w:spacing w:line="204" w:lineRule="exact" w:before="8"/>
              <w:ind w:right="105"/>
              <w:jc w:val="right"/>
              <w:rPr>
                <w:rFonts w:ascii="Calibri"/>
                <w:sz w:val="17"/>
              </w:rPr>
            </w:pPr>
            <w:r>
              <w:rPr>
                <w:rFonts w:ascii="Calibri"/>
                <w:sz w:val="17"/>
              </w:rPr>
              <w:t>837,230</w:t>
            </w:r>
          </w:p>
        </w:tc>
        <w:tc>
          <w:tcPr>
            <w:tcW w:w="951" w:type="dxa"/>
            <w:tcBorders>
              <w:top w:val="single" w:sz="6" w:space="0" w:color="000000"/>
              <w:bottom w:val="single" w:sz="6" w:space="0" w:color="000000"/>
            </w:tcBorders>
          </w:tcPr>
          <w:p>
            <w:pPr>
              <w:pStyle w:val="TableParagraph"/>
              <w:spacing w:line="204" w:lineRule="exact" w:before="8"/>
              <w:ind w:right="74"/>
              <w:jc w:val="right"/>
              <w:rPr>
                <w:rFonts w:ascii="Calibri"/>
                <w:sz w:val="17"/>
              </w:rPr>
            </w:pPr>
            <w:r>
              <w:rPr>
                <w:rFonts w:ascii="Calibri"/>
                <w:sz w:val="17"/>
              </w:rPr>
              <w:t>629,147</w:t>
            </w:r>
          </w:p>
        </w:tc>
        <w:tc>
          <w:tcPr>
            <w:tcW w:w="892" w:type="dxa"/>
            <w:tcBorders>
              <w:top w:val="single" w:sz="6" w:space="0" w:color="000000"/>
              <w:bottom w:val="single" w:sz="6" w:space="0" w:color="000000"/>
            </w:tcBorders>
          </w:tcPr>
          <w:p>
            <w:pPr>
              <w:pStyle w:val="TableParagraph"/>
              <w:spacing w:line="204" w:lineRule="exact" w:before="8"/>
              <w:ind w:left="204"/>
              <w:rPr>
                <w:rFonts w:ascii="Calibri"/>
                <w:sz w:val="17"/>
              </w:rPr>
            </w:pPr>
            <w:r>
              <w:rPr>
                <w:rFonts w:ascii="Calibri"/>
                <w:sz w:val="17"/>
              </w:rPr>
              <w:t>75.1%</w:t>
            </w:r>
          </w:p>
        </w:tc>
      </w:tr>
      <w:tr>
        <w:trPr>
          <w:trHeight w:val="650" w:hRule="atLeast"/>
        </w:trPr>
        <w:tc>
          <w:tcPr>
            <w:tcW w:w="3492" w:type="dxa"/>
          </w:tcPr>
          <w:p>
            <w:pPr>
              <w:pStyle w:val="TableParagraph"/>
              <w:spacing w:before="8"/>
              <w:rPr>
                <w:rFonts w:ascii="Calibri"/>
                <w:sz w:val="14"/>
              </w:rPr>
            </w:pPr>
          </w:p>
          <w:p>
            <w:pPr>
              <w:pStyle w:val="TableParagraph"/>
              <w:spacing w:line="220" w:lineRule="atLeast"/>
              <w:ind w:left="308" w:right="1864" w:hanging="162"/>
              <w:rPr>
                <w:rFonts w:ascii="Calibri"/>
                <w:sz w:val="17"/>
              </w:rPr>
            </w:pPr>
            <w:r>
              <w:rPr>
                <w:rFonts w:ascii="Calibri"/>
                <w:sz w:val="17"/>
              </w:rPr>
              <w:t>Capital Contributions Federal Grants</w:t>
            </w:r>
          </w:p>
        </w:tc>
        <w:tc>
          <w:tcPr>
            <w:tcW w:w="1225" w:type="dxa"/>
            <w:tcBorders>
              <w:top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ind w:right="90"/>
              <w:jc w:val="right"/>
              <w:rPr>
                <w:rFonts w:ascii="Calibri"/>
                <w:sz w:val="17"/>
              </w:rPr>
            </w:pPr>
            <w:r>
              <w:rPr>
                <w:rFonts w:ascii="Calibri"/>
                <w:sz w:val="17"/>
              </w:rPr>
              <w:t>725,127</w:t>
            </w:r>
          </w:p>
        </w:tc>
        <w:tc>
          <w:tcPr>
            <w:tcW w:w="983" w:type="dxa"/>
            <w:tcBorders>
              <w:top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ind w:right="90"/>
              <w:jc w:val="right"/>
              <w:rPr>
                <w:rFonts w:ascii="Calibri"/>
                <w:sz w:val="17"/>
              </w:rPr>
            </w:pPr>
            <w:r>
              <w:rPr>
                <w:rFonts w:ascii="Calibri"/>
                <w:w w:val="101"/>
                <w:sz w:val="17"/>
              </w:rPr>
              <w:t>0</w:t>
            </w:r>
          </w:p>
        </w:tc>
        <w:tc>
          <w:tcPr>
            <w:tcW w:w="1101" w:type="dxa"/>
            <w:tcBorders>
              <w:top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ind w:right="38"/>
              <w:jc w:val="right"/>
              <w:rPr>
                <w:rFonts w:ascii="Calibri"/>
                <w:sz w:val="17"/>
              </w:rPr>
            </w:pPr>
            <w:r>
              <w:rPr>
                <w:rFonts w:ascii="Calibri"/>
                <w:sz w:val="17"/>
              </w:rPr>
              <w:t>725,127</w:t>
            </w:r>
          </w:p>
        </w:tc>
        <w:tc>
          <w:tcPr>
            <w:tcW w:w="986" w:type="dxa"/>
            <w:tcBorders>
              <w:top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ind w:left="294"/>
              <w:rPr>
                <w:rFonts w:ascii="Calibri"/>
                <w:sz w:val="17"/>
              </w:rPr>
            </w:pPr>
            <w:r>
              <w:rPr>
                <w:rFonts w:ascii="Calibri"/>
                <w:sz w:val="17"/>
              </w:rPr>
              <w:t>0.0%</w:t>
            </w:r>
          </w:p>
        </w:tc>
        <w:tc>
          <w:tcPr>
            <w:tcW w:w="1185" w:type="dxa"/>
            <w:tcBorders>
              <w:top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ind w:right="105"/>
              <w:jc w:val="right"/>
              <w:rPr>
                <w:rFonts w:ascii="Calibri"/>
                <w:sz w:val="17"/>
              </w:rPr>
            </w:pPr>
            <w:r>
              <w:rPr>
                <w:rFonts w:ascii="Calibri"/>
                <w:sz w:val="17"/>
              </w:rPr>
              <w:t>889,818</w:t>
            </w:r>
          </w:p>
        </w:tc>
        <w:tc>
          <w:tcPr>
            <w:tcW w:w="951" w:type="dxa"/>
            <w:tcBorders>
              <w:top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ind w:right="77"/>
              <w:jc w:val="right"/>
              <w:rPr>
                <w:rFonts w:ascii="Calibri"/>
                <w:sz w:val="17"/>
              </w:rPr>
            </w:pPr>
            <w:r>
              <w:rPr>
                <w:rFonts w:ascii="Calibri"/>
                <w:color w:val="FF0000"/>
                <w:sz w:val="17"/>
              </w:rPr>
              <w:t>(164,691)</w:t>
            </w:r>
          </w:p>
        </w:tc>
        <w:tc>
          <w:tcPr>
            <w:tcW w:w="892" w:type="dxa"/>
            <w:tcBorders>
              <w:top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ind w:left="171"/>
              <w:rPr>
                <w:rFonts w:ascii="Calibri"/>
                <w:sz w:val="17"/>
              </w:rPr>
            </w:pPr>
            <w:r>
              <w:rPr>
                <w:rFonts w:ascii="Calibri"/>
                <w:sz w:val="17"/>
              </w:rPr>
              <w:t>-18.5%</w:t>
            </w:r>
          </w:p>
        </w:tc>
      </w:tr>
      <w:tr>
        <w:trPr>
          <w:trHeight w:val="197" w:hRule="atLeast"/>
        </w:trPr>
        <w:tc>
          <w:tcPr>
            <w:tcW w:w="3492" w:type="dxa"/>
          </w:tcPr>
          <w:p>
            <w:pPr>
              <w:pStyle w:val="TableParagraph"/>
              <w:spacing w:line="177" w:lineRule="exact"/>
              <w:ind w:left="308"/>
              <w:rPr>
                <w:rFonts w:ascii="Calibri"/>
                <w:sz w:val="17"/>
              </w:rPr>
            </w:pPr>
            <w:r>
              <w:rPr>
                <w:rFonts w:ascii="Calibri"/>
                <w:sz w:val="17"/>
              </w:rPr>
              <w:t>State Grants</w:t>
            </w:r>
          </w:p>
        </w:tc>
        <w:tc>
          <w:tcPr>
            <w:tcW w:w="1225" w:type="dxa"/>
            <w:tcBorders>
              <w:bottom w:val="single" w:sz="6" w:space="0" w:color="000000"/>
            </w:tcBorders>
          </w:tcPr>
          <w:p>
            <w:pPr>
              <w:pStyle w:val="TableParagraph"/>
              <w:spacing w:line="177" w:lineRule="exact"/>
              <w:ind w:right="90"/>
              <w:jc w:val="right"/>
              <w:rPr>
                <w:rFonts w:ascii="Calibri"/>
                <w:sz w:val="17"/>
              </w:rPr>
            </w:pPr>
            <w:r>
              <w:rPr>
                <w:rFonts w:ascii="Calibri"/>
                <w:sz w:val="17"/>
              </w:rPr>
              <w:t>95,641</w:t>
            </w:r>
          </w:p>
        </w:tc>
        <w:tc>
          <w:tcPr>
            <w:tcW w:w="983" w:type="dxa"/>
            <w:tcBorders>
              <w:bottom w:val="single" w:sz="6" w:space="0" w:color="000000"/>
            </w:tcBorders>
          </w:tcPr>
          <w:p>
            <w:pPr>
              <w:pStyle w:val="TableParagraph"/>
              <w:spacing w:line="177" w:lineRule="exact"/>
              <w:ind w:right="90"/>
              <w:jc w:val="right"/>
              <w:rPr>
                <w:rFonts w:ascii="Calibri"/>
                <w:sz w:val="17"/>
              </w:rPr>
            </w:pPr>
            <w:r>
              <w:rPr>
                <w:rFonts w:ascii="Calibri"/>
                <w:w w:val="101"/>
                <w:sz w:val="17"/>
              </w:rPr>
              <w:t>0</w:t>
            </w:r>
          </w:p>
        </w:tc>
        <w:tc>
          <w:tcPr>
            <w:tcW w:w="1101" w:type="dxa"/>
            <w:tcBorders>
              <w:bottom w:val="single" w:sz="6" w:space="0" w:color="000000"/>
            </w:tcBorders>
          </w:tcPr>
          <w:p>
            <w:pPr>
              <w:pStyle w:val="TableParagraph"/>
              <w:spacing w:line="177" w:lineRule="exact"/>
              <w:ind w:right="38"/>
              <w:jc w:val="right"/>
              <w:rPr>
                <w:rFonts w:ascii="Calibri"/>
                <w:sz w:val="17"/>
              </w:rPr>
            </w:pPr>
            <w:r>
              <w:rPr>
                <w:rFonts w:ascii="Calibri"/>
                <w:sz w:val="17"/>
              </w:rPr>
              <w:t>95,641</w:t>
            </w:r>
          </w:p>
        </w:tc>
        <w:tc>
          <w:tcPr>
            <w:tcW w:w="986" w:type="dxa"/>
            <w:tcBorders>
              <w:bottom w:val="single" w:sz="6" w:space="0" w:color="000000"/>
            </w:tcBorders>
          </w:tcPr>
          <w:p>
            <w:pPr>
              <w:pStyle w:val="TableParagraph"/>
              <w:spacing w:line="177" w:lineRule="exact"/>
              <w:ind w:left="294"/>
              <w:rPr>
                <w:rFonts w:ascii="Calibri"/>
                <w:sz w:val="17"/>
              </w:rPr>
            </w:pPr>
            <w:r>
              <w:rPr>
                <w:rFonts w:ascii="Calibri"/>
                <w:sz w:val="17"/>
              </w:rPr>
              <w:t>0.0%</w:t>
            </w:r>
          </w:p>
        </w:tc>
        <w:tc>
          <w:tcPr>
            <w:tcW w:w="1185" w:type="dxa"/>
            <w:tcBorders>
              <w:bottom w:val="single" w:sz="6" w:space="0" w:color="000000"/>
            </w:tcBorders>
          </w:tcPr>
          <w:p>
            <w:pPr>
              <w:pStyle w:val="TableParagraph"/>
              <w:spacing w:line="177" w:lineRule="exact"/>
              <w:ind w:right="105"/>
              <w:jc w:val="right"/>
              <w:rPr>
                <w:rFonts w:ascii="Calibri"/>
                <w:sz w:val="17"/>
              </w:rPr>
            </w:pPr>
            <w:r>
              <w:rPr>
                <w:rFonts w:ascii="Calibri"/>
                <w:sz w:val="17"/>
              </w:rPr>
              <w:t>264,207</w:t>
            </w:r>
          </w:p>
        </w:tc>
        <w:tc>
          <w:tcPr>
            <w:tcW w:w="951" w:type="dxa"/>
            <w:tcBorders>
              <w:bottom w:val="single" w:sz="6" w:space="0" w:color="000000"/>
            </w:tcBorders>
          </w:tcPr>
          <w:p>
            <w:pPr>
              <w:pStyle w:val="TableParagraph"/>
              <w:spacing w:line="177" w:lineRule="exact"/>
              <w:ind w:right="77"/>
              <w:jc w:val="right"/>
              <w:rPr>
                <w:rFonts w:ascii="Calibri"/>
                <w:sz w:val="17"/>
              </w:rPr>
            </w:pPr>
            <w:r>
              <w:rPr>
                <w:rFonts w:ascii="Calibri"/>
                <w:color w:val="FF0000"/>
                <w:sz w:val="17"/>
              </w:rPr>
              <w:t>(168,567)</w:t>
            </w:r>
          </w:p>
        </w:tc>
        <w:tc>
          <w:tcPr>
            <w:tcW w:w="892" w:type="dxa"/>
            <w:tcBorders>
              <w:bottom w:val="single" w:sz="6" w:space="0" w:color="000000"/>
            </w:tcBorders>
          </w:tcPr>
          <w:p>
            <w:pPr>
              <w:pStyle w:val="TableParagraph"/>
              <w:spacing w:line="177" w:lineRule="exact"/>
              <w:ind w:left="171"/>
              <w:rPr>
                <w:rFonts w:ascii="Calibri"/>
                <w:sz w:val="17"/>
              </w:rPr>
            </w:pPr>
            <w:r>
              <w:rPr>
                <w:rFonts w:ascii="Calibri"/>
                <w:sz w:val="17"/>
              </w:rPr>
              <w:t>-63.8%</w:t>
            </w:r>
          </w:p>
        </w:tc>
      </w:tr>
      <w:tr>
        <w:trPr>
          <w:trHeight w:val="233" w:hRule="atLeast"/>
        </w:trPr>
        <w:tc>
          <w:tcPr>
            <w:tcW w:w="3492" w:type="dxa"/>
          </w:tcPr>
          <w:p>
            <w:pPr>
              <w:pStyle w:val="TableParagraph"/>
              <w:spacing w:line="204" w:lineRule="exact" w:before="8"/>
              <w:ind w:left="406"/>
              <w:rPr>
                <w:rFonts w:ascii="Calibri"/>
                <w:sz w:val="17"/>
              </w:rPr>
            </w:pPr>
            <w:r>
              <w:rPr>
                <w:rFonts w:ascii="Calibri"/>
                <w:sz w:val="17"/>
              </w:rPr>
              <w:t>Total Capital Contributions</w:t>
            </w:r>
          </w:p>
        </w:tc>
        <w:tc>
          <w:tcPr>
            <w:tcW w:w="1225" w:type="dxa"/>
            <w:tcBorders>
              <w:top w:val="single" w:sz="6" w:space="0" w:color="000000"/>
              <w:bottom w:val="single" w:sz="6" w:space="0" w:color="000000"/>
            </w:tcBorders>
          </w:tcPr>
          <w:p>
            <w:pPr>
              <w:pStyle w:val="TableParagraph"/>
              <w:spacing w:line="204" w:lineRule="exact" w:before="8"/>
              <w:ind w:right="90"/>
              <w:jc w:val="right"/>
              <w:rPr>
                <w:rFonts w:ascii="Calibri"/>
                <w:sz w:val="17"/>
              </w:rPr>
            </w:pPr>
            <w:r>
              <w:rPr>
                <w:rFonts w:ascii="Calibri"/>
                <w:sz w:val="17"/>
              </w:rPr>
              <w:t>820,767</w:t>
            </w:r>
          </w:p>
        </w:tc>
        <w:tc>
          <w:tcPr>
            <w:tcW w:w="983" w:type="dxa"/>
            <w:tcBorders>
              <w:top w:val="single" w:sz="6" w:space="0" w:color="000000"/>
              <w:bottom w:val="single" w:sz="6" w:space="0" w:color="000000"/>
            </w:tcBorders>
          </w:tcPr>
          <w:p>
            <w:pPr>
              <w:pStyle w:val="TableParagraph"/>
              <w:spacing w:line="204" w:lineRule="exact" w:before="8"/>
              <w:ind w:right="90"/>
              <w:jc w:val="right"/>
              <w:rPr>
                <w:rFonts w:ascii="Calibri"/>
                <w:sz w:val="17"/>
              </w:rPr>
            </w:pPr>
            <w:r>
              <w:rPr>
                <w:rFonts w:ascii="Calibri"/>
                <w:w w:val="101"/>
                <w:sz w:val="17"/>
              </w:rPr>
              <w:t>0</w:t>
            </w:r>
          </w:p>
        </w:tc>
        <w:tc>
          <w:tcPr>
            <w:tcW w:w="1101" w:type="dxa"/>
            <w:tcBorders>
              <w:top w:val="single" w:sz="6" w:space="0" w:color="000000"/>
              <w:bottom w:val="single" w:sz="6" w:space="0" w:color="000000"/>
            </w:tcBorders>
          </w:tcPr>
          <w:p>
            <w:pPr>
              <w:pStyle w:val="TableParagraph"/>
              <w:spacing w:line="204" w:lineRule="exact" w:before="8"/>
              <w:ind w:right="38"/>
              <w:jc w:val="right"/>
              <w:rPr>
                <w:rFonts w:ascii="Calibri"/>
                <w:sz w:val="17"/>
              </w:rPr>
            </w:pPr>
            <w:r>
              <w:rPr>
                <w:rFonts w:ascii="Calibri"/>
                <w:sz w:val="17"/>
              </w:rPr>
              <w:t>820,767</w:t>
            </w:r>
          </w:p>
        </w:tc>
        <w:tc>
          <w:tcPr>
            <w:tcW w:w="986" w:type="dxa"/>
            <w:tcBorders>
              <w:top w:val="single" w:sz="6" w:space="0" w:color="000000"/>
              <w:bottom w:val="single" w:sz="6" w:space="0" w:color="000000"/>
            </w:tcBorders>
          </w:tcPr>
          <w:p>
            <w:pPr>
              <w:pStyle w:val="TableParagraph"/>
              <w:spacing w:line="204" w:lineRule="exact" w:before="8"/>
              <w:ind w:left="294"/>
              <w:rPr>
                <w:rFonts w:ascii="Calibri"/>
                <w:sz w:val="17"/>
              </w:rPr>
            </w:pPr>
            <w:r>
              <w:rPr>
                <w:rFonts w:ascii="Calibri"/>
                <w:sz w:val="17"/>
              </w:rPr>
              <w:t>0.0%</w:t>
            </w:r>
          </w:p>
        </w:tc>
        <w:tc>
          <w:tcPr>
            <w:tcW w:w="1185" w:type="dxa"/>
            <w:tcBorders>
              <w:top w:val="single" w:sz="6" w:space="0" w:color="000000"/>
              <w:bottom w:val="single" w:sz="6" w:space="0" w:color="000000"/>
            </w:tcBorders>
          </w:tcPr>
          <w:p>
            <w:pPr>
              <w:pStyle w:val="TableParagraph"/>
              <w:spacing w:line="204" w:lineRule="exact" w:before="8"/>
              <w:ind w:right="105"/>
              <w:jc w:val="right"/>
              <w:rPr>
                <w:rFonts w:ascii="Calibri"/>
                <w:sz w:val="17"/>
              </w:rPr>
            </w:pPr>
            <w:r>
              <w:rPr>
                <w:rFonts w:ascii="Calibri"/>
                <w:sz w:val="17"/>
              </w:rPr>
              <w:t>1,154,025</w:t>
            </w:r>
          </w:p>
        </w:tc>
        <w:tc>
          <w:tcPr>
            <w:tcW w:w="951" w:type="dxa"/>
            <w:tcBorders>
              <w:top w:val="single" w:sz="6" w:space="0" w:color="000000"/>
              <w:bottom w:val="single" w:sz="6" w:space="0" w:color="000000"/>
            </w:tcBorders>
          </w:tcPr>
          <w:p>
            <w:pPr>
              <w:pStyle w:val="TableParagraph"/>
              <w:spacing w:line="204" w:lineRule="exact" w:before="8"/>
              <w:ind w:right="77"/>
              <w:jc w:val="right"/>
              <w:rPr>
                <w:rFonts w:ascii="Calibri"/>
                <w:sz w:val="17"/>
              </w:rPr>
            </w:pPr>
            <w:r>
              <w:rPr>
                <w:rFonts w:ascii="Calibri"/>
                <w:color w:val="FF0000"/>
                <w:sz w:val="17"/>
              </w:rPr>
              <w:t>(333,258)</w:t>
            </w:r>
          </w:p>
        </w:tc>
        <w:tc>
          <w:tcPr>
            <w:tcW w:w="892" w:type="dxa"/>
            <w:tcBorders>
              <w:top w:val="single" w:sz="6" w:space="0" w:color="000000"/>
              <w:bottom w:val="single" w:sz="6" w:space="0" w:color="000000"/>
            </w:tcBorders>
          </w:tcPr>
          <w:p>
            <w:pPr>
              <w:pStyle w:val="TableParagraph"/>
              <w:spacing w:line="204" w:lineRule="exact" w:before="8"/>
              <w:ind w:left="171"/>
              <w:rPr>
                <w:rFonts w:ascii="Calibri"/>
                <w:sz w:val="17"/>
              </w:rPr>
            </w:pPr>
            <w:r>
              <w:rPr>
                <w:rFonts w:ascii="Calibri"/>
                <w:sz w:val="17"/>
              </w:rPr>
              <w:t>-28.9%</w:t>
            </w:r>
          </w:p>
        </w:tc>
      </w:tr>
      <w:tr>
        <w:trPr>
          <w:trHeight w:val="621" w:hRule="atLeast"/>
        </w:trPr>
        <w:tc>
          <w:tcPr>
            <w:tcW w:w="3492" w:type="dxa"/>
          </w:tcPr>
          <w:p>
            <w:pPr>
              <w:pStyle w:val="TableParagraph"/>
              <w:spacing w:before="8"/>
              <w:rPr>
                <w:rFonts w:ascii="Calibri"/>
                <w:sz w:val="14"/>
              </w:rPr>
            </w:pPr>
          </w:p>
          <w:p>
            <w:pPr>
              <w:pStyle w:val="TableParagraph"/>
              <w:spacing w:line="220" w:lineRule="atLeast"/>
              <w:ind w:left="308" w:right="735" w:hanging="130"/>
              <w:rPr>
                <w:rFonts w:ascii="Calibri"/>
                <w:sz w:val="17"/>
              </w:rPr>
            </w:pPr>
            <w:r>
              <w:rPr>
                <w:rFonts w:ascii="Calibri"/>
                <w:sz w:val="17"/>
              </w:rPr>
              <w:t>Non-Operating Expenses Depreciation Expense</w:t>
            </w:r>
          </w:p>
        </w:tc>
        <w:tc>
          <w:tcPr>
            <w:tcW w:w="1225" w:type="dxa"/>
            <w:tcBorders>
              <w:top w:val="single" w:sz="6" w:space="0" w:color="000000"/>
              <w:bottom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spacing w:line="183" w:lineRule="exact"/>
              <w:ind w:right="90"/>
              <w:jc w:val="right"/>
              <w:rPr>
                <w:rFonts w:ascii="Calibri"/>
                <w:sz w:val="17"/>
              </w:rPr>
            </w:pPr>
            <w:r>
              <w:rPr>
                <w:rFonts w:ascii="Calibri"/>
                <w:sz w:val="17"/>
              </w:rPr>
              <w:t>3,576,491</w:t>
            </w:r>
          </w:p>
        </w:tc>
        <w:tc>
          <w:tcPr>
            <w:tcW w:w="983" w:type="dxa"/>
            <w:tcBorders>
              <w:top w:val="single" w:sz="6" w:space="0" w:color="000000"/>
              <w:bottom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spacing w:line="183" w:lineRule="exact"/>
              <w:ind w:right="90"/>
              <w:jc w:val="right"/>
              <w:rPr>
                <w:rFonts w:ascii="Calibri"/>
                <w:sz w:val="17"/>
              </w:rPr>
            </w:pPr>
            <w:r>
              <w:rPr>
                <w:rFonts w:ascii="Calibri"/>
                <w:w w:val="101"/>
                <w:sz w:val="17"/>
              </w:rPr>
              <w:t>0</w:t>
            </w:r>
          </w:p>
        </w:tc>
        <w:tc>
          <w:tcPr>
            <w:tcW w:w="1101" w:type="dxa"/>
            <w:tcBorders>
              <w:top w:val="single" w:sz="6" w:space="0" w:color="000000"/>
              <w:bottom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spacing w:line="183" w:lineRule="exact"/>
              <w:ind w:right="41"/>
              <w:jc w:val="right"/>
              <w:rPr>
                <w:rFonts w:ascii="Calibri"/>
                <w:sz w:val="17"/>
              </w:rPr>
            </w:pPr>
            <w:r>
              <w:rPr>
                <w:rFonts w:ascii="Calibri"/>
                <w:color w:val="FF0000"/>
                <w:sz w:val="17"/>
              </w:rPr>
              <w:t>(3,576,491)</w:t>
            </w:r>
          </w:p>
        </w:tc>
        <w:tc>
          <w:tcPr>
            <w:tcW w:w="986" w:type="dxa"/>
            <w:tcBorders>
              <w:top w:val="single" w:sz="6" w:space="0" w:color="000000"/>
              <w:bottom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spacing w:line="183" w:lineRule="exact"/>
              <w:ind w:left="294"/>
              <w:rPr>
                <w:rFonts w:ascii="Calibri"/>
                <w:sz w:val="17"/>
              </w:rPr>
            </w:pPr>
            <w:r>
              <w:rPr>
                <w:rFonts w:ascii="Calibri"/>
                <w:sz w:val="17"/>
              </w:rPr>
              <w:t>0.0%</w:t>
            </w:r>
          </w:p>
        </w:tc>
        <w:tc>
          <w:tcPr>
            <w:tcW w:w="1185" w:type="dxa"/>
            <w:tcBorders>
              <w:top w:val="single" w:sz="6" w:space="0" w:color="000000"/>
              <w:bottom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spacing w:line="183" w:lineRule="exact"/>
              <w:ind w:right="105"/>
              <w:jc w:val="right"/>
              <w:rPr>
                <w:rFonts w:ascii="Calibri"/>
                <w:sz w:val="17"/>
              </w:rPr>
            </w:pPr>
            <w:r>
              <w:rPr>
                <w:rFonts w:ascii="Calibri"/>
                <w:sz w:val="17"/>
              </w:rPr>
              <w:t>2,804,110</w:t>
            </w:r>
          </w:p>
        </w:tc>
        <w:tc>
          <w:tcPr>
            <w:tcW w:w="951" w:type="dxa"/>
            <w:tcBorders>
              <w:top w:val="single" w:sz="6" w:space="0" w:color="000000"/>
              <w:bottom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spacing w:line="183" w:lineRule="exact"/>
              <w:ind w:right="74"/>
              <w:jc w:val="right"/>
              <w:rPr>
                <w:rFonts w:ascii="Calibri"/>
                <w:sz w:val="17"/>
              </w:rPr>
            </w:pPr>
            <w:r>
              <w:rPr>
                <w:rFonts w:ascii="Calibri"/>
                <w:sz w:val="17"/>
              </w:rPr>
              <w:t>772,381</w:t>
            </w:r>
          </w:p>
        </w:tc>
        <w:tc>
          <w:tcPr>
            <w:tcW w:w="892" w:type="dxa"/>
            <w:tcBorders>
              <w:top w:val="single" w:sz="6" w:space="0" w:color="000000"/>
              <w:bottom w:val="single" w:sz="6" w:space="0" w:color="000000"/>
            </w:tcBorders>
          </w:tcPr>
          <w:p>
            <w:pPr>
              <w:pStyle w:val="TableParagraph"/>
              <w:rPr>
                <w:rFonts w:ascii="Calibri"/>
                <w:sz w:val="16"/>
              </w:rPr>
            </w:pPr>
          </w:p>
          <w:p>
            <w:pPr>
              <w:pStyle w:val="TableParagraph"/>
              <w:spacing w:before="3"/>
              <w:rPr>
                <w:rFonts w:ascii="Calibri"/>
                <w:sz w:val="18"/>
              </w:rPr>
            </w:pPr>
          </w:p>
          <w:p>
            <w:pPr>
              <w:pStyle w:val="TableParagraph"/>
              <w:spacing w:line="183" w:lineRule="exact"/>
              <w:ind w:left="204"/>
              <w:rPr>
                <w:rFonts w:ascii="Calibri"/>
                <w:sz w:val="17"/>
              </w:rPr>
            </w:pPr>
            <w:r>
              <w:rPr>
                <w:rFonts w:ascii="Calibri"/>
                <w:sz w:val="17"/>
              </w:rPr>
              <w:t>27.5%</w:t>
            </w:r>
          </w:p>
        </w:tc>
      </w:tr>
      <w:tr>
        <w:trPr>
          <w:trHeight w:val="229" w:hRule="atLeast"/>
        </w:trPr>
        <w:tc>
          <w:tcPr>
            <w:tcW w:w="3492" w:type="dxa"/>
          </w:tcPr>
          <w:p>
            <w:pPr>
              <w:pStyle w:val="TableParagraph"/>
              <w:spacing w:line="201" w:lineRule="exact" w:before="8"/>
              <w:ind w:left="535"/>
              <w:rPr>
                <w:rFonts w:ascii="Calibri"/>
                <w:sz w:val="17"/>
              </w:rPr>
            </w:pPr>
            <w:r>
              <w:rPr>
                <w:rFonts w:ascii="Calibri"/>
                <w:sz w:val="17"/>
              </w:rPr>
              <w:t>Total Non-Operating Expenses</w:t>
            </w:r>
          </w:p>
        </w:tc>
        <w:tc>
          <w:tcPr>
            <w:tcW w:w="1225" w:type="dxa"/>
            <w:tcBorders>
              <w:top w:val="single" w:sz="6" w:space="0" w:color="000000"/>
            </w:tcBorders>
          </w:tcPr>
          <w:p>
            <w:pPr>
              <w:pStyle w:val="TableParagraph"/>
              <w:spacing w:line="201" w:lineRule="exact" w:before="8"/>
              <w:ind w:right="90"/>
              <w:jc w:val="right"/>
              <w:rPr>
                <w:rFonts w:ascii="Calibri"/>
                <w:sz w:val="17"/>
              </w:rPr>
            </w:pPr>
            <w:r>
              <w:rPr>
                <w:rFonts w:ascii="Calibri"/>
                <w:sz w:val="17"/>
              </w:rPr>
              <w:t>3,576,491</w:t>
            </w:r>
          </w:p>
        </w:tc>
        <w:tc>
          <w:tcPr>
            <w:tcW w:w="983" w:type="dxa"/>
            <w:tcBorders>
              <w:top w:val="single" w:sz="6" w:space="0" w:color="000000"/>
            </w:tcBorders>
          </w:tcPr>
          <w:p>
            <w:pPr>
              <w:pStyle w:val="TableParagraph"/>
              <w:spacing w:line="201" w:lineRule="exact" w:before="8"/>
              <w:ind w:right="90"/>
              <w:jc w:val="right"/>
              <w:rPr>
                <w:rFonts w:ascii="Calibri"/>
                <w:sz w:val="17"/>
              </w:rPr>
            </w:pPr>
            <w:r>
              <w:rPr>
                <w:rFonts w:ascii="Calibri"/>
                <w:w w:val="101"/>
                <w:sz w:val="17"/>
              </w:rPr>
              <w:t>0</w:t>
            </w:r>
          </w:p>
        </w:tc>
        <w:tc>
          <w:tcPr>
            <w:tcW w:w="1101" w:type="dxa"/>
            <w:tcBorders>
              <w:top w:val="single" w:sz="6" w:space="0" w:color="000000"/>
            </w:tcBorders>
          </w:tcPr>
          <w:p>
            <w:pPr>
              <w:pStyle w:val="TableParagraph"/>
              <w:spacing w:line="201" w:lineRule="exact" w:before="8"/>
              <w:ind w:right="41"/>
              <w:jc w:val="right"/>
              <w:rPr>
                <w:rFonts w:ascii="Calibri"/>
                <w:sz w:val="17"/>
              </w:rPr>
            </w:pPr>
            <w:r>
              <w:rPr>
                <w:rFonts w:ascii="Calibri"/>
                <w:color w:val="FF0000"/>
                <w:sz w:val="17"/>
              </w:rPr>
              <w:t>(3,576,491)</w:t>
            </w:r>
          </w:p>
        </w:tc>
        <w:tc>
          <w:tcPr>
            <w:tcW w:w="986" w:type="dxa"/>
            <w:tcBorders>
              <w:top w:val="single" w:sz="6" w:space="0" w:color="000000"/>
            </w:tcBorders>
          </w:tcPr>
          <w:p>
            <w:pPr>
              <w:pStyle w:val="TableParagraph"/>
              <w:spacing w:line="201" w:lineRule="exact" w:before="8"/>
              <w:ind w:left="294"/>
              <w:rPr>
                <w:rFonts w:ascii="Calibri"/>
                <w:sz w:val="17"/>
              </w:rPr>
            </w:pPr>
            <w:r>
              <w:rPr>
                <w:rFonts w:ascii="Calibri"/>
                <w:sz w:val="17"/>
              </w:rPr>
              <w:t>0.0%</w:t>
            </w:r>
          </w:p>
        </w:tc>
        <w:tc>
          <w:tcPr>
            <w:tcW w:w="1185" w:type="dxa"/>
            <w:tcBorders>
              <w:top w:val="single" w:sz="6" w:space="0" w:color="000000"/>
            </w:tcBorders>
          </w:tcPr>
          <w:p>
            <w:pPr>
              <w:pStyle w:val="TableParagraph"/>
              <w:spacing w:line="201" w:lineRule="exact" w:before="8"/>
              <w:ind w:right="105"/>
              <w:jc w:val="right"/>
              <w:rPr>
                <w:rFonts w:ascii="Calibri"/>
                <w:sz w:val="17"/>
              </w:rPr>
            </w:pPr>
            <w:r>
              <w:rPr>
                <w:rFonts w:ascii="Calibri"/>
                <w:sz w:val="17"/>
              </w:rPr>
              <w:t>2,804,110</w:t>
            </w:r>
          </w:p>
        </w:tc>
        <w:tc>
          <w:tcPr>
            <w:tcW w:w="951" w:type="dxa"/>
            <w:tcBorders>
              <w:top w:val="single" w:sz="6" w:space="0" w:color="000000"/>
            </w:tcBorders>
          </w:tcPr>
          <w:p>
            <w:pPr>
              <w:pStyle w:val="TableParagraph"/>
              <w:spacing w:line="201" w:lineRule="exact" w:before="8"/>
              <w:ind w:right="74"/>
              <w:jc w:val="right"/>
              <w:rPr>
                <w:rFonts w:ascii="Calibri"/>
                <w:sz w:val="17"/>
              </w:rPr>
            </w:pPr>
            <w:r>
              <w:rPr>
                <w:rFonts w:ascii="Calibri"/>
                <w:sz w:val="17"/>
              </w:rPr>
              <w:t>772,381</w:t>
            </w:r>
          </w:p>
        </w:tc>
        <w:tc>
          <w:tcPr>
            <w:tcW w:w="892" w:type="dxa"/>
            <w:tcBorders>
              <w:top w:val="single" w:sz="6" w:space="0" w:color="000000"/>
            </w:tcBorders>
          </w:tcPr>
          <w:p>
            <w:pPr>
              <w:pStyle w:val="TableParagraph"/>
              <w:spacing w:line="201" w:lineRule="exact" w:before="8"/>
              <w:ind w:left="204"/>
              <w:rPr>
                <w:rFonts w:ascii="Calibri"/>
                <w:sz w:val="17"/>
              </w:rPr>
            </w:pPr>
            <w:r>
              <w:rPr>
                <w:rFonts w:ascii="Calibri"/>
                <w:sz w:val="17"/>
              </w:rPr>
              <w:t>27.5%</w:t>
            </w:r>
          </w:p>
        </w:tc>
      </w:tr>
      <w:tr>
        <w:trPr>
          <w:trHeight w:val="186" w:hRule="atLeast"/>
        </w:trPr>
        <w:tc>
          <w:tcPr>
            <w:tcW w:w="3492" w:type="dxa"/>
          </w:tcPr>
          <w:p>
            <w:pPr>
              <w:pStyle w:val="TableParagraph"/>
              <w:rPr>
                <w:rFonts w:ascii="Times New Roman"/>
                <w:sz w:val="12"/>
              </w:rPr>
            </w:pPr>
          </w:p>
        </w:tc>
        <w:tc>
          <w:tcPr>
            <w:tcW w:w="1225" w:type="dxa"/>
            <w:tcBorders>
              <w:bottom w:val="single" w:sz="6" w:space="0" w:color="000000"/>
            </w:tcBorders>
          </w:tcPr>
          <w:p>
            <w:pPr>
              <w:pStyle w:val="TableParagraph"/>
              <w:rPr>
                <w:rFonts w:ascii="Times New Roman"/>
                <w:sz w:val="12"/>
              </w:rPr>
            </w:pPr>
          </w:p>
        </w:tc>
        <w:tc>
          <w:tcPr>
            <w:tcW w:w="983" w:type="dxa"/>
            <w:tcBorders>
              <w:bottom w:val="single" w:sz="6" w:space="0" w:color="000000"/>
            </w:tcBorders>
          </w:tcPr>
          <w:p>
            <w:pPr>
              <w:pStyle w:val="TableParagraph"/>
              <w:rPr>
                <w:rFonts w:ascii="Times New Roman"/>
                <w:sz w:val="12"/>
              </w:rPr>
            </w:pPr>
          </w:p>
        </w:tc>
        <w:tc>
          <w:tcPr>
            <w:tcW w:w="1101" w:type="dxa"/>
            <w:tcBorders>
              <w:bottom w:val="single" w:sz="6" w:space="0" w:color="000000"/>
            </w:tcBorders>
          </w:tcPr>
          <w:p>
            <w:pPr>
              <w:pStyle w:val="TableParagraph"/>
              <w:rPr>
                <w:rFonts w:ascii="Times New Roman"/>
                <w:sz w:val="12"/>
              </w:rPr>
            </w:pPr>
          </w:p>
        </w:tc>
        <w:tc>
          <w:tcPr>
            <w:tcW w:w="986" w:type="dxa"/>
            <w:tcBorders>
              <w:bottom w:val="single" w:sz="6" w:space="0" w:color="000000"/>
            </w:tcBorders>
          </w:tcPr>
          <w:p>
            <w:pPr>
              <w:pStyle w:val="TableParagraph"/>
              <w:rPr>
                <w:rFonts w:ascii="Times New Roman"/>
                <w:sz w:val="12"/>
              </w:rPr>
            </w:pPr>
          </w:p>
        </w:tc>
        <w:tc>
          <w:tcPr>
            <w:tcW w:w="1185" w:type="dxa"/>
            <w:tcBorders>
              <w:bottom w:val="single" w:sz="6" w:space="0" w:color="000000"/>
            </w:tcBorders>
          </w:tcPr>
          <w:p>
            <w:pPr>
              <w:pStyle w:val="TableParagraph"/>
              <w:rPr>
                <w:rFonts w:ascii="Times New Roman"/>
                <w:sz w:val="12"/>
              </w:rPr>
            </w:pPr>
          </w:p>
        </w:tc>
        <w:tc>
          <w:tcPr>
            <w:tcW w:w="951" w:type="dxa"/>
            <w:tcBorders>
              <w:bottom w:val="single" w:sz="6" w:space="0" w:color="000000"/>
            </w:tcBorders>
          </w:tcPr>
          <w:p>
            <w:pPr>
              <w:pStyle w:val="TableParagraph"/>
              <w:rPr>
                <w:rFonts w:ascii="Times New Roman"/>
                <w:sz w:val="12"/>
              </w:rPr>
            </w:pPr>
          </w:p>
        </w:tc>
        <w:tc>
          <w:tcPr>
            <w:tcW w:w="892" w:type="dxa"/>
            <w:tcBorders>
              <w:bottom w:val="single" w:sz="6" w:space="0" w:color="000000"/>
            </w:tcBorders>
          </w:tcPr>
          <w:p>
            <w:pPr>
              <w:pStyle w:val="TableParagraph"/>
              <w:rPr>
                <w:rFonts w:ascii="Times New Roman"/>
                <w:sz w:val="12"/>
              </w:rPr>
            </w:pPr>
          </w:p>
        </w:tc>
      </w:tr>
      <w:tr>
        <w:trPr>
          <w:trHeight w:val="229" w:hRule="atLeast"/>
        </w:trPr>
        <w:tc>
          <w:tcPr>
            <w:tcW w:w="3492" w:type="dxa"/>
          </w:tcPr>
          <w:p>
            <w:pPr>
              <w:pStyle w:val="TableParagraph"/>
              <w:spacing w:line="201" w:lineRule="exact" w:before="8"/>
              <w:ind w:left="50"/>
              <w:rPr>
                <w:rFonts w:ascii="Calibri"/>
                <w:sz w:val="17"/>
              </w:rPr>
            </w:pPr>
            <w:r>
              <w:rPr>
                <w:rFonts w:ascii="Calibri"/>
                <w:sz w:val="17"/>
              </w:rPr>
              <w:t>Change in Net Position</w:t>
            </w:r>
          </w:p>
        </w:tc>
        <w:tc>
          <w:tcPr>
            <w:tcW w:w="1225" w:type="dxa"/>
            <w:tcBorders>
              <w:top w:val="single" w:sz="6" w:space="0" w:color="000000"/>
            </w:tcBorders>
          </w:tcPr>
          <w:p>
            <w:pPr>
              <w:pStyle w:val="TableParagraph"/>
              <w:spacing w:line="201" w:lineRule="exact" w:before="8"/>
              <w:ind w:right="93"/>
              <w:jc w:val="right"/>
              <w:rPr>
                <w:rFonts w:ascii="Calibri"/>
                <w:sz w:val="17"/>
              </w:rPr>
            </w:pPr>
            <w:r>
              <w:rPr>
                <w:rFonts w:ascii="Calibri"/>
                <w:color w:val="FF0000"/>
                <w:sz w:val="17"/>
              </w:rPr>
              <w:t>(1,289,346)</w:t>
            </w:r>
          </w:p>
        </w:tc>
        <w:tc>
          <w:tcPr>
            <w:tcW w:w="983" w:type="dxa"/>
            <w:tcBorders>
              <w:top w:val="single" w:sz="6" w:space="0" w:color="000000"/>
            </w:tcBorders>
          </w:tcPr>
          <w:p>
            <w:pPr>
              <w:pStyle w:val="TableParagraph"/>
              <w:spacing w:line="201" w:lineRule="exact" w:before="8"/>
              <w:ind w:right="94"/>
              <w:jc w:val="right"/>
              <w:rPr>
                <w:rFonts w:ascii="Calibri"/>
                <w:sz w:val="17"/>
              </w:rPr>
            </w:pPr>
            <w:r>
              <w:rPr>
                <w:rFonts w:ascii="Calibri"/>
                <w:color w:val="FF0000"/>
                <w:sz w:val="17"/>
              </w:rPr>
              <w:t>(1,103,301)</w:t>
            </w:r>
          </w:p>
        </w:tc>
        <w:tc>
          <w:tcPr>
            <w:tcW w:w="1101" w:type="dxa"/>
            <w:tcBorders>
              <w:top w:val="single" w:sz="6" w:space="0" w:color="000000"/>
            </w:tcBorders>
          </w:tcPr>
          <w:p>
            <w:pPr>
              <w:pStyle w:val="TableParagraph"/>
              <w:spacing w:line="201" w:lineRule="exact" w:before="8"/>
              <w:ind w:right="40"/>
              <w:jc w:val="right"/>
              <w:rPr>
                <w:rFonts w:ascii="Calibri"/>
                <w:sz w:val="17"/>
              </w:rPr>
            </w:pPr>
            <w:r>
              <w:rPr>
                <w:rFonts w:ascii="Calibri"/>
                <w:color w:val="FF0000"/>
                <w:sz w:val="17"/>
              </w:rPr>
              <w:t>(186,045)</w:t>
            </w:r>
          </w:p>
        </w:tc>
        <w:tc>
          <w:tcPr>
            <w:tcW w:w="986" w:type="dxa"/>
            <w:tcBorders>
              <w:top w:val="single" w:sz="6" w:space="0" w:color="000000"/>
            </w:tcBorders>
          </w:tcPr>
          <w:p>
            <w:pPr>
              <w:pStyle w:val="TableParagraph"/>
              <w:spacing w:line="201" w:lineRule="exact" w:before="8"/>
              <w:ind w:left="251"/>
              <w:rPr>
                <w:rFonts w:ascii="Calibri"/>
                <w:sz w:val="17"/>
              </w:rPr>
            </w:pPr>
            <w:r>
              <w:rPr>
                <w:rFonts w:ascii="Calibri"/>
                <w:sz w:val="17"/>
              </w:rPr>
              <w:t>16.9%</w:t>
            </w:r>
          </w:p>
        </w:tc>
        <w:tc>
          <w:tcPr>
            <w:tcW w:w="1185" w:type="dxa"/>
            <w:tcBorders>
              <w:top w:val="single" w:sz="6" w:space="0" w:color="000000"/>
            </w:tcBorders>
          </w:tcPr>
          <w:p>
            <w:pPr>
              <w:pStyle w:val="TableParagraph"/>
              <w:spacing w:line="201" w:lineRule="exact" w:before="8"/>
              <w:ind w:right="108"/>
              <w:jc w:val="right"/>
              <w:rPr>
                <w:rFonts w:ascii="Calibri"/>
                <w:sz w:val="17"/>
              </w:rPr>
            </w:pPr>
            <w:r>
              <w:rPr>
                <w:rFonts w:ascii="Calibri"/>
                <w:color w:val="FF0000"/>
                <w:sz w:val="17"/>
              </w:rPr>
              <w:t>(812,854)</w:t>
            </w:r>
          </w:p>
        </w:tc>
        <w:tc>
          <w:tcPr>
            <w:tcW w:w="951" w:type="dxa"/>
            <w:tcBorders>
              <w:top w:val="single" w:sz="6" w:space="0" w:color="000000"/>
            </w:tcBorders>
          </w:tcPr>
          <w:p>
            <w:pPr>
              <w:pStyle w:val="TableParagraph"/>
              <w:spacing w:line="201" w:lineRule="exact" w:before="8"/>
              <w:ind w:right="77"/>
              <w:jc w:val="right"/>
              <w:rPr>
                <w:rFonts w:ascii="Calibri"/>
                <w:sz w:val="17"/>
              </w:rPr>
            </w:pPr>
            <w:r>
              <w:rPr>
                <w:rFonts w:ascii="Calibri"/>
                <w:color w:val="FF0000"/>
                <w:sz w:val="17"/>
              </w:rPr>
              <w:t>(476,492)</w:t>
            </w:r>
          </w:p>
        </w:tc>
        <w:tc>
          <w:tcPr>
            <w:tcW w:w="892" w:type="dxa"/>
            <w:tcBorders>
              <w:top w:val="single" w:sz="6" w:space="0" w:color="000000"/>
            </w:tcBorders>
          </w:tcPr>
          <w:p>
            <w:pPr>
              <w:pStyle w:val="TableParagraph"/>
              <w:spacing w:line="201" w:lineRule="exact" w:before="8"/>
              <w:ind w:left="204"/>
              <w:rPr>
                <w:rFonts w:ascii="Calibri"/>
                <w:sz w:val="17"/>
              </w:rPr>
            </w:pPr>
            <w:r>
              <w:rPr>
                <w:rFonts w:ascii="Calibri"/>
                <w:sz w:val="17"/>
              </w:rPr>
              <w:t>58.6%</w:t>
            </w:r>
          </w:p>
        </w:tc>
      </w:tr>
      <w:tr>
        <w:trPr>
          <w:trHeight w:val="186" w:hRule="atLeast"/>
        </w:trPr>
        <w:tc>
          <w:tcPr>
            <w:tcW w:w="3492" w:type="dxa"/>
          </w:tcPr>
          <w:p>
            <w:pPr>
              <w:pStyle w:val="TableParagraph"/>
              <w:rPr>
                <w:rFonts w:ascii="Times New Roman"/>
                <w:sz w:val="12"/>
              </w:rPr>
            </w:pPr>
          </w:p>
        </w:tc>
        <w:tc>
          <w:tcPr>
            <w:tcW w:w="1225" w:type="dxa"/>
            <w:tcBorders>
              <w:bottom w:val="single" w:sz="6" w:space="0" w:color="000000"/>
            </w:tcBorders>
          </w:tcPr>
          <w:p>
            <w:pPr>
              <w:pStyle w:val="TableParagraph"/>
              <w:rPr>
                <w:rFonts w:ascii="Times New Roman"/>
                <w:sz w:val="12"/>
              </w:rPr>
            </w:pPr>
          </w:p>
        </w:tc>
        <w:tc>
          <w:tcPr>
            <w:tcW w:w="983" w:type="dxa"/>
            <w:tcBorders>
              <w:bottom w:val="single" w:sz="6" w:space="0" w:color="000000"/>
            </w:tcBorders>
          </w:tcPr>
          <w:p>
            <w:pPr>
              <w:pStyle w:val="TableParagraph"/>
              <w:rPr>
                <w:rFonts w:ascii="Times New Roman"/>
                <w:sz w:val="12"/>
              </w:rPr>
            </w:pPr>
          </w:p>
        </w:tc>
        <w:tc>
          <w:tcPr>
            <w:tcW w:w="1101" w:type="dxa"/>
            <w:tcBorders>
              <w:bottom w:val="single" w:sz="6" w:space="0" w:color="000000"/>
            </w:tcBorders>
          </w:tcPr>
          <w:p>
            <w:pPr>
              <w:pStyle w:val="TableParagraph"/>
              <w:rPr>
                <w:rFonts w:ascii="Times New Roman"/>
                <w:sz w:val="12"/>
              </w:rPr>
            </w:pPr>
          </w:p>
        </w:tc>
        <w:tc>
          <w:tcPr>
            <w:tcW w:w="986" w:type="dxa"/>
            <w:tcBorders>
              <w:bottom w:val="single" w:sz="6" w:space="0" w:color="000000"/>
            </w:tcBorders>
          </w:tcPr>
          <w:p>
            <w:pPr>
              <w:pStyle w:val="TableParagraph"/>
              <w:rPr>
                <w:rFonts w:ascii="Times New Roman"/>
                <w:sz w:val="12"/>
              </w:rPr>
            </w:pPr>
          </w:p>
        </w:tc>
        <w:tc>
          <w:tcPr>
            <w:tcW w:w="1185" w:type="dxa"/>
            <w:tcBorders>
              <w:bottom w:val="single" w:sz="6" w:space="0" w:color="000000"/>
            </w:tcBorders>
          </w:tcPr>
          <w:p>
            <w:pPr>
              <w:pStyle w:val="TableParagraph"/>
              <w:rPr>
                <w:rFonts w:ascii="Times New Roman"/>
                <w:sz w:val="12"/>
              </w:rPr>
            </w:pPr>
          </w:p>
        </w:tc>
        <w:tc>
          <w:tcPr>
            <w:tcW w:w="951" w:type="dxa"/>
            <w:tcBorders>
              <w:bottom w:val="single" w:sz="6" w:space="0" w:color="000000"/>
            </w:tcBorders>
          </w:tcPr>
          <w:p>
            <w:pPr>
              <w:pStyle w:val="TableParagraph"/>
              <w:rPr>
                <w:rFonts w:ascii="Times New Roman"/>
                <w:sz w:val="12"/>
              </w:rPr>
            </w:pPr>
          </w:p>
        </w:tc>
        <w:tc>
          <w:tcPr>
            <w:tcW w:w="892" w:type="dxa"/>
            <w:tcBorders>
              <w:bottom w:val="single" w:sz="6" w:space="0" w:color="000000"/>
            </w:tcBorders>
          </w:tcPr>
          <w:p>
            <w:pPr>
              <w:pStyle w:val="TableParagraph"/>
              <w:rPr>
                <w:rFonts w:ascii="Times New Roman"/>
                <w:sz w:val="12"/>
              </w:rPr>
            </w:pPr>
          </w:p>
        </w:tc>
      </w:tr>
      <w:tr>
        <w:trPr>
          <w:trHeight w:val="211" w:hRule="atLeast"/>
        </w:trPr>
        <w:tc>
          <w:tcPr>
            <w:tcW w:w="3492" w:type="dxa"/>
          </w:tcPr>
          <w:p>
            <w:pPr>
              <w:pStyle w:val="TableParagraph"/>
              <w:spacing w:line="183" w:lineRule="exact" w:before="8"/>
              <w:ind w:left="50"/>
              <w:rPr>
                <w:rFonts w:ascii="Calibri"/>
                <w:sz w:val="17"/>
              </w:rPr>
            </w:pPr>
            <w:r>
              <w:rPr>
                <w:rFonts w:ascii="Calibri"/>
                <w:sz w:val="17"/>
              </w:rPr>
              <w:t>Net Position - Beginning of Year</w:t>
            </w:r>
          </w:p>
        </w:tc>
        <w:tc>
          <w:tcPr>
            <w:tcW w:w="1225" w:type="dxa"/>
            <w:tcBorders>
              <w:top w:val="single" w:sz="6" w:space="0" w:color="000000"/>
              <w:bottom w:val="single" w:sz="6" w:space="0" w:color="000000"/>
            </w:tcBorders>
          </w:tcPr>
          <w:p>
            <w:pPr>
              <w:pStyle w:val="TableParagraph"/>
              <w:spacing w:line="183" w:lineRule="exact" w:before="8"/>
              <w:ind w:right="93"/>
              <w:jc w:val="right"/>
              <w:rPr>
                <w:rFonts w:ascii="Calibri"/>
                <w:sz w:val="17"/>
              </w:rPr>
            </w:pPr>
            <w:r>
              <w:rPr>
                <w:rFonts w:ascii="Calibri"/>
                <w:color w:val="FF0000"/>
                <w:sz w:val="17"/>
              </w:rPr>
              <w:t>(125,561,974)</w:t>
            </w:r>
          </w:p>
        </w:tc>
        <w:tc>
          <w:tcPr>
            <w:tcW w:w="983" w:type="dxa"/>
            <w:tcBorders>
              <w:top w:val="single" w:sz="6" w:space="0" w:color="000000"/>
              <w:bottom w:val="single" w:sz="6" w:space="0" w:color="000000"/>
            </w:tcBorders>
          </w:tcPr>
          <w:p>
            <w:pPr>
              <w:pStyle w:val="TableParagraph"/>
              <w:spacing w:line="183" w:lineRule="exact" w:before="8"/>
              <w:ind w:right="90"/>
              <w:jc w:val="right"/>
              <w:rPr>
                <w:rFonts w:ascii="Calibri"/>
                <w:sz w:val="17"/>
              </w:rPr>
            </w:pPr>
            <w:r>
              <w:rPr>
                <w:rFonts w:ascii="Calibri"/>
                <w:w w:val="101"/>
                <w:sz w:val="17"/>
              </w:rPr>
              <w:t>0</w:t>
            </w:r>
          </w:p>
        </w:tc>
        <w:tc>
          <w:tcPr>
            <w:tcW w:w="1101" w:type="dxa"/>
            <w:tcBorders>
              <w:top w:val="single" w:sz="6" w:space="0" w:color="000000"/>
              <w:bottom w:val="single" w:sz="6" w:space="0" w:color="000000"/>
            </w:tcBorders>
          </w:tcPr>
          <w:p>
            <w:pPr>
              <w:pStyle w:val="TableParagraph"/>
              <w:spacing w:line="183" w:lineRule="exact" w:before="8"/>
              <w:ind w:right="41"/>
              <w:jc w:val="right"/>
              <w:rPr>
                <w:rFonts w:ascii="Calibri"/>
                <w:sz w:val="17"/>
              </w:rPr>
            </w:pPr>
            <w:r>
              <w:rPr>
                <w:rFonts w:ascii="Calibri"/>
                <w:color w:val="FF0000"/>
                <w:sz w:val="17"/>
              </w:rPr>
              <w:t>(125,561,974)</w:t>
            </w:r>
          </w:p>
        </w:tc>
        <w:tc>
          <w:tcPr>
            <w:tcW w:w="986" w:type="dxa"/>
            <w:tcBorders>
              <w:top w:val="single" w:sz="6" w:space="0" w:color="000000"/>
              <w:bottom w:val="single" w:sz="6" w:space="0" w:color="000000"/>
            </w:tcBorders>
          </w:tcPr>
          <w:p>
            <w:pPr>
              <w:pStyle w:val="TableParagraph"/>
              <w:spacing w:line="183" w:lineRule="exact" w:before="8"/>
              <w:ind w:left="294"/>
              <w:rPr>
                <w:rFonts w:ascii="Calibri"/>
                <w:sz w:val="17"/>
              </w:rPr>
            </w:pPr>
            <w:r>
              <w:rPr>
                <w:rFonts w:ascii="Calibri"/>
                <w:sz w:val="17"/>
              </w:rPr>
              <w:t>0.0%</w:t>
            </w:r>
          </w:p>
        </w:tc>
        <w:tc>
          <w:tcPr>
            <w:tcW w:w="1185" w:type="dxa"/>
            <w:tcBorders>
              <w:top w:val="single" w:sz="6" w:space="0" w:color="000000"/>
              <w:bottom w:val="single" w:sz="6" w:space="0" w:color="000000"/>
            </w:tcBorders>
          </w:tcPr>
          <w:p>
            <w:pPr>
              <w:pStyle w:val="TableParagraph"/>
              <w:spacing w:line="183" w:lineRule="exact" w:before="8"/>
              <w:ind w:right="108"/>
              <w:jc w:val="right"/>
              <w:rPr>
                <w:rFonts w:ascii="Calibri"/>
                <w:sz w:val="17"/>
              </w:rPr>
            </w:pPr>
            <w:r>
              <w:rPr>
                <w:rFonts w:ascii="Calibri"/>
                <w:color w:val="FF0000"/>
                <w:sz w:val="17"/>
              </w:rPr>
              <w:t>(215,991,016)</w:t>
            </w:r>
          </w:p>
        </w:tc>
        <w:tc>
          <w:tcPr>
            <w:tcW w:w="951" w:type="dxa"/>
            <w:tcBorders>
              <w:top w:val="single" w:sz="6" w:space="0" w:color="000000"/>
              <w:bottom w:val="single" w:sz="6" w:space="0" w:color="000000"/>
            </w:tcBorders>
          </w:tcPr>
          <w:p>
            <w:pPr>
              <w:pStyle w:val="TableParagraph"/>
              <w:spacing w:line="183" w:lineRule="exact" w:before="8"/>
              <w:ind w:right="74"/>
              <w:jc w:val="right"/>
              <w:rPr>
                <w:rFonts w:ascii="Calibri"/>
                <w:sz w:val="17"/>
              </w:rPr>
            </w:pPr>
            <w:r>
              <w:rPr>
                <w:rFonts w:ascii="Calibri"/>
                <w:sz w:val="17"/>
              </w:rPr>
              <w:t>90,429,042</w:t>
            </w:r>
          </w:p>
        </w:tc>
        <w:tc>
          <w:tcPr>
            <w:tcW w:w="892" w:type="dxa"/>
            <w:tcBorders>
              <w:top w:val="single" w:sz="6" w:space="0" w:color="000000"/>
              <w:bottom w:val="single" w:sz="6" w:space="0" w:color="000000"/>
            </w:tcBorders>
          </w:tcPr>
          <w:p>
            <w:pPr>
              <w:pStyle w:val="TableParagraph"/>
              <w:spacing w:line="183" w:lineRule="exact" w:before="8"/>
              <w:ind w:left="171"/>
              <w:rPr>
                <w:rFonts w:ascii="Calibri"/>
                <w:sz w:val="17"/>
              </w:rPr>
            </w:pPr>
            <w:r>
              <w:rPr>
                <w:rFonts w:ascii="Calibri"/>
                <w:sz w:val="17"/>
              </w:rPr>
              <w:t>-41.9%</w:t>
            </w:r>
          </w:p>
        </w:tc>
      </w:tr>
      <w:tr>
        <w:trPr>
          <w:trHeight w:val="229" w:hRule="atLeast"/>
        </w:trPr>
        <w:tc>
          <w:tcPr>
            <w:tcW w:w="3492" w:type="dxa"/>
          </w:tcPr>
          <w:p>
            <w:pPr>
              <w:pStyle w:val="TableParagraph"/>
              <w:spacing w:line="201" w:lineRule="exact" w:before="8"/>
              <w:ind w:left="406"/>
              <w:rPr>
                <w:rFonts w:ascii="Calibri"/>
                <w:sz w:val="17"/>
              </w:rPr>
            </w:pPr>
            <w:r>
              <w:rPr>
                <w:rFonts w:ascii="Calibri"/>
                <w:sz w:val="17"/>
              </w:rPr>
              <w:t>Total Net Position - Beginning of Year</w:t>
            </w:r>
          </w:p>
        </w:tc>
        <w:tc>
          <w:tcPr>
            <w:tcW w:w="1225" w:type="dxa"/>
            <w:tcBorders>
              <w:top w:val="single" w:sz="6" w:space="0" w:color="000000"/>
            </w:tcBorders>
          </w:tcPr>
          <w:p>
            <w:pPr>
              <w:pStyle w:val="TableParagraph"/>
              <w:spacing w:line="201" w:lineRule="exact" w:before="8"/>
              <w:ind w:right="93"/>
              <w:jc w:val="right"/>
              <w:rPr>
                <w:rFonts w:ascii="Calibri"/>
                <w:sz w:val="17"/>
              </w:rPr>
            </w:pPr>
            <w:r>
              <w:rPr>
                <w:rFonts w:ascii="Calibri"/>
                <w:color w:val="FF0000"/>
                <w:sz w:val="17"/>
              </w:rPr>
              <w:t>(125,561,974)</w:t>
            </w:r>
          </w:p>
        </w:tc>
        <w:tc>
          <w:tcPr>
            <w:tcW w:w="983" w:type="dxa"/>
            <w:tcBorders>
              <w:top w:val="single" w:sz="6" w:space="0" w:color="000000"/>
            </w:tcBorders>
          </w:tcPr>
          <w:p>
            <w:pPr>
              <w:pStyle w:val="TableParagraph"/>
              <w:spacing w:line="201" w:lineRule="exact" w:before="8"/>
              <w:ind w:right="90"/>
              <w:jc w:val="right"/>
              <w:rPr>
                <w:rFonts w:ascii="Calibri"/>
                <w:sz w:val="17"/>
              </w:rPr>
            </w:pPr>
            <w:r>
              <w:rPr>
                <w:rFonts w:ascii="Calibri"/>
                <w:w w:val="101"/>
                <w:sz w:val="17"/>
              </w:rPr>
              <w:t>0</w:t>
            </w:r>
          </w:p>
        </w:tc>
        <w:tc>
          <w:tcPr>
            <w:tcW w:w="1101" w:type="dxa"/>
            <w:tcBorders>
              <w:top w:val="single" w:sz="6" w:space="0" w:color="000000"/>
            </w:tcBorders>
          </w:tcPr>
          <w:p>
            <w:pPr>
              <w:pStyle w:val="TableParagraph"/>
              <w:spacing w:line="201" w:lineRule="exact" w:before="8"/>
              <w:ind w:right="41"/>
              <w:jc w:val="right"/>
              <w:rPr>
                <w:rFonts w:ascii="Calibri"/>
                <w:sz w:val="17"/>
              </w:rPr>
            </w:pPr>
            <w:r>
              <w:rPr>
                <w:rFonts w:ascii="Calibri"/>
                <w:color w:val="FF0000"/>
                <w:sz w:val="17"/>
              </w:rPr>
              <w:t>(125,561,974)</w:t>
            </w:r>
          </w:p>
        </w:tc>
        <w:tc>
          <w:tcPr>
            <w:tcW w:w="986" w:type="dxa"/>
            <w:tcBorders>
              <w:top w:val="single" w:sz="6" w:space="0" w:color="000000"/>
            </w:tcBorders>
          </w:tcPr>
          <w:p>
            <w:pPr>
              <w:pStyle w:val="TableParagraph"/>
              <w:spacing w:line="201" w:lineRule="exact" w:before="8"/>
              <w:ind w:left="294"/>
              <w:rPr>
                <w:rFonts w:ascii="Calibri"/>
                <w:sz w:val="17"/>
              </w:rPr>
            </w:pPr>
            <w:r>
              <w:rPr>
                <w:rFonts w:ascii="Calibri"/>
                <w:sz w:val="17"/>
              </w:rPr>
              <w:t>0.0%</w:t>
            </w:r>
          </w:p>
        </w:tc>
        <w:tc>
          <w:tcPr>
            <w:tcW w:w="1185" w:type="dxa"/>
            <w:tcBorders>
              <w:top w:val="single" w:sz="6" w:space="0" w:color="000000"/>
            </w:tcBorders>
          </w:tcPr>
          <w:p>
            <w:pPr>
              <w:pStyle w:val="TableParagraph"/>
              <w:spacing w:line="201" w:lineRule="exact" w:before="8"/>
              <w:ind w:right="108"/>
              <w:jc w:val="right"/>
              <w:rPr>
                <w:rFonts w:ascii="Calibri"/>
                <w:sz w:val="17"/>
              </w:rPr>
            </w:pPr>
            <w:r>
              <w:rPr>
                <w:rFonts w:ascii="Calibri"/>
                <w:color w:val="FF0000"/>
                <w:sz w:val="17"/>
              </w:rPr>
              <w:t>(215,991,016)</w:t>
            </w:r>
          </w:p>
        </w:tc>
        <w:tc>
          <w:tcPr>
            <w:tcW w:w="951" w:type="dxa"/>
            <w:tcBorders>
              <w:top w:val="single" w:sz="6" w:space="0" w:color="000000"/>
            </w:tcBorders>
          </w:tcPr>
          <w:p>
            <w:pPr>
              <w:pStyle w:val="TableParagraph"/>
              <w:spacing w:line="201" w:lineRule="exact" w:before="8"/>
              <w:ind w:right="74"/>
              <w:jc w:val="right"/>
              <w:rPr>
                <w:rFonts w:ascii="Calibri"/>
                <w:sz w:val="17"/>
              </w:rPr>
            </w:pPr>
            <w:r>
              <w:rPr>
                <w:rFonts w:ascii="Calibri"/>
                <w:sz w:val="17"/>
              </w:rPr>
              <w:t>90,429,042</w:t>
            </w:r>
          </w:p>
        </w:tc>
        <w:tc>
          <w:tcPr>
            <w:tcW w:w="892" w:type="dxa"/>
            <w:tcBorders>
              <w:top w:val="single" w:sz="6" w:space="0" w:color="000000"/>
            </w:tcBorders>
          </w:tcPr>
          <w:p>
            <w:pPr>
              <w:pStyle w:val="TableParagraph"/>
              <w:spacing w:line="201" w:lineRule="exact" w:before="8"/>
              <w:ind w:left="171"/>
              <w:rPr>
                <w:rFonts w:ascii="Calibri"/>
                <w:sz w:val="17"/>
              </w:rPr>
            </w:pPr>
            <w:r>
              <w:rPr>
                <w:rFonts w:ascii="Calibri"/>
                <w:sz w:val="17"/>
              </w:rPr>
              <w:t>-41.9%</w:t>
            </w:r>
          </w:p>
        </w:tc>
      </w:tr>
      <w:tr>
        <w:trPr>
          <w:trHeight w:val="186" w:hRule="atLeast"/>
        </w:trPr>
        <w:tc>
          <w:tcPr>
            <w:tcW w:w="3492" w:type="dxa"/>
          </w:tcPr>
          <w:p>
            <w:pPr>
              <w:pStyle w:val="TableParagraph"/>
              <w:rPr>
                <w:rFonts w:ascii="Times New Roman"/>
                <w:sz w:val="12"/>
              </w:rPr>
            </w:pPr>
          </w:p>
        </w:tc>
        <w:tc>
          <w:tcPr>
            <w:tcW w:w="1225" w:type="dxa"/>
            <w:tcBorders>
              <w:bottom w:val="single" w:sz="6" w:space="0" w:color="000000"/>
            </w:tcBorders>
          </w:tcPr>
          <w:p>
            <w:pPr>
              <w:pStyle w:val="TableParagraph"/>
              <w:rPr>
                <w:rFonts w:ascii="Times New Roman"/>
                <w:sz w:val="12"/>
              </w:rPr>
            </w:pPr>
          </w:p>
        </w:tc>
        <w:tc>
          <w:tcPr>
            <w:tcW w:w="983" w:type="dxa"/>
            <w:tcBorders>
              <w:bottom w:val="single" w:sz="6" w:space="0" w:color="000000"/>
            </w:tcBorders>
          </w:tcPr>
          <w:p>
            <w:pPr>
              <w:pStyle w:val="TableParagraph"/>
              <w:rPr>
                <w:rFonts w:ascii="Times New Roman"/>
                <w:sz w:val="12"/>
              </w:rPr>
            </w:pPr>
          </w:p>
        </w:tc>
        <w:tc>
          <w:tcPr>
            <w:tcW w:w="1101" w:type="dxa"/>
            <w:tcBorders>
              <w:bottom w:val="single" w:sz="6" w:space="0" w:color="000000"/>
            </w:tcBorders>
          </w:tcPr>
          <w:p>
            <w:pPr>
              <w:pStyle w:val="TableParagraph"/>
              <w:rPr>
                <w:rFonts w:ascii="Times New Roman"/>
                <w:sz w:val="12"/>
              </w:rPr>
            </w:pPr>
          </w:p>
        </w:tc>
        <w:tc>
          <w:tcPr>
            <w:tcW w:w="986" w:type="dxa"/>
            <w:tcBorders>
              <w:bottom w:val="single" w:sz="6" w:space="0" w:color="000000"/>
            </w:tcBorders>
          </w:tcPr>
          <w:p>
            <w:pPr>
              <w:pStyle w:val="TableParagraph"/>
              <w:rPr>
                <w:rFonts w:ascii="Times New Roman"/>
                <w:sz w:val="12"/>
              </w:rPr>
            </w:pPr>
          </w:p>
        </w:tc>
        <w:tc>
          <w:tcPr>
            <w:tcW w:w="1185" w:type="dxa"/>
            <w:tcBorders>
              <w:bottom w:val="single" w:sz="6" w:space="0" w:color="000000"/>
            </w:tcBorders>
          </w:tcPr>
          <w:p>
            <w:pPr>
              <w:pStyle w:val="TableParagraph"/>
              <w:rPr>
                <w:rFonts w:ascii="Times New Roman"/>
                <w:sz w:val="12"/>
              </w:rPr>
            </w:pPr>
          </w:p>
        </w:tc>
        <w:tc>
          <w:tcPr>
            <w:tcW w:w="951" w:type="dxa"/>
            <w:tcBorders>
              <w:bottom w:val="single" w:sz="6" w:space="0" w:color="000000"/>
            </w:tcBorders>
          </w:tcPr>
          <w:p>
            <w:pPr>
              <w:pStyle w:val="TableParagraph"/>
              <w:rPr>
                <w:rFonts w:ascii="Times New Roman"/>
                <w:sz w:val="12"/>
              </w:rPr>
            </w:pPr>
          </w:p>
        </w:tc>
        <w:tc>
          <w:tcPr>
            <w:tcW w:w="892" w:type="dxa"/>
            <w:tcBorders>
              <w:bottom w:val="single" w:sz="6" w:space="0" w:color="000000"/>
            </w:tcBorders>
          </w:tcPr>
          <w:p>
            <w:pPr>
              <w:pStyle w:val="TableParagraph"/>
              <w:rPr>
                <w:rFonts w:ascii="Times New Roman"/>
                <w:sz w:val="12"/>
              </w:rPr>
            </w:pPr>
          </w:p>
        </w:tc>
      </w:tr>
    </w:tbl>
    <w:p>
      <w:pPr>
        <w:tabs>
          <w:tab w:pos="3634" w:val="left" w:leader="none"/>
          <w:tab w:pos="8035" w:val="left" w:leader="none"/>
          <w:tab w:pos="9212" w:val="left" w:leader="none"/>
          <w:tab w:pos="10236" w:val="left" w:leader="none"/>
          <w:tab w:pos="10949" w:val="left" w:leader="none"/>
        </w:tabs>
        <w:spacing w:before="13" w:after="19"/>
        <w:ind w:left="969" w:right="0" w:firstLine="0"/>
        <w:jc w:val="left"/>
        <w:rPr>
          <w:sz w:val="17"/>
        </w:rPr>
      </w:pPr>
      <w:r>
        <w:rPr/>
        <w:pict>
          <v:group style="position:absolute;margin-left:209.704819pt;margin-top:-65.158600pt;width:365.8pt;height:1.65pt;mso-position-horizontal-relative:page;mso-position-vertical-relative:paragraph;z-index:-266870784" coordorigin="4194,-1303" coordsize="7316,33">
            <v:line style="position:absolute" from="4194,-1303" to="11509,-1303" stroked="true" strokeweight="0pt" strokecolor="#000000">
              <v:stroke dashstyle="solid"/>
            </v:line>
            <v:line style="position:absolute" from="4194,-1298" to="11509,-1298" stroked="true" strokeweight=".53943pt" strokecolor="#000000">
              <v:stroke dashstyle="solid"/>
            </v:line>
            <v:line style="position:absolute" from="4194,-1282" to="11509,-1282" stroked="true" strokeweight="0pt" strokecolor="#000000">
              <v:stroke dashstyle="solid"/>
            </v:line>
            <v:line style="position:absolute" from="4194,-1276" to="11509,-1276" stroked="true" strokeweight=".53943pt" strokecolor="#000000">
              <v:stroke dashstyle="solid"/>
            </v:line>
            <w10:wrap type="none"/>
          </v:group>
        </w:pict>
      </w:r>
      <w:r>
        <w:rPr/>
        <w:pict>
          <v:group style="position:absolute;margin-left:209.704788pt;margin-top:-43.581409pt;width:365.8pt;height:1.65pt;mso-position-horizontal-relative:page;mso-position-vertical-relative:paragraph;z-index:-266869760" coordorigin="4194,-872" coordsize="7316,33">
            <v:line style="position:absolute" from="4194,-872" to="11509,-872" stroked="true" strokeweight="0pt" strokecolor="#000000">
              <v:stroke dashstyle="solid"/>
            </v:line>
            <v:line style="position:absolute" from="4194,-866" to="11509,-866" stroked="true" strokeweight=".53943pt" strokecolor="#000000">
              <v:stroke dashstyle="solid"/>
            </v:line>
            <v:line style="position:absolute" from="4194,-850" to="11509,-850" stroked="true" strokeweight="0pt" strokecolor="#000000">
              <v:stroke dashstyle="solid"/>
            </v:line>
            <v:line style="position:absolute" from="4194,-845" to="11509,-845" stroked="true" strokeweight=".539969pt" strokecolor="#000000">
              <v:stroke dashstyle="solid"/>
            </v:line>
            <w10:wrap type="none"/>
          </v:group>
        </w:pict>
      </w:r>
      <w:r>
        <w:rPr/>
        <w:pict>
          <v:group style="position:absolute;margin-left:209.704758pt;margin-top:-10.676191pt;width:365.8pt;height:1.65pt;mso-position-horizontal-relative:page;mso-position-vertical-relative:paragraph;z-index:-266868736" coordorigin="4194,-214" coordsize="7316,33">
            <v:line style="position:absolute" from="4194,-214" to="11509,-214" stroked="true" strokeweight="0pt" strokecolor="#000000">
              <v:stroke dashstyle="solid"/>
            </v:line>
            <v:line style="position:absolute" from="4194,-208" to="11509,-208" stroked="true" strokeweight=".53943pt" strokecolor="#000000">
              <v:stroke dashstyle="solid"/>
            </v:line>
            <v:line style="position:absolute" from="4194,-192" to="11509,-192" stroked="true" strokeweight="0pt" strokecolor="#000000">
              <v:stroke dashstyle="solid"/>
            </v:line>
            <v:line style="position:absolute" from="4194,-187" to="11509,-187" stroked="true" strokeweight=".53943pt" strokecolor="#000000">
              <v:stroke dashstyle="solid"/>
            </v:line>
            <w10:wrap type="none"/>
          </v:group>
        </w:pict>
      </w:r>
      <w:r>
        <w:rPr>
          <w:sz w:val="17"/>
        </w:rPr>
        <w:t>Net Position - End</w:t>
      </w:r>
      <w:r>
        <w:rPr>
          <w:spacing w:val="15"/>
          <w:sz w:val="17"/>
        </w:rPr>
        <w:t> </w:t>
      </w:r>
      <w:r>
        <w:rPr>
          <w:spacing w:val="-3"/>
          <w:sz w:val="17"/>
        </w:rPr>
        <w:t>of</w:t>
      </w:r>
      <w:r>
        <w:rPr>
          <w:spacing w:val="7"/>
          <w:sz w:val="17"/>
        </w:rPr>
        <w:t> </w:t>
      </w:r>
      <w:r>
        <w:rPr>
          <w:sz w:val="17"/>
        </w:rPr>
        <w:t>Year</w:t>
        <w:tab/>
      </w:r>
      <w:r>
        <w:rPr>
          <w:color w:val="FF0000"/>
          <w:sz w:val="17"/>
          <w:u w:val="double" w:color="000000"/>
        </w:rPr>
        <w:t> (126,851,</w:t>
      </w:r>
      <w:r>
        <w:rPr>
          <w:color w:val="FF0000"/>
          <w:sz w:val="17"/>
          <w:u w:val="single" w:color="000000"/>
        </w:rPr>
        <w:t>320</w:t>
      </w:r>
      <w:r>
        <w:rPr>
          <w:color w:val="FF0000"/>
          <w:sz w:val="17"/>
        </w:rPr>
        <w:t>)     (1,103,</w:t>
      </w:r>
      <w:r>
        <w:rPr>
          <w:color w:val="FF0000"/>
          <w:sz w:val="17"/>
          <w:u w:val="single" w:color="000000"/>
        </w:rPr>
        <w:t>301</w:t>
      </w:r>
      <w:r>
        <w:rPr>
          <w:color w:val="FF0000"/>
          <w:sz w:val="17"/>
        </w:rPr>
        <w:t>)   </w:t>
      </w:r>
      <w:r>
        <w:rPr>
          <w:color w:val="FF0000"/>
          <w:spacing w:val="18"/>
          <w:sz w:val="17"/>
        </w:rPr>
        <w:t> </w:t>
      </w:r>
      <w:r>
        <w:rPr>
          <w:color w:val="FF0000"/>
          <w:sz w:val="17"/>
        </w:rPr>
        <w:t>(125,748,</w:t>
      </w:r>
      <w:r>
        <w:rPr>
          <w:color w:val="FF0000"/>
          <w:sz w:val="17"/>
          <w:u w:val="single" w:color="000000"/>
        </w:rPr>
        <w:t>019</w:t>
      </w:r>
      <w:r>
        <w:rPr>
          <w:color w:val="FF0000"/>
          <w:sz w:val="17"/>
        </w:rPr>
        <w:t>)   </w:t>
      </w:r>
      <w:r>
        <w:rPr>
          <w:color w:val="FF0000"/>
          <w:spacing w:val="7"/>
          <w:sz w:val="17"/>
        </w:rPr>
        <w:t> </w:t>
      </w:r>
      <w:r>
        <w:rPr>
          <w:sz w:val="17"/>
        </w:rPr>
        <w:t>11397.</w:t>
      </w:r>
      <w:r>
        <w:rPr>
          <w:sz w:val="17"/>
          <w:u w:val="single"/>
        </w:rPr>
        <w:t>4</w:t>
      </w:r>
      <w:r>
        <w:rPr>
          <w:sz w:val="17"/>
        </w:rPr>
        <w:t>%</w:t>
        <w:tab/>
      </w:r>
      <w:r>
        <w:rPr>
          <w:color w:val="FF0000"/>
          <w:sz w:val="17"/>
        </w:rPr>
        <w:t>(216,803,</w:t>
      </w:r>
      <w:r>
        <w:rPr>
          <w:color w:val="FF0000"/>
          <w:sz w:val="17"/>
          <w:u w:val="single" w:color="000000"/>
        </w:rPr>
        <w:t>870</w:t>
      </w:r>
      <w:r>
        <w:rPr>
          <w:color w:val="FF0000"/>
          <w:sz w:val="17"/>
        </w:rPr>
        <w:t>)</w:t>
        <w:tab/>
      </w:r>
      <w:r>
        <w:rPr>
          <w:sz w:val="17"/>
        </w:rPr>
        <w:t>89,952,</w:t>
      </w:r>
      <w:r>
        <w:rPr>
          <w:sz w:val="17"/>
          <w:u w:val="single"/>
        </w:rPr>
        <w:t>55</w:t>
      </w:r>
      <w:r>
        <w:rPr>
          <w:sz w:val="17"/>
        </w:rPr>
        <w:t>1</w:t>
        <w:tab/>
        <w:t>-41.</w:t>
      </w:r>
      <w:r>
        <w:rPr>
          <w:sz w:val="17"/>
          <w:u w:val="single"/>
        </w:rPr>
        <w:t>5</w:t>
      </w:r>
      <w:r>
        <w:rPr>
          <w:sz w:val="17"/>
        </w:rPr>
        <w:t>%</w:t>
        <w:tab/>
      </w:r>
    </w:p>
    <w:p>
      <w:pPr>
        <w:spacing w:line="20" w:lineRule="exact"/>
        <w:ind w:left="3634" w:right="0" w:firstLine="0"/>
        <w:rPr>
          <w:sz w:val="2"/>
        </w:rPr>
      </w:pPr>
      <w:r>
        <w:rPr>
          <w:sz w:val="2"/>
        </w:rPr>
        <w:pict>
          <v:group style="width:365.8pt;height:.1pt;mso-position-horizontal-relative:char;mso-position-vertical-relative:line" coordorigin="0,0" coordsize="7316,2">
            <v:line style="position:absolute" from="0,0" to="7315,0" stroked="true" strokeweight="0pt" strokecolor="#000000">
              <v:stroke dashstyle="solid"/>
            </v:line>
            <v:line style="position:absolute" from="0,0" to="7315,0" stroked="true" strokeweight=".000043pt" strokecolor="#000000">
              <v:stroke dashstyle="solid"/>
            </v:line>
          </v:group>
        </w:pict>
      </w:r>
      <w:r>
        <w:rPr>
          <w:sz w:val="2"/>
        </w:rPr>
      </w:r>
    </w:p>
    <w:p>
      <w:pPr>
        <w:spacing w:after="0" w:line="20" w:lineRule="exact"/>
        <w:rPr>
          <w:sz w:val="2"/>
        </w:rPr>
        <w:sectPr>
          <w:pgSz w:w="12240" w:h="15840"/>
          <w:pgMar w:header="790" w:footer="1255" w:top="1240" w:bottom="1440" w:left="560" w:right="560"/>
        </w:sectPr>
      </w:pPr>
    </w:p>
    <w:p>
      <w:pPr>
        <w:spacing w:line="240" w:lineRule="auto" w:before="2"/>
        <w:rPr>
          <w:sz w:val="12"/>
        </w:rPr>
      </w:pPr>
    </w:p>
    <w:p>
      <w:pPr>
        <w:spacing w:before="45"/>
        <w:ind w:left="160" w:right="0" w:firstLine="0"/>
        <w:jc w:val="left"/>
        <w:rPr>
          <w:sz w:val="28"/>
        </w:rPr>
      </w:pPr>
      <w:r>
        <w:rPr>
          <w:color w:val="000099"/>
          <w:sz w:val="28"/>
        </w:rPr>
        <w:t>STATEMENT OF REVENUE AND EXPENDITURES</w:t>
      </w:r>
    </w:p>
    <w:p>
      <w:pPr>
        <w:spacing w:line="240" w:lineRule="auto" w:before="195"/>
        <w:ind w:left="160" w:right="154" w:firstLine="0"/>
        <w:jc w:val="both"/>
        <w:rPr>
          <w:sz w:val="22"/>
        </w:rPr>
      </w:pPr>
      <w:r>
        <w:rPr>
          <w:sz w:val="22"/>
        </w:rPr>
        <w:t>After</w:t>
      </w:r>
      <w:r>
        <w:rPr>
          <w:spacing w:val="-11"/>
          <w:sz w:val="22"/>
        </w:rPr>
        <w:t> </w:t>
      </w:r>
      <w:r>
        <w:rPr>
          <w:sz w:val="22"/>
        </w:rPr>
        <w:t>three</w:t>
      </w:r>
      <w:r>
        <w:rPr>
          <w:spacing w:val="-12"/>
          <w:sz w:val="22"/>
        </w:rPr>
        <w:t> </w:t>
      </w:r>
      <w:r>
        <w:rPr>
          <w:sz w:val="22"/>
        </w:rPr>
        <w:t>months</w:t>
      </w:r>
      <w:r>
        <w:rPr>
          <w:spacing w:val="-11"/>
          <w:sz w:val="22"/>
        </w:rPr>
        <w:t> </w:t>
      </w:r>
      <w:r>
        <w:rPr>
          <w:sz w:val="22"/>
        </w:rPr>
        <w:t>ending</w:t>
      </w:r>
      <w:r>
        <w:rPr>
          <w:spacing w:val="-11"/>
          <w:sz w:val="22"/>
        </w:rPr>
        <w:t> </w:t>
      </w:r>
      <w:r>
        <w:rPr>
          <w:sz w:val="22"/>
        </w:rPr>
        <w:t>June</w:t>
      </w:r>
      <w:r>
        <w:rPr>
          <w:spacing w:val="-8"/>
          <w:sz w:val="22"/>
        </w:rPr>
        <w:t> </w:t>
      </w:r>
      <w:r>
        <w:rPr>
          <w:sz w:val="22"/>
        </w:rPr>
        <w:t>30,</w:t>
      </w:r>
      <w:r>
        <w:rPr>
          <w:spacing w:val="-10"/>
          <w:sz w:val="22"/>
        </w:rPr>
        <w:t> </w:t>
      </w:r>
      <w:r>
        <w:rPr>
          <w:sz w:val="22"/>
        </w:rPr>
        <w:t>2025,</w:t>
      </w:r>
      <w:r>
        <w:rPr>
          <w:spacing w:val="-11"/>
          <w:sz w:val="22"/>
        </w:rPr>
        <w:t> </w:t>
      </w:r>
      <w:r>
        <w:rPr>
          <w:sz w:val="22"/>
        </w:rPr>
        <w:t>the</w:t>
      </w:r>
      <w:r>
        <w:rPr>
          <w:spacing w:val="-8"/>
          <w:sz w:val="22"/>
        </w:rPr>
        <w:t> </w:t>
      </w:r>
      <w:r>
        <w:rPr>
          <w:sz w:val="22"/>
        </w:rPr>
        <w:t>Authority</w:t>
      </w:r>
      <w:r>
        <w:rPr>
          <w:spacing w:val="-7"/>
          <w:sz w:val="22"/>
        </w:rPr>
        <w:t> </w:t>
      </w:r>
      <w:r>
        <w:rPr>
          <w:sz w:val="22"/>
        </w:rPr>
        <w:t>reports</w:t>
      </w:r>
      <w:r>
        <w:rPr>
          <w:spacing w:val="-11"/>
          <w:sz w:val="22"/>
        </w:rPr>
        <w:t> </w:t>
      </w:r>
      <w:r>
        <w:rPr>
          <w:sz w:val="22"/>
        </w:rPr>
        <w:t>a</w:t>
      </w:r>
      <w:r>
        <w:rPr>
          <w:spacing w:val="-11"/>
          <w:sz w:val="22"/>
        </w:rPr>
        <w:t> </w:t>
      </w:r>
      <w:r>
        <w:rPr>
          <w:sz w:val="22"/>
        </w:rPr>
        <w:t>consolidated</w:t>
      </w:r>
      <w:r>
        <w:rPr>
          <w:spacing w:val="-12"/>
          <w:sz w:val="22"/>
        </w:rPr>
        <w:t> </w:t>
      </w:r>
      <w:r>
        <w:rPr>
          <w:sz w:val="22"/>
        </w:rPr>
        <w:t>operating</w:t>
      </w:r>
      <w:r>
        <w:rPr>
          <w:spacing w:val="-9"/>
          <w:sz w:val="22"/>
        </w:rPr>
        <w:t> </w:t>
      </w:r>
      <w:r>
        <w:rPr>
          <w:sz w:val="22"/>
        </w:rPr>
        <w:t>income</w:t>
      </w:r>
      <w:r>
        <w:rPr>
          <w:spacing w:val="-11"/>
          <w:sz w:val="22"/>
        </w:rPr>
        <w:t> </w:t>
      </w:r>
      <w:r>
        <w:rPr>
          <w:sz w:val="22"/>
        </w:rPr>
        <w:t>of</w:t>
      </w:r>
      <w:r>
        <w:rPr>
          <w:spacing w:val="-11"/>
          <w:sz w:val="22"/>
        </w:rPr>
        <w:t> </w:t>
      </w:r>
      <w:r>
        <w:rPr>
          <w:sz w:val="22"/>
        </w:rPr>
        <w:t>$1.5</w:t>
      </w:r>
      <w:r>
        <w:rPr>
          <w:spacing w:val="-12"/>
          <w:sz w:val="22"/>
        </w:rPr>
        <w:t> </w:t>
      </w:r>
      <w:r>
        <w:rPr>
          <w:sz w:val="22"/>
        </w:rPr>
        <w:t>million,</w:t>
      </w:r>
      <w:r>
        <w:rPr>
          <w:spacing w:val="-11"/>
          <w:sz w:val="22"/>
        </w:rPr>
        <w:t> </w:t>
      </w:r>
      <w:r>
        <w:rPr>
          <w:sz w:val="22"/>
        </w:rPr>
        <w:t>excluding capital contributions and non-operating expenses. This positive result reflects strong operating performance in the early part of the fiscal</w:t>
      </w:r>
      <w:r>
        <w:rPr>
          <w:spacing w:val="-2"/>
          <w:sz w:val="22"/>
        </w:rPr>
        <w:t> </w:t>
      </w:r>
      <w:r>
        <w:rPr>
          <w:sz w:val="22"/>
        </w:rPr>
        <w:t>year.</w:t>
      </w:r>
    </w:p>
    <w:p>
      <w:pPr>
        <w:pStyle w:val="BodyText"/>
        <w:spacing w:before="195"/>
        <w:ind w:left="160"/>
        <w:rPr>
          <w:rFonts w:ascii="Calibri"/>
        </w:rPr>
      </w:pPr>
      <w:r>
        <w:rPr>
          <w:rFonts w:ascii="Calibri"/>
          <w:color w:val="000099"/>
        </w:rPr>
        <w:t>Operating</w:t>
      </w:r>
      <w:r>
        <w:rPr>
          <w:rFonts w:ascii="Calibri"/>
          <w:color w:val="000099"/>
          <w:spacing w:val="-3"/>
        </w:rPr>
        <w:t> </w:t>
      </w:r>
      <w:r>
        <w:rPr>
          <w:rFonts w:ascii="Calibri"/>
          <w:color w:val="000099"/>
        </w:rPr>
        <w:t>Revenues</w:t>
      </w:r>
    </w:p>
    <w:p>
      <w:pPr>
        <w:spacing w:before="194"/>
        <w:ind w:left="339" w:right="154" w:firstLine="0"/>
        <w:jc w:val="both"/>
        <w:rPr>
          <w:sz w:val="22"/>
        </w:rPr>
      </w:pPr>
      <w:r>
        <w:rPr>
          <w:sz w:val="22"/>
        </w:rPr>
        <w:t>Total operating revenues amount to $3.4 million, representing a $428 thousand (6.7%) increase compared to the same period in the prior year. Revenues also exceeded budget projections by $90 thousand (2.7%), driven by higher-than- anticipated service demand and revenue recovery efforts.</w:t>
      </w:r>
    </w:p>
    <w:p>
      <w:pPr>
        <w:spacing w:line="240" w:lineRule="auto" w:before="7" w:after="1"/>
        <w:rPr>
          <w:sz w:val="22"/>
        </w:rPr>
      </w:pPr>
    </w:p>
    <w:tbl>
      <w:tblPr>
        <w:tblW w:w="0" w:type="auto"/>
        <w:jc w:val="left"/>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0"/>
        <w:gridCol w:w="1143"/>
        <w:gridCol w:w="1143"/>
        <w:gridCol w:w="1048"/>
        <w:gridCol w:w="1179"/>
        <w:gridCol w:w="1012"/>
        <w:gridCol w:w="1143"/>
        <w:gridCol w:w="1101"/>
      </w:tblGrid>
      <w:tr>
        <w:trPr>
          <w:trHeight w:val="568" w:hRule="atLeast"/>
        </w:trPr>
        <w:tc>
          <w:tcPr>
            <w:tcW w:w="3020" w:type="dxa"/>
            <w:tcBorders>
              <w:right w:val="single" w:sz="4" w:space="0" w:color="FFFFFF"/>
            </w:tcBorders>
            <w:shd w:val="clear" w:color="auto" w:fill="1F3763"/>
          </w:tcPr>
          <w:p>
            <w:pPr>
              <w:pStyle w:val="TableParagraph"/>
              <w:rPr>
                <w:rFonts w:ascii="Times New Roman"/>
                <w:sz w:val="20"/>
              </w:rPr>
            </w:pPr>
          </w:p>
        </w:tc>
        <w:tc>
          <w:tcPr>
            <w:tcW w:w="1143" w:type="dxa"/>
            <w:tcBorders>
              <w:left w:val="single" w:sz="4" w:space="0" w:color="FFFFFF"/>
              <w:right w:val="single" w:sz="4" w:space="0" w:color="FFFFFF"/>
            </w:tcBorders>
            <w:shd w:val="clear" w:color="auto" w:fill="1F3763"/>
          </w:tcPr>
          <w:p>
            <w:pPr>
              <w:pStyle w:val="TableParagraph"/>
              <w:spacing w:before="152"/>
              <w:ind w:left="277"/>
              <w:rPr>
                <w:rFonts w:ascii="Calibri"/>
                <w:b/>
                <w:sz w:val="22"/>
              </w:rPr>
            </w:pPr>
            <w:r>
              <w:rPr>
                <w:rFonts w:ascii="Calibri"/>
                <w:b/>
                <w:color w:val="FFFFFF"/>
                <w:sz w:val="22"/>
              </w:rPr>
              <w:t>Actual</w:t>
            </w:r>
          </w:p>
        </w:tc>
        <w:tc>
          <w:tcPr>
            <w:tcW w:w="1143" w:type="dxa"/>
            <w:tcBorders>
              <w:left w:val="single" w:sz="4" w:space="0" w:color="FFFFFF"/>
              <w:right w:val="single" w:sz="4" w:space="0" w:color="FFFFFF"/>
            </w:tcBorders>
            <w:shd w:val="clear" w:color="auto" w:fill="1F3763"/>
          </w:tcPr>
          <w:p>
            <w:pPr>
              <w:pStyle w:val="TableParagraph"/>
              <w:spacing w:before="152"/>
              <w:ind w:left="235"/>
              <w:rPr>
                <w:rFonts w:ascii="Calibri"/>
                <w:b/>
                <w:sz w:val="22"/>
              </w:rPr>
            </w:pPr>
            <w:r>
              <w:rPr>
                <w:rFonts w:ascii="Calibri"/>
                <w:b/>
                <w:color w:val="FFFFFF"/>
                <w:sz w:val="22"/>
              </w:rPr>
              <w:t>Budget</w:t>
            </w:r>
          </w:p>
        </w:tc>
        <w:tc>
          <w:tcPr>
            <w:tcW w:w="1048" w:type="dxa"/>
            <w:tcBorders>
              <w:left w:val="single" w:sz="4" w:space="0" w:color="FFFFFF"/>
              <w:right w:val="single" w:sz="4" w:space="0" w:color="FFFFFF"/>
            </w:tcBorders>
            <w:shd w:val="clear" w:color="auto" w:fill="1F3763"/>
          </w:tcPr>
          <w:p>
            <w:pPr>
              <w:pStyle w:val="TableParagraph"/>
              <w:spacing w:before="9"/>
              <w:ind w:left="187"/>
              <w:rPr>
                <w:rFonts w:ascii="Calibri"/>
                <w:b/>
                <w:sz w:val="22"/>
              </w:rPr>
            </w:pPr>
            <w:r>
              <w:rPr>
                <w:rFonts w:ascii="Calibri"/>
                <w:b/>
                <w:color w:val="FFFFFF"/>
                <w:sz w:val="22"/>
              </w:rPr>
              <w:t>Budget</w:t>
            </w:r>
          </w:p>
          <w:p>
            <w:pPr>
              <w:pStyle w:val="TableParagraph"/>
              <w:spacing w:line="255" w:lineRule="exact" w:before="16"/>
              <w:ind w:left="175"/>
              <w:rPr>
                <w:rFonts w:ascii="Calibri"/>
                <w:b/>
                <w:sz w:val="22"/>
              </w:rPr>
            </w:pPr>
            <w:r>
              <w:rPr>
                <w:rFonts w:ascii="Calibri"/>
                <w:b/>
                <w:color w:val="FFFFFF"/>
                <w:sz w:val="22"/>
              </w:rPr>
              <w:t>Change</w:t>
            </w:r>
          </w:p>
        </w:tc>
        <w:tc>
          <w:tcPr>
            <w:tcW w:w="1179" w:type="dxa"/>
            <w:tcBorders>
              <w:left w:val="single" w:sz="4" w:space="0" w:color="FFFFFF"/>
              <w:right w:val="single" w:sz="4" w:space="0" w:color="FFFFFF"/>
            </w:tcBorders>
            <w:shd w:val="clear" w:color="auto" w:fill="1F3763"/>
          </w:tcPr>
          <w:p>
            <w:pPr>
              <w:pStyle w:val="TableParagraph"/>
              <w:spacing w:before="9"/>
              <w:ind w:left="132"/>
              <w:rPr>
                <w:rFonts w:ascii="Calibri"/>
                <w:b/>
                <w:sz w:val="22"/>
              </w:rPr>
            </w:pPr>
            <w:r>
              <w:rPr>
                <w:rFonts w:ascii="Calibri"/>
                <w:b/>
                <w:color w:val="FFFFFF"/>
                <w:sz w:val="22"/>
              </w:rPr>
              <w:t>%</w:t>
            </w:r>
            <w:r>
              <w:rPr>
                <w:rFonts w:ascii="Calibri"/>
                <w:b/>
                <w:color w:val="FFFFFF"/>
                <w:spacing w:val="-1"/>
                <w:sz w:val="22"/>
              </w:rPr>
              <w:t> </w:t>
            </w:r>
            <w:r>
              <w:rPr>
                <w:rFonts w:ascii="Calibri"/>
                <w:b/>
                <w:color w:val="FFFFFF"/>
                <w:sz w:val="22"/>
              </w:rPr>
              <w:t>Change</w:t>
            </w:r>
          </w:p>
          <w:p>
            <w:pPr>
              <w:pStyle w:val="TableParagraph"/>
              <w:spacing w:line="255" w:lineRule="exact" w:before="16"/>
              <w:ind w:left="127"/>
              <w:rPr>
                <w:rFonts w:ascii="Calibri"/>
                <w:b/>
                <w:sz w:val="22"/>
              </w:rPr>
            </w:pPr>
            <w:r>
              <w:rPr>
                <w:rFonts w:ascii="Calibri"/>
                <w:b/>
                <w:color w:val="FFFFFF"/>
                <w:sz w:val="22"/>
              </w:rPr>
              <w:t>to</w:t>
            </w:r>
            <w:r>
              <w:rPr>
                <w:rFonts w:ascii="Calibri"/>
                <w:b/>
                <w:color w:val="FFFFFF"/>
                <w:spacing w:val="3"/>
                <w:sz w:val="22"/>
              </w:rPr>
              <w:t> </w:t>
            </w:r>
            <w:r>
              <w:rPr>
                <w:rFonts w:ascii="Calibri"/>
                <w:b/>
                <w:color w:val="FFFFFF"/>
                <w:sz w:val="22"/>
              </w:rPr>
              <w:t>Budget</w:t>
            </w:r>
          </w:p>
        </w:tc>
        <w:tc>
          <w:tcPr>
            <w:tcW w:w="1012" w:type="dxa"/>
            <w:tcBorders>
              <w:left w:val="single" w:sz="4" w:space="0" w:color="FFFFFF"/>
              <w:right w:val="single" w:sz="4" w:space="0" w:color="FFFFFF"/>
            </w:tcBorders>
            <w:shd w:val="clear" w:color="auto" w:fill="1F3763"/>
          </w:tcPr>
          <w:p>
            <w:pPr>
              <w:pStyle w:val="TableParagraph"/>
              <w:spacing w:before="9"/>
              <w:ind w:left="22" w:right="31"/>
              <w:jc w:val="center"/>
              <w:rPr>
                <w:rFonts w:ascii="Calibri"/>
                <w:b/>
                <w:sz w:val="22"/>
              </w:rPr>
            </w:pPr>
            <w:r>
              <w:rPr>
                <w:rFonts w:ascii="Calibri"/>
                <w:b/>
                <w:color w:val="FFFFFF"/>
                <w:sz w:val="22"/>
              </w:rPr>
              <w:t>Prior Year</w:t>
            </w:r>
          </w:p>
          <w:p>
            <w:pPr>
              <w:pStyle w:val="TableParagraph"/>
              <w:spacing w:line="255" w:lineRule="exact" w:before="16"/>
              <w:ind w:left="22" w:right="25"/>
              <w:jc w:val="center"/>
              <w:rPr>
                <w:rFonts w:ascii="Calibri"/>
                <w:b/>
                <w:sz w:val="22"/>
              </w:rPr>
            </w:pPr>
            <w:r>
              <w:rPr>
                <w:rFonts w:ascii="Calibri"/>
                <w:b/>
                <w:color w:val="FFFFFF"/>
                <w:sz w:val="22"/>
              </w:rPr>
              <w:t>Actual</w:t>
            </w:r>
          </w:p>
        </w:tc>
        <w:tc>
          <w:tcPr>
            <w:tcW w:w="1143" w:type="dxa"/>
            <w:tcBorders>
              <w:left w:val="single" w:sz="4" w:space="0" w:color="FFFFFF"/>
              <w:right w:val="single" w:sz="4" w:space="0" w:color="FFFFFF"/>
            </w:tcBorders>
            <w:shd w:val="clear" w:color="auto" w:fill="1F3763"/>
          </w:tcPr>
          <w:p>
            <w:pPr>
              <w:pStyle w:val="TableParagraph"/>
              <w:spacing w:before="9"/>
              <w:ind w:left="185"/>
              <w:rPr>
                <w:rFonts w:ascii="Calibri"/>
                <w:b/>
                <w:sz w:val="22"/>
              </w:rPr>
            </w:pPr>
            <w:r>
              <w:rPr>
                <w:rFonts w:ascii="Calibri"/>
                <w:b/>
                <w:color w:val="FFFFFF"/>
                <w:sz w:val="22"/>
              </w:rPr>
              <w:t>CY to</w:t>
            </w:r>
            <w:r>
              <w:rPr>
                <w:rFonts w:ascii="Calibri"/>
                <w:b/>
                <w:color w:val="FFFFFF"/>
                <w:spacing w:val="-2"/>
                <w:sz w:val="22"/>
              </w:rPr>
              <w:t> </w:t>
            </w:r>
            <w:r>
              <w:rPr>
                <w:rFonts w:ascii="Calibri"/>
                <w:b/>
                <w:color w:val="FFFFFF"/>
                <w:sz w:val="22"/>
              </w:rPr>
              <w:t>PY</w:t>
            </w:r>
          </w:p>
          <w:p>
            <w:pPr>
              <w:pStyle w:val="TableParagraph"/>
              <w:spacing w:line="255" w:lineRule="exact" w:before="16"/>
              <w:ind w:left="221"/>
              <w:rPr>
                <w:rFonts w:ascii="Calibri"/>
                <w:b/>
                <w:sz w:val="22"/>
              </w:rPr>
            </w:pPr>
            <w:r>
              <w:rPr>
                <w:rFonts w:ascii="Calibri"/>
                <w:b/>
                <w:color w:val="FFFFFF"/>
                <w:sz w:val="22"/>
              </w:rPr>
              <w:t>Change</w:t>
            </w:r>
          </w:p>
        </w:tc>
        <w:tc>
          <w:tcPr>
            <w:tcW w:w="1101" w:type="dxa"/>
            <w:tcBorders>
              <w:left w:val="single" w:sz="4" w:space="0" w:color="FFFFFF"/>
              <w:right w:val="single" w:sz="4" w:space="0" w:color="FFFFFF"/>
            </w:tcBorders>
            <w:shd w:val="clear" w:color="auto" w:fill="1F3763"/>
          </w:tcPr>
          <w:p>
            <w:pPr>
              <w:pStyle w:val="TableParagraph"/>
              <w:spacing w:before="9"/>
              <w:ind w:left="95"/>
              <w:rPr>
                <w:rFonts w:ascii="Calibri"/>
                <w:b/>
                <w:sz w:val="22"/>
              </w:rPr>
            </w:pPr>
            <w:r>
              <w:rPr>
                <w:rFonts w:ascii="Calibri"/>
                <w:b/>
                <w:color w:val="FFFFFF"/>
                <w:sz w:val="22"/>
              </w:rPr>
              <w:t>% Change</w:t>
            </w:r>
          </w:p>
          <w:p>
            <w:pPr>
              <w:pStyle w:val="TableParagraph"/>
              <w:spacing w:line="255" w:lineRule="exact" w:before="16"/>
              <w:ind w:left="166"/>
              <w:rPr>
                <w:rFonts w:ascii="Calibri"/>
                <w:b/>
                <w:sz w:val="22"/>
              </w:rPr>
            </w:pPr>
            <w:r>
              <w:rPr>
                <w:rFonts w:ascii="Calibri"/>
                <w:b/>
                <w:color w:val="FFFFFF"/>
                <w:sz w:val="22"/>
              </w:rPr>
              <w:t>CY to PY</w:t>
            </w:r>
          </w:p>
        </w:tc>
      </w:tr>
    </w:tbl>
    <w:p>
      <w:pPr>
        <w:spacing w:before="17"/>
        <w:ind w:left="243" w:right="0" w:firstLine="0"/>
        <w:jc w:val="left"/>
        <w:rPr>
          <w:sz w:val="20"/>
        </w:rPr>
      </w:pPr>
      <w:r>
        <w:rPr>
          <w:w w:val="105"/>
          <w:sz w:val="20"/>
        </w:rPr>
        <w:t>Operating Revenue</w:t>
      </w:r>
    </w:p>
    <w:p>
      <w:pPr>
        <w:spacing w:line="256" w:lineRule="auto" w:before="14"/>
        <w:ind w:left="564" w:right="8284" w:firstLine="0"/>
        <w:jc w:val="left"/>
        <w:rPr>
          <w:sz w:val="19"/>
        </w:rPr>
      </w:pPr>
      <w:r>
        <w:rPr/>
        <w:pict>
          <v:shape style="position:absolute;margin-left:187.142136pt;margin-top:2.638018pt;width:388.6pt;height:35.1pt;mso-position-horizontal-relative:page;mso-position-vertical-relative:paragraph;z-index:2518333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9"/>
                    <w:gridCol w:w="1202"/>
                    <w:gridCol w:w="997"/>
                    <w:gridCol w:w="931"/>
                    <w:gridCol w:w="1323"/>
                    <w:gridCol w:w="1060"/>
                    <w:gridCol w:w="953"/>
                  </w:tblGrid>
                  <w:tr>
                    <w:trPr>
                      <w:trHeight w:val="219" w:hRule="atLeast"/>
                    </w:trPr>
                    <w:tc>
                      <w:tcPr>
                        <w:tcW w:w="1309" w:type="dxa"/>
                      </w:tcPr>
                      <w:p>
                        <w:pPr>
                          <w:pStyle w:val="TableParagraph"/>
                          <w:spacing w:line="193" w:lineRule="exact"/>
                          <w:ind w:right="188"/>
                          <w:jc w:val="right"/>
                          <w:rPr>
                            <w:rFonts w:ascii="Calibri"/>
                            <w:sz w:val="19"/>
                          </w:rPr>
                        </w:pPr>
                        <w:r>
                          <w:rPr>
                            <w:rFonts w:ascii="Calibri"/>
                            <w:sz w:val="19"/>
                          </w:rPr>
                          <w:t>2,838,319</w:t>
                        </w:r>
                      </w:p>
                    </w:tc>
                    <w:tc>
                      <w:tcPr>
                        <w:tcW w:w="1202" w:type="dxa"/>
                      </w:tcPr>
                      <w:p>
                        <w:pPr>
                          <w:pStyle w:val="TableParagraph"/>
                          <w:spacing w:line="193" w:lineRule="exact"/>
                          <w:ind w:right="247"/>
                          <w:jc w:val="right"/>
                          <w:rPr>
                            <w:rFonts w:ascii="Calibri"/>
                            <w:sz w:val="19"/>
                          </w:rPr>
                        </w:pPr>
                        <w:r>
                          <w:rPr>
                            <w:rFonts w:ascii="Calibri"/>
                            <w:sz w:val="19"/>
                          </w:rPr>
                          <w:t>2,739,825</w:t>
                        </w:r>
                      </w:p>
                    </w:tc>
                    <w:tc>
                      <w:tcPr>
                        <w:tcW w:w="997" w:type="dxa"/>
                      </w:tcPr>
                      <w:p>
                        <w:pPr>
                          <w:pStyle w:val="TableParagraph"/>
                          <w:spacing w:line="193" w:lineRule="exact"/>
                          <w:ind w:left="228" w:right="154"/>
                          <w:jc w:val="center"/>
                          <w:rPr>
                            <w:rFonts w:ascii="Calibri"/>
                            <w:sz w:val="19"/>
                          </w:rPr>
                        </w:pPr>
                        <w:r>
                          <w:rPr>
                            <w:rFonts w:ascii="Calibri"/>
                            <w:sz w:val="19"/>
                          </w:rPr>
                          <w:t>98,494</w:t>
                        </w:r>
                      </w:p>
                    </w:tc>
                    <w:tc>
                      <w:tcPr>
                        <w:tcW w:w="931" w:type="dxa"/>
                      </w:tcPr>
                      <w:p>
                        <w:pPr>
                          <w:pStyle w:val="TableParagraph"/>
                          <w:spacing w:line="193" w:lineRule="exact"/>
                          <w:ind w:left="228"/>
                          <w:rPr>
                            <w:rFonts w:ascii="Calibri"/>
                            <w:sz w:val="19"/>
                          </w:rPr>
                        </w:pPr>
                        <w:r>
                          <w:rPr>
                            <w:rFonts w:ascii="Calibri"/>
                            <w:sz w:val="19"/>
                          </w:rPr>
                          <w:t>3.6%</w:t>
                        </w:r>
                      </w:p>
                    </w:tc>
                    <w:tc>
                      <w:tcPr>
                        <w:tcW w:w="1323" w:type="dxa"/>
                      </w:tcPr>
                      <w:p>
                        <w:pPr>
                          <w:pStyle w:val="TableParagraph"/>
                          <w:spacing w:line="193" w:lineRule="exact"/>
                          <w:ind w:right="261"/>
                          <w:jc w:val="right"/>
                          <w:rPr>
                            <w:rFonts w:ascii="Calibri"/>
                            <w:sz w:val="19"/>
                          </w:rPr>
                        </w:pPr>
                        <w:r>
                          <w:rPr>
                            <w:rFonts w:ascii="Calibri"/>
                            <w:sz w:val="19"/>
                          </w:rPr>
                          <w:t>2,616,518</w:t>
                        </w:r>
                      </w:p>
                    </w:tc>
                    <w:tc>
                      <w:tcPr>
                        <w:tcW w:w="1060" w:type="dxa"/>
                      </w:tcPr>
                      <w:p>
                        <w:pPr>
                          <w:pStyle w:val="TableParagraph"/>
                          <w:spacing w:line="193" w:lineRule="exact"/>
                          <w:ind w:right="179"/>
                          <w:jc w:val="right"/>
                          <w:rPr>
                            <w:rFonts w:ascii="Calibri"/>
                            <w:sz w:val="19"/>
                          </w:rPr>
                        </w:pPr>
                        <w:r>
                          <w:rPr>
                            <w:rFonts w:ascii="Calibri"/>
                            <w:sz w:val="19"/>
                          </w:rPr>
                          <w:t>221,801</w:t>
                        </w:r>
                      </w:p>
                    </w:tc>
                    <w:tc>
                      <w:tcPr>
                        <w:tcW w:w="953" w:type="dxa"/>
                      </w:tcPr>
                      <w:p>
                        <w:pPr>
                          <w:pStyle w:val="TableParagraph"/>
                          <w:spacing w:line="193" w:lineRule="exact"/>
                          <w:ind w:left="205"/>
                          <w:rPr>
                            <w:rFonts w:ascii="Calibri"/>
                            <w:sz w:val="19"/>
                          </w:rPr>
                        </w:pPr>
                        <w:r>
                          <w:rPr>
                            <w:rFonts w:ascii="Calibri"/>
                            <w:sz w:val="19"/>
                          </w:rPr>
                          <w:t>8.5%</w:t>
                        </w:r>
                      </w:p>
                    </w:tc>
                  </w:tr>
                  <w:tr>
                    <w:trPr>
                      <w:trHeight w:val="223" w:hRule="atLeast"/>
                    </w:trPr>
                    <w:tc>
                      <w:tcPr>
                        <w:tcW w:w="1309" w:type="dxa"/>
                        <w:tcBorders>
                          <w:bottom w:val="single" w:sz="4" w:space="0" w:color="000000"/>
                        </w:tcBorders>
                      </w:tcPr>
                      <w:p>
                        <w:pPr>
                          <w:pStyle w:val="TableParagraph"/>
                          <w:spacing w:line="203" w:lineRule="exact"/>
                          <w:ind w:right="188"/>
                          <w:jc w:val="right"/>
                          <w:rPr>
                            <w:rFonts w:ascii="Calibri"/>
                            <w:sz w:val="19"/>
                          </w:rPr>
                        </w:pPr>
                        <w:r>
                          <w:rPr>
                            <w:rFonts w:ascii="Calibri"/>
                            <w:sz w:val="19"/>
                          </w:rPr>
                          <w:t>579,653</w:t>
                        </w:r>
                      </w:p>
                    </w:tc>
                    <w:tc>
                      <w:tcPr>
                        <w:tcW w:w="1202" w:type="dxa"/>
                        <w:tcBorders>
                          <w:bottom w:val="single" w:sz="4" w:space="0" w:color="000000"/>
                        </w:tcBorders>
                      </w:tcPr>
                      <w:p>
                        <w:pPr>
                          <w:pStyle w:val="TableParagraph"/>
                          <w:spacing w:line="203" w:lineRule="exact"/>
                          <w:ind w:right="247"/>
                          <w:jc w:val="right"/>
                          <w:rPr>
                            <w:rFonts w:ascii="Calibri"/>
                            <w:sz w:val="19"/>
                          </w:rPr>
                        </w:pPr>
                        <w:r>
                          <w:rPr>
                            <w:rFonts w:ascii="Calibri"/>
                            <w:sz w:val="19"/>
                          </w:rPr>
                          <w:t>587,519</w:t>
                        </w:r>
                      </w:p>
                    </w:tc>
                    <w:tc>
                      <w:tcPr>
                        <w:tcW w:w="997" w:type="dxa"/>
                        <w:tcBorders>
                          <w:bottom w:val="single" w:sz="4" w:space="0" w:color="000000"/>
                        </w:tcBorders>
                      </w:tcPr>
                      <w:p>
                        <w:pPr>
                          <w:pStyle w:val="TableParagraph"/>
                          <w:spacing w:line="203" w:lineRule="exact"/>
                          <w:ind w:left="224" w:right="177"/>
                          <w:jc w:val="center"/>
                          <w:rPr>
                            <w:rFonts w:ascii="Calibri"/>
                            <w:sz w:val="19"/>
                          </w:rPr>
                        </w:pPr>
                        <w:r>
                          <w:rPr>
                            <w:rFonts w:ascii="Calibri"/>
                            <w:color w:val="FF0000"/>
                            <w:sz w:val="19"/>
                          </w:rPr>
                          <w:t>(7,866)</w:t>
                        </w:r>
                      </w:p>
                    </w:tc>
                    <w:tc>
                      <w:tcPr>
                        <w:tcW w:w="931" w:type="dxa"/>
                        <w:tcBorders>
                          <w:bottom w:val="single" w:sz="4" w:space="0" w:color="000000"/>
                        </w:tcBorders>
                      </w:tcPr>
                      <w:p>
                        <w:pPr>
                          <w:pStyle w:val="TableParagraph"/>
                          <w:spacing w:line="203" w:lineRule="exact"/>
                          <w:ind w:left="199"/>
                          <w:rPr>
                            <w:rFonts w:ascii="Calibri"/>
                            <w:sz w:val="19"/>
                          </w:rPr>
                        </w:pPr>
                        <w:r>
                          <w:rPr>
                            <w:rFonts w:ascii="Calibri"/>
                            <w:sz w:val="19"/>
                          </w:rPr>
                          <w:t>-1.3%</w:t>
                        </w:r>
                      </w:p>
                    </w:tc>
                    <w:tc>
                      <w:tcPr>
                        <w:tcW w:w="1323" w:type="dxa"/>
                        <w:tcBorders>
                          <w:bottom w:val="single" w:sz="4" w:space="0" w:color="000000"/>
                        </w:tcBorders>
                      </w:tcPr>
                      <w:p>
                        <w:pPr>
                          <w:pStyle w:val="TableParagraph"/>
                          <w:spacing w:line="203" w:lineRule="exact"/>
                          <w:ind w:right="261"/>
                          <w:jc w:val="right"/>
                          <w:rPr>
                            <w:rFonts w:ascii="Calibri"/>
                            <w:sz w:val="19"/>
                          </w:rPr>
                        </w:pPr>
                        <w:r>
                          <w:rPr>
                            <w:rFonts w:ascii="Calibri"/>
                            <w:sz w:val="19"/>
                          </w:rPr>
                          <w:t>587,178</w:t>
                        </w:r>
                      </w:p>
                    </w:tc>
                    <w:tc>
                      <w:tcPr>
                        <w:tcW w:w="1060" w:type="dxa"/>
                        <w:tcBorders>
                          <w:bottom w:val="single" w:sz="4" w:space="0" w:color="000000"/>
                        </w:tcBorders>
                      </w:tcPr>
                      <w:p>
                        <w:pPr>
                          <w:pStyle w:val="TableParagraph"/>
                          <w:spacing w:line="203" w:lineRule="exact"/>
                          <w:ind w:right="182"/>
                          <w:jc w:val="right"/>
                          <w:rPr>
                            <w:rFonts w:ascii="Calibri"/>
                            <w:sz w:val="19"/>
                          </w:rPr>
                        </w:pPr>
                        <w:r>
                          <w:rPr>
                            <w:rFonts w:ascii="Calibri"/>
                            <w:color w:val="FF0000"/>
                            <w:sz w:val="19"/>
                          </w:rPr>
                          <w:t>(7,525)</w:t>
                        </w:r>
                      </w:p>
                    </w:tc>
                    <w:tc>
                      <w:tcPr>
                        <w:tcW w:w="953" w:type="dxa"/>
                        <w:tcBorders>
                          <w:bottom w:val="single" w:sz="4" w:space="0" w:color="000000"/>
                        </w:tcBorders>
                      </w:tcPr>
                      <w:p>
                        <w:pPr>
                          <w:pStyle w:val="TableParagraph"/>
                          <w:spacing w:line="203" w:lineRule="exact"/>
                          <w:ind w:left="175"/>
                          <w:rPr>
                            <w:rFonts w:ascii="Calibri"/>
                            <w:sz w:val="19"/>
                          </w:rPr>
                        </w:pPr>
                        <w:r>
                          <w:rPr>
                            <w:rFonts w:ascii="Calibri"/>
                            <w:sz w:val="19"/>
                          </w:rPr>
                          <w:t>-1.3%</w:t>
                        </w:r>
                      </w:p>
                    </w:tc>
                  </w:tr>
                  <w:tr>
                    <w:trPr>
                      <w:trHeight w:val="238" w:hRule="atLeast"/>
                    </w:trPr>
                    <w:tc>
                      <w:tcPr>
                        <w:tcW w:w="1309" w:type="dxa"/>
                        <w:tcBorders>
                          <w:top w:val="single" w:sz="4" w:space="0" w:color="000000"/>
                          <w:bottom w:val="single" w:sz="4" w:space="0" w:color="000000"/>
                        </w:tcBorders>
                      </w:tcPr>
                      <w:p>
                        <w:pPr>
                          <w:pStyle w:val="TableParagraph"/>
                          <w:spacing w:line="212" w:lineRule="exact" w:before="6"/>
                          <w:ind w:right="188"/>
                          <w:jc w:val="right"/>
                          <w:rPr>
                            <w:rFonts w:ascii="Calibri"/>
                            <w:sz w:val="19"/>
                          </w:rPr>
                        </w:pPr>
                        <w:r>
                          <w:rPr>
                            <w:rFonts w:ascii="Calibri"/>
                            <w:sz w:val="19"/>
                          </w:rPr>
                          <w:t>3,417,972</w:t>
                        </w:r>
                      </w:p>
                    </w:tc>
                    <w:tc>
                      <w:tcPr>
                        <w:tcW w:w="1202" w:type="dxa"/>
                        <w:tcBorders>
                          <w:top w:val="single" w:sz="4" w:space="0" w:color="000000"/>
                          <w:bottom w:val="single" w:sz="4" w:space="0" w:color="000000"/>
                        </w:tcBorders>
                      </w:tcPr>
                      <w:p>
                        <w:pPr>
                          <w:pStyle w:val="TableParagraph"/>
                          <w:spacing w:line="212" w:lineRule="exact" w:before="6"/>
                          <w:ind w:right="247"/>
                          <w:jc w:val="right"/>
                          <w:rPr>
                            <w:rFonts w:ascii="Calibri"/>
                            <w:sz w:val="19"/>
                          </w:rPr>
                        </w:pPr>
                        <w:r>
                          <w:rPr>
                            <w:rFonts w:ascii="Calibri"/>
                            <w:sz w:val="19"/>
                          </w:rPr>
                          <w:t>3,327,344</w:t>
                        </w:r>
                      </w:p>
                    </w:tc>
                    <w:tc>
                      <w:tcPr>
                        <w:tcW w:w="997" w:type="dxa"/>
                        <w:tcBorders>
                          <w:top w:val="single" w:sz="4" w:space="0" w:color="000000"/>
                          <w:bottom w:val="single" w:sz="4" w:space="0" w:color="000000"/>
                        </w:tcBorders>
                      </w:tcPr>
                      <w:p>
                        <w:pPr>
                          <w:pStyle w:val="TableParagraph"/>
                          <w:spacing w:line="212" w:lineRule="exact" w:before="6"/>
                          <w:ind w:left="228" w:right="154"/>
                          <w:jc w:val="center"/>
                          <w:rPr>
                            <w:rFonts w:ascii="Calibri"/>
                            <w:sz w:val="19"/>
                          </w:rPr>
                        </w:pPr>
                        <w:r>
                          <w:rPr>
                            <w:rFonts w:ascii="Calibri"/>
                            <w:sz w:val="19"/>
                          </w:rPr>
                          <w:t>90,628</w:t>
                        </w:r>
                      </w:p>
                    </w:tc>
                    <w:tc>
                      <w:tcPr>
                        <w:tcW w:w="931" w:type="dxa"/>
                        <w:tcBorders>
                          <w:top w:val="single" w:sz="4" w:space="0" w:color="000000"/>
                          <w:bottom w:val="single" w:sz="4" w:space="0" w:color="000000"/>
                        </w:tcBorders>
                      </w:tcPr>
                      <w:p>
                        <w:pPr>
                          <w:pStyle w:val="TableParagraph"/>
                          <w:spacing w:line="212" w:lineRule="exact" w:before="6"/>
                          <w:ind w:left="228"/>
                          <w:rPr>
                            <w:rFonts w:ascii="Calibri"/>
                            <w:sz w:val="19"/>
                          </w:rPr>
                        </w:pPr>
                        <w:r>
                          <w:rPr>
                            <w:rFonts w:ascii="Calibri"/>
                            <w:sz w:val="19"/>
                          </w:rPr>
                          <w:t>2.7%</w:t>
                        </w:r>
                      </w:p>
                    </w:tc>
                    <w:tc>
                      <w:tcPr>
                        <w:tcW w:w="1323" w:type="dxa"/>
                        <w:tcBorders>
                          <w:top w:val="single" w:sz="4" w:space="0" w:color="000000"/>
                          <w:bottom w:val="single" w:sz="4" w:space="0" w:color="000000"/>
                        </w:tcBorders>
                      </w:tcPr>
                      <w:p>
                        <w:pPr>
                          <w:pStyle w:val="TableParagraph"/>
                          <w:spacing w:line="212" w:lineRule="exact" w:before="6"/>
                          <w:ind w:right="261"/>
                          <w:jc w:val="right"/>
                          <w:rPr>
                            <w:rFonts w:ascii="Calibri"/>
                            <w:sz w:val="19"/>
                          </w:rPr>
                        </w:pPr>
                        <w:r>
                          <w:rPr>
                            <w:rFonts w:ascii="Calibri"/>
                            <w:sz w:val="19"/>
                          </w:rPr>
                          <w:t>3,203,696</w:t>
                        </w:r>
                      </w:p>
                    </w:tc>
                    <w:tc>
                      <w:tcPr>
                        <w:tcW w:w="1060" w:type="dxa"/>
                        <w:tcBorders>
                          <w:top w:val="single" w:sz="4" w:space="0" w:color="000000"/>
                          <w:bottom w:val="single" w:sz="4" w:space="0" w:color="000000"/>
                        </w:tcBorders>
                      </w:tcPr>
                      <w:p>
                        <w:pPr>
                          <w:pStyle w:val="TableParagraph"/>
                          <w:spacing w:line="212" w:lineRule="exact" w:before="6"/>
                          <w:ind w:right="179"/>
                          <w:jc w:val="right"/>
                          <w:rPr>
                            <w:rFonts w:ascii="Calibri"/>
                            <w:sz w:val="19"/>
                          </w:rPr>
                        </w:pPr>
                        <w:r>
                          <w:rPr>
                            <w:rFonts w:ascii="Calibri"/>
                            <w:sz w:val="19"/>
                          </w:rPr>
                          <w:t>214,276</w:t>
                        </w:r>
                      </w:p>
                    </w:tc>
                    <w:tc>
                      <w:tcPr>
                        <w:tcW w:w="953" w:type="dxa"/>
                        <w:tcBorders>
                          <w:top w:val="single" w:sz="4" w:space="0" w:color="000000"/>
                          <w:bottom w:val="single" w:sz="4" w:space="0" w:color="000000"/>
                        </w:tcBorders>
                      </w:tcPr>
                      <w:p>
                        <w:pPr>
                          <w:pStyle w:val="TableParagraph"/>
                          <w:spacing w:line="212" w:lineRule="exact" w:before="6"/>
                          <w:ind w:left="205"/>
                          <w:rPr>
                            <w:rFonts w:ascii="Calibri"/>
                            <w:sz w:val="19"/>
                          </w:rPr>
                        </w:pPr>
                        <w:r>
                          <w:rPr>
                            <w:rFonts w:ascii="Calibri"/>
                            <w:sz w:val="19"/>
                          </w:rPr>
                          <w:t>6.7%</w:t>
                        </w:r>
                      </w:p>
                    </w:tc>
                  </w:tr>
                </w:tbl>
                <w:p>
                  <w:pPr>
                    <w:pStyle w:val="BodyText"/>
                  </w:pPr>
                </w:p>
              </w:txbxContent>
            </v:textbox>
            <w10:wrap type="none"/>
          </v:shape>
        </w:pict>
      </w:r>
      <w:r>
        <w:rPr>
          <w:sz w:val="19"/>
        </w:rPr>
        <w:t>Passenger Revenues Advertising &amp; Other Revenue</w:t>
      </w:r>
    </w:p>
    <w:p>
      <w:pPr>
        <w:spacing w:before="1"/>
        <w:ind w:left="690" w:right="0" w:firstLine="0"/>
        <w:jc w:val="left"/>
        <w:rPr>
          <w:sz w:val="19"/>
        </w:rPr>
      </w:pPr>
      <w:r>
        <w:rPr>
          <w:sz w:val="19"/>
        </w:rPr>
        <w:t>Total Operating Revenue</w:t>
      </w:r>
    </w:p>
    <w:p>
      <w:pPr>
        <w:spacing w:line="530" w:lineRule="atLeast" w:before="19"/>
        <w:ind w:left="340" w:right="2605" w:hanging="181"/>
        <w:jc w:val="both"/>
        <w:rPr>
          <w:sz w:val="22"/>
        </w:rPr>
      </w:pPr>
      <w:r>
        <w:rPr/>
        <w:drawing>
          <wp:anchor distT="0" distB="0" distL="0" distR="0" allowOverlap="1" layoutInCell="1" locked="0" behindDoc="1" simplePos="0" relativeHeight="236449792">
            <wp:simplePos x="0" y="0"/>
            <wp:positionH relativeFrom="page">
              <wp:posOffset>3910965</wp:posOffset>
            </wp:positionH>
            <wp:positionV relativeFrom="paragraph">
              <wp:posOffset>581458</wp:posOffset>
            </wp:positionV>
            <wp:extent cx="3405503" cy="2440297"/>
            <wp:effectExtent l="0" t="0" r="0" b="0"/>
            <wp:wrapNone/>
            <wp:docPr id="95" name="image53.png"/>
            <wp:cNvGraphicFramePr>
              <a:graphicFrameLocks noChangeAspect="1"/>
            </wp:cNvGraphicFramePr>
            <a:graphic>
              <a:graphicData uri="http://schemas.openxmlformats.org/drawingml/2006/picture">
                <pic:pic>
                  <pic:nvPicPr>
                    <pic:cNvPr id="96" name="image53.png"/>
                    <pic:cNvPicPr/>
                  </pic:nvPicPr>
                  <pic:blipFill>
                    <a:blip r:embed="rId151" cstate="print"/>
                    <a:stretch>
                      <a:fillRect/>
                    </a:stretch>
                  </pic:blipFill>
                  <pic:spPr>
                    <a:xfrm>
                      <a:off x="0" y="0"/>
                      <a:ext cx="3405503" cy="2440297"/>
                    </a:xfrm>
                    <a:prstGeom prst="rect">
                      <a:avLst/>
                    </a:prstGeom>
                  </pic:spPr>
                </pic:pic>
              </a:graphicData>
            </a:graphic>
          </wp:anchor>
        </w:drawing>
      </w:r>
      <w:r>
        <w:rPr>
          <w:color w:val="000099"/>
          <w:sz w:val="22"/>
        </w:rPr>
        <w:t>Passenger revenues </w:t>
      </w:r>
      <w:r>
        <w:rPr>
          <w:sz w:val="22"/>
        </w:rPr>
        <w:t>are performing 3.6% over budget expectations, and 8.5% over prior year. </w:t>
      </w:r>
      <w:r>
        <w:rPr>
          <w:color w:val="000099"/>
          <w:sz w:val="22"/>
        </w:rPr>
        <w:t>Regular line passenger revenues </w:t>
      </w:r>
      <w:r>
        <w:rPr>
          <w:sz w:val="22"/>
        </w:rPr>
        <w:t>are performing 4.6%</w:t>
      </w:r>
    </w:p>
    <w:p>
      <w:pPr>
        <w:spacing w:before="7"/>
        <w:ind w:left="340" w:right="5696" w:firstLine="0"/>
        <w:jc w:val="both"/>
        <w:rPr>
          <w:sz w:val="22"/>
        </w:rPr>
      </w:pPr>
      <w:r>
        <w:rPr>
          <w:sz w:val="22"/>
        </w:rPr>
        <w:t>over budget expectations, and 7.4% over prior year. This favorable variance is primarily driven by higher-than- anticipated farebox collections. Total ridership across both fixed-route and demand response services is up 8.74% compared to prior year, reflecting increased utilization of transit services. These gains have been slightly offset by lower-than-expected pass sales.</w:t>
      </w:r>
    </w:p>
    <w:p>
      <w:pPr>
        <w:spacing w:line="240" w:lineRule="auto" w:before="11"/>
        <w:rPr>
          <w:sz w:val="21"/>
        </w:rPr>
      </w:pPr>
    </w:p>
    <w:p>
      <w:pPr>
        <w:spacing w:before="1"/>
        <w:ind w:left="339" w:right="5697" w:firstLine="0"/>
        <w:jc w:val="both"/>
        <w:rPr>
          <w:sz w:val="22"/>
        </w:rPr>
      </w:pPr>
      <w:r>
        <w:rPr>
          <w:color w:val="000099"/>
          <w:sz w:val="22"/>
        </w:rPr>
        <w:t>Special line passenger revenues </w:t>
      </w:r>
      <w:r>
        <w:rPr>
          <w:sz w:val="22"/>
        </w:rPr>
        <w:t>are meeting budget expectations and have increased 9% year-over-year. This improvement is attributed to scheduled contract rate increases</w:t>
      </w:r>
      <w:r>
        <w:rPr>
          <w:spacing w:val="-14"/>
          <w:sz w:val="22"/>
        </w:rPr>
        <w:t> </w:t>
      </w:r>
      <w:r>
        <w:rPr>
          <w:sz w:val="22"/>
        </w:rPr>
        <w:t>and</w:t>
      </w:r>
      <w:r>
        <w:rPr>
          <w:spacing w:val="-12"/>
          <w:sz w:val="22"/>
        </w:rPr>
        <w:t> </w:t>
      </w:r>
      <w:r>
        <w:rPr>
          <w:sz w:val="22"/>
        </w:rPr>
        <w:t>expanded</w:t>
      </w:r>
      <w:r>
        <w:rPr>
          <w:spacing w:val="-15"/>
          <w:sz w:val="22"/>
        </w:rPr>
        <w:t> </w:t>
      </w:r>
      <w:r>
        <w:rPr>
          <w:sz w:val="22"/>
        </w:rPr>
        <w:t>service</w:t>
      </w:r>
      <w:r>
        <w:rPr>
          <w:spacing w:val="-12"/>
          <w:sz w:val="22"/>
        </w:rPr>
        <w:t> </w:t>
      </w:r>
      <w:r>
        <w:rPr>
          <w:sz w:val="22"/>
        </w:rPr>
        <w:t>levels</w:t>
      </w:r>
      <w:r>
        <w:rPr>
          <w:spacing w:val="-11"/>
          <w:sz w:val="22"/>
        </w:rPr>
        <w:t> </w:t>
      </w:r>
      <w:r>
        <w:rPr>
          <w:sz w:val="22"/>
        </w:rPr>
        <w:t>under</w:t>
      </w:r>
      <w:r>
        <w:rPr>
          <w:spacing w:val="-14"/>
          <w:sz w:val="22"/>
        </w:rPr>
        <w:t> </w:t>
      </w:r>
      <w:r>
        <w:rPr>
          <w:sz w:val="22"/>
        </w:rPr>
        <w:t>the</w:t>
      </w:r>
      <w:r>
        <w:rPr>
          <w:spacing w:val="-11"/>
          <w:sz w:val="22"/>
        </w:rPr>
        <w:t> </w:t>
      </w:r>
      <w:r>
        <w:rPr>
          <w:sz w:val="22"/>
        </w:rPr>
        <w:t>Syracuse University contract.</w:t>
      </w:r>
    </w:p>
    <w:p>
      <w:pPr>
        <w:spacing w:before="196"/>
        <w:ind w:left="160" w:right="0" w:firstLine="0"/>
        <w:jc w:val="left"/>
        <w:rPr>
          <w:sz w:val="22"/>
        </w:rPr>
      </w:pPr>
      <w:r>
        <w:rPr>
          <w:color w:val="000099"/>
          <w:sz w:val="22"/>
        </w:rPr>
        <w:t>Advertising and other revenues </w:t>
      </w:r>
      <w:r>
        <w:rPr>
          <w:sz w:val="22"/>
        </w:rPr>
        <w:t>are performing inline with budget expectations and prior year.</w:t>
      </w:r>
    </w:p>
    <w:p>
      <w:pPr>
        <w:spacing w:line="240" w:lineRule="auto" w:before="1"/>
        <w:rPr>
          <w:sz w:val="22"/>
        </w:rPr>
      </w:pPr>
    </w:p>
    <w:p>
      <w:pPr>
        <w:pStyle w:val="BodyText"/>
        <w:ind w:left="160"/>
        <w:rPr>
          <w:rFonts w:ascii="Calibri"/>
        </w:rPr>
      </w:pPr>
      <w:r>
        <w:rPr>
          <w:rFonts w:ascii="Calibri"/>
          <w:color w:val="000099"/>
        </w:rPr>
        <w:t>Operating Expenses</w:t>
      </w:r>
    </w:p>
    <w:p>
      <w:pPr>
        <w:spacing w:before="194"/>
        <w:ind w:left="160" w:right="153" w:firstLine="0"/>
        <w:jc w:val="both"/>
        <w:rPr>
          <w:sz w:val="22"/>
        </w:rPr>
      </w:pPr>
      <w:r>
        <w:rPr>
          <w:sz w:val="22"/>
        </w:rPr>
        <w:t>As of June 30, 2025, total operating expenses amount to $21.5 million, which is $4 million (15.8%) under budget expectations. Expenses remain consistent with prior year levels, reflecting the Authority’s continued focus on cost management and operational efficiency.</w:t>
      </w:r>
    </w:p>
    <w:p>
      <w:pPr>
        <w:spacing w:line="240" w:lineRule="auto" w:before="8" w:after="0"/>
        <w:rPr>
          <w:sz w:val="16"/>
        </w:rPr>
      </w:pPr>
    </w:p>
    <w:tbl>
      <w:tblPr>
        <w:tblW w:w="0" w:type="auto"/>
        <w:jc w:val="left"/>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0"/>
        <w:gridCol w:w="1143"/>
        <w:gridCol w:w="1143"/>
        <w:gridCol w:w="1048"/>
        <w:gridCol w:w="1179"/>
        <w:gridCol w:w="1012"/>
        <w:gridCol w:w="1143"/>
        <w:gridCol w:w="1101"/>
      </w:tblGrid>
      <w:tr>
        <w:trPr>
          <w:trHeight w:val="568" w:hRule="atLeast"/>
        </w:trPr>
        <w:tc>
          <w:tcPr>
            <w:tcW w:w="3020" w:type="dxa"/>
            <w:tcBorders>
              <w:right w:val="single" w:sz="4" w:space="0" w:color="FFFFFF"/>
            </w:tcBorders>
            <w:shd w:val="clear" w:color="auto" w:fill="1F3763"/>
          </w:tcPr>
          <w:p>
            <w:pPr>
              <w:pStyle w:val="TableParagraph"/>
              <w:rPr>
                <w:rFonts w:ascii="Times New Roman"/>
                <w:sz w:val="20"/>
              </w:rPr>
            </w:pPr>
          </w:p>
        </w:tc>
        <w:tc>
          <w:tcPr>
            <w:tcW w:w="1143" w:type="dxa"/>
            <w:tcBorders>
              <w:left w:val="single" w:sz="4" w:space="0" w:color="FFFFFF"/>
              <w:right w:val="single" w:sz="4" w:space="0" w:color="FFFFFF"/>
            </w:tcBorders>
            <w:shd w:val="clear" w:color="auto" w:fill="1F3763"/>
          </w:tcPr>
          <w:p>
            <w:pPr>
              <w:pStyle w:val="TableParagraph"/>
              <w:spacing w:before="152"/>
              <w:ind w:left="277"/>
              <w:rPr>
                <w:rFonts w:ascii="Calibri"/>
                <w:b/>
                <w:sz w:val="22"/>
              </w:rPr>
            </w:pPr>
            <w:r>
              <w:rPr>
                <w:rFonts w:ascii="Calibri"/>
                <w:b/>
                <w:color w:val="FFFFFF"/>
                <w:sz w:val="22"/>
              </w:rPr>
              <w:t>Actual</w:t>
            </w:r>
          </w:p>
        </w:tc>
        <w:tc>
          <w:tcPr>
            <w:tcW w:w="1143" w:type="dxa"/>
            <w:tcBorders>
              <w:left w:val="single" w:sz="4" w:space="0" w:color="FFFFFF"/>
              <w:right w:val="single" w:sz="4" w:space="0" w:color="FFFFFF"/>
            </w:tcBorders>
            <w:shd w:val="clear" w:color="auto" w:fill="1F3763"/>
          </w:tcPr>
          <w:p>
            <w:pPr>
              <w:pStyle w:val="TableParagraph"/>
              <w:spacing w:before="152"/>
              <w:ind w:left="235"/>
              <w:rPr>
                <w:rFonts w:ascii="Calibri"/>
                <w:b/>
                <w:sz w:val="22"/>
              </w:rPr>
            </w:pPr>
            <w:r>
              <w:rPr>
                <w:rFonts w:ascii="Calibri"/>
                <w:b/>
                <w:color w:val="FFFFFF"/>
                <w:sz w:val="22"/>
              </w:rPr>
              <w:t>Budget</w:t>
            </w:r>
          </w:p>
        </w:tc>
        <w:tc>
          <w:tcPr>
            <w:tcW w:w="1048" w:type="dxa"/>
            <w:tcBorders>
              <w:left w:val="single" w:sz="4" w:space="0" w:color="FFFFFF"/>
              <w:right w:val="single" w:sz="4" w:space="0" w:color="FFFFFF"/>
            </w:tcBorders>
            <w:shd w:val="clear" w:color="auto" w:fill="1F3763"/>
          </w:tcPr>
          <w:p>
            <w:pPr>
              <w:pStyle w:val="TableParagraph"/>
              <w:spacing w:before="9"/>
              <w:ind w:left="187"/>
              <w:rPr>
                <w:rFonts w:ascii="Calibri"/>
                <w:b/>
                <w:sz w:val="22"/>
              </w:rPr>
            </w:pPr>
            <w:r>
              <w:rPr>
                <w:rFonts w:ascii="Calibri"/>
                <w:b/>
                <w:color w:val="FFFFFF"/>
                <w:sz w:val="22"/>
              </w:rPr>
              <w:t>Budget</w:t>
            </w:r>
          </w:p>
          <w:p>
            <w:pPr>
              <w:pStyle w:val="TableParagraph"/>
              <w:spacing w:line="255" w:lineRule="exact" w:before="16"/>
              <w:ind w:left="175"/>
              <w:rPr>
                <w:rFonts w:ascii="Calibri"/>
                <w:b/>
                <w:sz w:val="22"/>
              </w:rPr>
            </w:pPr>
            <w:r>
              <w:rPr>
                <w:rFonts w:ascii="Calibri"/>
                <w:b/>
                <w:color w:val="FFFFFF"/>
                <w:sz w:val="22"/>
              </w:rPr>
              <w:t>Change</w:t>
            </w:r>
          </w:p>
        </w:tc>
        <w:tc>
          <w:tcPr>
            <w:tcW w:w="1179" w:type="dxa"/>
            <w:tcBorders>
              <w:left w:val="single" w:sz="4" w:space="0" w:color="FFFFFF"/>
              <w:right w:val="single" w:sz="4" w:space="0" w:color="FFFFFF"/>
            </w:tcBorders>
            <w:shd w:val="clear" w:color="auto" w:fill="1F3763"/>
          </w:tcPr>
          <w:p>
            <w:pPr>
              <w:pStyle w:val="TableParagraph"/>
              <w:spacing w:before="9"/>
              <w:ind w:left="132"/>
              <w:rPr>
                <w:rFonts w:ascii="Calibri"/>
                <w:b/>
                <w:sz w:val="22"/>
              </w:rPr>
            </w:pPr>
            <w:r>
              <w:rPr>
                <w:rFonts w:ascii="Calibri"/>
                <w:b/>
                <w:color w:val="FFFFFF"/>
                <w:sz w:val="22"/>
              </w:rPr>
              <w:t>%</w:t>
            </w:r>
            <w:r>
              <w:rPr>
                <w:rFonts w:ascii="Calibri"/>
                <w:b/>
                <w:color w:val="FFFFFF"/>
                <w:spacing w:val="-1"/>
                <w:sz w:val="22"/>
              </w:rPr>
              <w:t> </w:t>
            </w:r>
            <w:r>
              <w:rPr>
                <w:rFonts w:ascii="Calibri"/>
                <w:b/>
                <w:color w:val="FFFFFF"/>
                <w:sz w:val="22"/>
              </w:rPr>
              <w:t>Change</w:t>
            </w:r>
          </w:p>
          <w:p>
            <w:pPr>
              <w:pStyle w:val="TableParagraph"/>
              <w:spacing w:line="255" w:lineRule="exact" w:before="16"/>
              <w:ind w:left="127"/>
              <w:rPr>
                <w:rFonts w:ascii="Calibri"/>
                <w:b/>
                <w:sz w:val="22"/>
              </w:rPr>
            </w:pPr>
            <w:r>
              <w:rPr>
                <w:rFonts w:ascii="Calibri"/>
                <w:b/>
                <w:color w:val="FFFFFF"/>
                <w:sz w:val="22"/>
              </w:rPr>
              <w:t>to</w:t>
            </w:r>
            <w:r>
              <w:rPr>
                <w:rFonts w:ascii="Calibri"/>
                <w:b/>
                <w:color w:val="FFFFFF"/>
                <w:spacing w:val="3"/>
                <w:sz w:val="22"/>
              </w:rPr>
              <w:t> </w:t>
            </w:r>
            <w:r>
              <w:rPr>
                <w:rFonts w:ascii="Calibri"/>
                <w:b/>
                <w:color w:val="FFFFFF"/>
                <w:sz w:val="22"/>
              </w:rPr>
              <w:t>Budget</w:t>
            </w:r>
          </w:p>
        </w:tc>
        <w:tc>
          <w:tcPr>
            <w:tcW w:w="1012" w:type="dxa"/>
            <w:tcBorders>
              <w:left w:val="single" w:sz="4" w:space="0" w:color="FFFFFF"/>
              <w:right w:val="single" w:sz="4" w:space="0" w:color="FFFFFF"/>
            </w:tcBorders>
            <w:shd w:val="clear" w:color="auto" w:fill="1F3763"/>
          </w:tcPr>
          <w:p>
            <w:pPr>
              <w:pStyle w:val="TableParagraph"/>
              <w:spacing w:before="9"/>
              <w:ind w:left="22" w:right="31"/>
              <w:jc w:val="center"/>
              <w:rPr>
                <w:rFonts w:ascii="Calibri"/>
                <w:b/>
                <w:sz w:val="22"/>
              </w:rPr>
            </w:pPr>
            <w:r>
              <w:rPr>
                <w:rFonts w:ascii="Calibri"/>
                <w:b/>
                <w:color w:val="FFFFFF"/>
                <w:sz w:val="22"/>
              </w:rPr>
              <w:t>Prior Year</w:t>
            </w:r>
          </w:p>
          <w:p>
            <w:pPr>
              <w:pStyle w:val="TableParagraph"/>
              <w:spacing w:line="255" w:lineRule="exact" w:before="16"/>
              <w:ind w:left="22" w:right="25"/>
              <w:jc w:val="center"/>
              <w:rPr>
                <w:rFonts w:ascii="Calibri"/>
                <w:b/>
                <w:sz w:val="22"/>
              </w:rPr>
            </w:pPr>
            <w:r>
              <w:rPr>
                <w:rFonts w:ascii="Calibri"/>
                <w:b/>
                <w:color w:val="FFFFFF"/>
                <w:sz w:val="22"/>
              </w:rPr>
              <w:t>Actual</w:t>
            </w:r>
          </w:p>
        </w:tc>
        <w:tc>
          <w:tcPr>
            <w:tcW w:w="1143" w:type="dxa"/>
            <w:tcBorders>
              <w:left w:val="single" w:sz="4" w:space="0" w:color="FFFFFF"/>
              <w:right w:val="single" w:sz="4" w:space="0" w:color="FFFFFF"/>
            </w:tcBorders>
            <w:shd w:val="clear" w:color="auto" w:fill="1F3763"/>
          </w:tcPr>
          <w:p>
            <w:pPr>
              <w:pStyle w:val="TableParagraph"/>
              <w:spacing w:before="9"/>
              <w:ind w:left="185"/>
              <w:rPr>
                <w:rFonts w:ascii="Calibri"/>
                <w:b/>
                <w:sz w:val="22"/>
              </w:rPr>
            </w:pPr>
            <w:r>
              <w:rPr>
                <w:rFonts w:ascii="Calibri"/>
                <w:b/>
                <w:color w:val="FFFFFF"/>
                <w:sz w:val="22"/>
              </w:rPr>
              <w:t>CY to</w:t>
            </w:r>
            <w:r>
              <w:rPr>
                <w:rFonts w:ascii="Calibri"/>
                <w:b/>
                <w:color w:val="FFFFFF"/>
                <w:spacing w:val="-2"/>
                <w:sz w:val="22"/>
              </w:rPr>
              <w:t> </w:t>
            </w:r>
            <w:r>
              <w:rPr>
                <w:rFonts w:ascii="Calibri"/>
                <w:b/>
                <w:color w:val="FFFFFF"/>
                <w:sz w:val="22"/>
              </w:rPr>
              <w:t>PY</w:t>
            </w:r>
          </w:p>
          <w:p>
            <w:pPr>
              <w:pStyle w:val="TableParagraph"/>
              <w:spacing w:line="255" w:lineRule="exact" w:before="16"/>
              <w:ind w:left="221"/>
              <w:rPr>
                <w:rFonts w:ascii="Calibri"/>
                <w:b/>
                <w:sz w:val="22"/>
              </w:rPr>
            </w:pPr>
            <w:r>
              <w:rPr>
                <w:rFonts w:ascii="Calibri"/>
                <w:b/>
                <w:color w:val="FFFFFF"/>
                <w:sz w:val="22"/>
              </w:rPr>
              <w:t>Change</w:t>
            </w:r>
          </w:p>
        </w:tc>
        <w:tc>
          <w:tcPr>
            <w:tcW w:w="1101" w:type="dxa"/>
            <w:tcBorders>
              <w:left w:val="single" w:sz="4" w:space="0" w:color="FFFFFF"/>
              <w:right w:val="single" w:sz="4" w:space="0" w:color="FFFFFF"/>
            </w:tcBorders>
            <w:shd w:val="clear" w:color="auto" w:fill="1F3763"/>
          </w:tcPr>
          <w:p>
            <w:pPr>
              <w:pStyle w:val="TableParagraph"/>
              <w:spacing w:before="9"/>
              <w:ind w:left="95"/>
              <w:rPr>
                <w:rFonts w:ascii="Calibri"/>
                <w:b/>
                <w:sz w:val="22"/>
              </w:rPr>
            </w:pPr>
            <w:r>
              <w:rPr>
                <w:rFonts w:ascii="Calibri"/>
                <w:b/>
                <w:color w:val="FFFFFF"/>
                <w:sz w:val="22"/>
              </w:rPr>
              <w:t>% Change</w:t>
            </w:r>
          </w:p>
          <w:p>
            <w:pPr>
              <w:pStyle w:val="TableParagraph"/>
              <w:spacing w:line="255" w:lineRule="exact" w:before="16"/>
              <w:ind w:left="166"/>
              <w:rPr>
                <w:rFonts w:ascii="Calibri"/>
                <w:b/>
                <w:sz w:val="22"/>
              </w:rPr>
            </w:pPr>
            <w:r>
              <w:rPr>
                <w:rFonts w:ascii="Calibri"/>
                <w:b/>
                <w:color w:val="FFFFFF"/>
                <w:sz w:val="22"/>
              </w:rPr>
              <w:t>CY to PY</w:t>
            </w:r>
          </w:p>
        </w:tc>
      </w:tr>
    </w:tbl>
    <w:p>
      <w:pPr>
        <w:spacing w:before="17" w:after="53"/>
        <w:ind w:left="243" w:right="0" w:firstLine="0"/>
        <w:jc w:val="both"/>
        <w:rPr>
          <w:sz w:val="20"/>
        </w:rPr>
      </w:pPr>
      <w:r>
        <w:rPr/>
        <w:drawing>
          <wp:anchor distT="0" distB="0" distL="0" distR="0" allowOverlap="1" layoutInCell="1" locked="0" behindDoc="1" simplePos="0" relativeHeight="236448768">
            <wp:simplePos x="0" y="0"/>
            <wp:positionH relativeFrom="page">
              <wp:posOffset>2457767</wp:posOffset>
            </wp:positionH>
            <wp:positionV relativeFrom="paragraph">
              <wp:posOffset>565386</wp:posOffset>
            </wp:positionV>
            <wp:extent cx="2828919" cy="857250"/>
            <wp:effectExtent l="0" t="0" r="0" b="0"/>
            <wp:wrapNone/>
            <wp:docPr id="97" name="image50.png"/>
            <wp:cNvGraphicFramePr>
              <a:graphicFrameLocks noChangeAspect="1"/>
            </wp:cNvGraphicFramePr>
            <a:graphic>
              <a:graphicData uri="http://schemas.openxmlformats.org/drawingml/2006/picture">
                <pic:pic>
                  <pic:nvPicPr>
                    <pic:cNvPr id="98" name="image50.png"/>
                    <pic:cNvPicPr/>
                  </pic:nvPicPr>
                  <pic:blipFill>
                    <a:blip r:embed="rId145" cstate="print"/>
                    <a:stretch>
                      <a:fillRect/>
                    </a:stretch>
                  </pic:blipFill>
                  <pic:spPr>
                    <a:xfrm>
                      <a:off x="0" y="0"/>
                      <a:ext cx="2828919" cy="857250"/>
                    </a:xfrm>
                    <a:prstGeom prst="rect">
                      <a:avLst/>
                    </a:prstGeom>
                  </pic:spPr>
                </pic:pic>
              </a:graphicData>
            </a:graphic>
          </wp:anchor>
        </w:drawing>
      </w:r>
      <w:r>
        <w:rPr>
          <w:w w:val="105"/>
          <w:sz w:val="20"/>
        </w:rPr>
        <w:t>Operating Expenses</w:t>
      </w:r>
    </w:p>
    <w:tbl>
      <w:tblPr>
        <w:tblW w:w="0" w:type="auto"/>
        <w:jc w:val="left"/>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8"/>
        <w:gridCol w:w="1262"/>
        <w:gridCol w:w="1143"/>
        <w:gridCol w:w="1081"/>
        <w:gridCol w:w="931"/>
        <w:gridCol w:w="1346"/>
        <w:gridCol w:w="1074"/>
        <w:gridCol w:w="937"/>
      </w:tblGrid>
      <w:tr>
        <w:trPr>
          <w:trHeight w:val="219" w:hRule="atLeast"/>
        </w:trPr>
        <w:tc>
          <w:tcPr>
            <w:tcW w:w="2668" w:type="dxa"/>
          </w:tcPr>
          <w:p>
            <w:pPr>
              <w:pStyle w:val="TableParagraph"/>
              <w:spacing w:line="193" w:lineRule="exact"/>
              <w:ind w:left="50"/>
              <w:rPr>
                <w:rFonts w:ascii="Calibri"/>
                <w:sz w:val="19"/>
              </w:rPr>
            </w:pPr>
            <w:r>
              <w:rPr>
                <w:rFonts w:ascii="Calibri"/>
                <w:sz w:val="19"/>
              </w:rPr>
              <w:t>Personnel Expenses</w:t>
            </w:r>
          </w:p>
        </w:tc>
        <w:tc>
          <w:tcPr>
            <w:tcW w:w="1262" w:type="dxa"/>
          </w:tcPr>
          <w:p>
            <w:pPr>
              <w:pStyle w:val="TableParagraph"/>
              <w:spacing w:line="193" w:lineRule="exact"/>
              <w:ind w:right="141"/>
              <w:jc w:val="right"/>
              <w:rPr>
                <w:rFonts w:ascii="Calibri"/>
                <w:sz w:val="19"/>
              </w:rPr>
            </w:pPr>
            <w:r>
              <w:rPr>
                <w:rFonts w:ascii="Calibri"/>
                <w:sz w:val="19"/>
              </w:rPr>
              <w:t>15,900,850</w:t>
            </w:r>
          </w:p>
        </w:tc>
        <w:tc>
          <w:tcPr>
            <w:tcW w:w="1143" w:type="dxa"/>
          </w:tcPr>
          <w:p>
            <w:pPr>
              <w:pStyle w:val="TableParagraph"/>
              <w:spacing w:line="193" w:lineRule="exact"/>
              <w:ind w:right="141"/>
              <w:jc w:val="right"/>
              <w:rPr>
                <w:rFonts w:ascii="Calibri"/>
                <w:sz w:val="19"/>
              </w:rPr>
            </w:pPr>
            <w:r>
              <w:rPr>
                <w:rFonts w:ascii="Calibri"/>
                <w:sz w:val="19"/>
              </w:rPr>
              <w:t>18,366,998</w:t>
            </w:r>
          </w:p>
        </w:tc>
        <w:tc>
          <w:tcPr>
            <w:tcW w:w="1081" w:type="dxa"/>
          </w:tcPr>
          <w:p>
            <w:pPr>
              <w:pStyle w:val="TableParagraph"/>
              <w:spacing w:line="193" w:lineRule="exact"/>
              <w:ind w:left="119" w:right="152"/>
              <w:jc w:val="center"/>
              <w:rPr>
                <w:rFonts w:ascii="Calibri"/>
                <w:sz w:val="19"/>
              </w:rPr>
            </w:pPr>
            <w:r>
              <w:rPr>
                <w:rFonts w:ascii="Calibri"/>
                <w:sz w:val="19"/>
              </w:rPr>
              <w:t>2,466,148</w:t>
            </w:r>
          </w:p>
        </w:tc>
        <w:tc>
          <w:tcPr>
            <w:tcW w:w="931" w:type="dxa"/>
          </w:tcPr>
          <w:p>
            <w:pPr>
              <w:pStyle w:val="TableParagraph"/>
              <w:spacing w:line="193" w:lineRule="exact"/>
              <w:ind w:left="153" w:right="207"/>
              <w:jc w:val="center"/>
              <w:rPr>
                <w:rFonts w:ascii="Calibri"/>
                <w:sz w:val="19"/>
              </w:rPr>
            </w:pPr>
            <w:r>
              <w:rPr>
                <w:rFonts w:ascii="Calibri"/>
                <w:sz w:val="19"/>
              </w:rPr>
              <w:t>-13.4%</w:t>
            </w:r>
          </w:p>
        </w:tc>
        <w:tc>
          <w:tcPr>
            <w:tcW w:w="1346" w:type="dxa"/>
          </w:tcPr>
          <w:p>
            <w:pPr>
              <w:pStyle w:val="TableParagraph"/>
              <w:spacing w:line="193" w:lineRule="exact"/>
              <w:ind w:left="201" w:right="239"/>
              <w:jc w:val="center"/>
              <w:rPr>
                <w:rFonts w:ascii="Calibri"/>
                <w:sz w:val="19"/>
              </w:rPr>
            </w:pPr>
            <w:r>
              <w:rPr>
                <w:rFonts w:ascii="Calibri"/>
                <w:sz w:val="19"/>
              </w:rPr>
              <w:t>15,680,139</w:t>
            </w:r>
          </w:p>
        </w:tc>
        <w:tc>
          <w:tcPr>
            <w:tcW w:w="1074" w:type="dxa"/>
          </w:tcPr>
          <w:p>
            <w:pPr>
              <w:pStyle w:val="TableParagraph"/>
              <w:spacing w:line="193" w:lineRule="exact"/>
              <w:ind w:right="194"/>
              <w:jc w:val="right"/>
              <w:rPr>
                <w:rFonts w:ascii="Calibri"/>
                <w:sz w:val="19"/>
              </w:rPr>
            </w:pPr>
            <w:r>
              <w:rPr>
                <w:rFonts w:ascii="Calibri"/>
                <w:sz w:val="19"/>
              </w:rPr>
              <w:t>220,711</w:t>
            </w:r>
          </w:p>
        </w:tc>
        <w:tc>
          <w:tcPr>
            <w:tcW w:w="937" w:type="dxa"/>
          </w:tcPr>
          <w:p>
            <w:pPr>
              <w:pStyle w:val="TableParagraph"/>
              <w:spacing w:line="193" w:lineRule="exact"/>
              <w:ind w:left="190"/>
              <w:rPr>
                <w:rFonts w:ascii="Calibri"/>
                <w:sz w:val="19"/>
              </w:rPr>
            </w:pPr>
            <w:r>
              <w:rPr>
                <w:rFonts w:ascii="Calibri"/>
                <w:sz w:val="19"/>
              </w:rPr>
              <w:t>1.4%</w:t>
            </w:r>
          </w:p>
        </w:tc>
      </w:tr>
      <w:tr>
        <w:trPr>
          <w:trHeight w:val="223" w:hRule="atLeast"/>
        </w:trPr>
        <w:tc>
          <w:tcPr>
            <w:tcW w:w="2668" w:type="dxa"/>
          </w:tcPr>
          <w:p>
            <w:pPr>
              <w:pStyle w:val="TableParagraph"/>
              <w:spacing w:line="203" w:lineRule="exact"/>
              <w:ind w:left="50"/>
              <w:rPr>
                <w:rFonts w:ascii="Calibri"/>
                <w:sz w:val="19"/>
              </w:rPr>
            </w:pPr>
            <w:r>
              <w:rPr>
                <w:rFonts w:ascii="Calibri"/>
                <w:sz w:val="19"/>
              </w:rPr>
              <w:t>Non-Personnel Expenses</w:t>
            </w:r>
          </w:p>
        </w:tc>
        <w:tc>
          <w:tcPr>
            <w:tcW w:w="1262" w:type="dxa"/>
            <w:tcBorders>
              <w:bottom w:val="single" w:sz="4" w:space="0" w:color="000000"/>
            </w:tcBorders>
          </w:tcPr>
          <w:p>
            <w:pPr>
              <w:pStyle w:val="TableParagraph"/>
              <w:spacing w:line="203" w:lineRule="exact"/>
              <w:ind w:right="141"/>
              <w:jc w:val="right"/>
              <w:rPr>
                <w:rFonts w:ascii="Calibri"/>
                <w:sz w:val="19"/>
              </w:rPr>
            </w:pPr>
            <w:r>
              <w:rPr>
                <w:rFonts w:ascii="Calibri"/>
                <w:sz w:val="19"/>
              </w:rPr>
              <w:t>5,578,897</w:t>
            </w:r>
          </w:p>
        </w:tc>
        <w:tc>
          <w:tcPr>
            <w:tcW w:w="1143" w:type="dxa"/>
            <w:tcBorders>
              <w:bottom w:val="single" w:sz="4" w:space="0" w:color="000000"/>
            </w:tcBorders>
          </w:tcPr>
          <w:p>
            <w:pPr>
              <w:pStyle w:val="TableParagraph"/>
              <w:spacing w:line="203" w:lineRule="exact"/>
              <w:ind w:right="141"/>
              <w:jc w:val="right"/>
              <w:rPr>
                <w:rFonts w:ascii="Calibri"/>
                <w:sz w:val="19"/>
              </w:rPr>
            </w:pPr>
            <w:r>
              <w:rPr>
                <w:rFonts w:ascii="Calibri"/>
                <w:sz w:val="19"/>
              </w:rPr>
              <w:t>7,140,348</w:t>
            </w:r>
          </w:p>
        </w:tc>
        <w:tc>
          <w:tcPr>
            <w:tcW w:w="1081" w:type="dxa"/>
            <w:tcBorders>
              <w:bottom w:val="single" w:sz="4" w:space="0" w:color="000000"/>
            </w:tcBorders>
          </w:tcPr>
          <w:p>
            <w:pPr>
              <w:pStyle w:val="TableParagraph"/>
              <w:spacing w:line="203" w:lineRule="exact"/>
              <w:ind w:left="119" w:right="152"/>
              <w:jc w:val="center"/>
              <w:rPr>
                <w:rFonts w:ascii="Calibri"/>
                <w:sz w:val="19"/>
              </w:rPr>
            </w:pPr>
            <w:r>
              <w:rPr>
                <w:rFonts w:ascii="Calibri"/>
                <w:sz w:val="19"/>
              </w:rPr>
              <w:t>1,561,451</w:t>
            </w:r>
          </w:p>
        </w:tc>
        <w:tc>
          <w:tcPr>
            <w:tcW w:w="931" w:type="dxa"/>
            <w:tcBorders>
              <w:bottom w:val="single" w:sz="4" w:space="0" w:color="000000"/>
            </w:tcBorders>
          </w:tcPr>
          <w:p>
            <w:pPr>
              <w:pStyle w:val="TableParagraph"/>
              <w:spacing w:line="203" w:lineRule="exact"/>
              <w:ind w:left="153" w:right="207"/>
              <w:jc w:val="center"/>
              <w:rPr>
                <w:rFonts w:ascii="Calibri"/>
                <w:sz w:val="19"/>
              </w:rPr>
            </w:pPr>
            <w:r>
              <w:rPr>
                <w:rFonts w:ascii="Calibri"/>
                <w:sz w:val="19"/>
              </w:rPr>
              <w:t>-21.9%</w:t>
            </w:r>
          </w:p>
        </w:tc>
        <w:tc>
          <w:tcPr>
            <w:tcW w:w="1346" w:type="dxa"/>
            <w:tcBorders>
              <w:bottom w:val="single" w:sz="4" w:space="0" w:color="000000"/>
            </w:tcBorders>
          </w:tcPr>
          <w:p>
            <w:pPr>
              <w:pStyle w:val="TableParagraph"/>
              <w:spacing w:line="203" w:lineRule="exact"/>
              <w:ind w:left="201" w:right="147"/>
              <w:jc w:val="center"/>
              <w:rPr>
                <w:rFonts w:ascii="Calibri"/>
                <w:sz w:val="19"/>
              </w:rPr>
            </w:pPr>
            <w:r>
              <w:rPr>
                <w:rFonts w:ascii="Calibri"/>
                <w:sz w:val="19"/>
              </w:rPr>
              <w:t>5,491,752</w:t>
            </w:r>
          </w:p>
        </w:tc>
        <w:tc>
          <w:tcPr>
            <w:tcW w:w="1074" w:type="dxa"/>
            <w:tcBorders>
              <w:bottom w:val="single" w:sz="4" w:space="0" w:color="000000"/>
            </w:tcBorders>
          </w:tcPr>
          <w:p>
            <w:pPr>
              <w:pStyle w:val="TableParagraph"/>
              <w:spacing w:line="203" w:lineRule="exact"/>
              <w:ind w:right="194"/>
              <w:jc w:val="right"/>
              <w:rPr>
                <w:rFonts w:ascii="Calibri"/>
                <w:sz w:val="19"/>
              </w:rPr>
            </w:pPr>
            <w:r>
              <w:rPr>
                <w:rFonts w:ascii="Calibri"/>
                <w:sz w:val="19"/>
              </w:rPr>
              <w:t>87,145</w:t>
            </w:r>
          </w:p>
        </w:tc>
        <w:tc>
          <w:tcPr>
            <w:tcW w:w="937" w:type="dxa"/>
            <w:tcBorders>
              <w:bottom w:val="single" w:sz="4" w:space="0" w:color="000000"/>
            </w:tcBorders>
          </w:tcPr>
          <w:p>
            <w:pPr>
              <w:pStyle w:val="TableParagraph"/>
              <w:spacing w:line="203" w:lineRule="exact"/>
              <w:ind w:left="190"/>
              <w:rPr>
                <w:rFonts w:ascii="Calibri"/>
                <w:sz w:val="19"/>
              </w:rPr>
            </w:pPr>
            <w:r>
              <w:rPr>
                <w:rFonts w:ascii="Calibri"/>
                <w:sz w:val="19"/>
              </w:rPr>
              <w:t>1.6%</w:t>
            </w:r>
          </w:p>
        </w:tc>
      </w:tr>
      <w:tr>
        <w:trPr>
          <w:trHeight w:val="238" w:hRule="atLeast"/>
        </w:trPr>
        <w:tc>
          <w:tcPr>
            <w:tcW w:w="2668" w:type="dxa"/>
          </w:tcPr>
          <w:p>
            <w:pPr>
              <w:pStyle w:val="TableParagraph"/>
              <w:spacing w:line="212" w:lineRule="exact" w:before="6"/>
              <w:ind w:left="175"/>
              <w:rPr>
                <w:rFonts w:ascii="Calibri"/>
                <w:sz w:val="19"/>
              </w:rPr>
            </w:pPr>
            <w:r>
              <w:rPr>
                <w:rFonts w:ascii="Calibri"/>
                <w:sz w:val="19"/>
              </w:rPr>
              <w:t>Total Operating Expenses</w:t>
            </w:r>
          </w:p>
        </w:tc>
        <w:tc>
          <w:tcPr>
            <w:tcW w:w="1262" w:type="dxa"/>
            <w:tcBorders>
              <w:top w:val="single" w:sz="4" w:space="0" w:color="000000"/>
              <w:bottom w:val="single" w:sz="4" w:space="0" w:color="000000"/>
            </w:tcBorders>
          </w:tcPr>
          <w:p>
            <w:pPr>
              <w:pStyle w:val="TableParagraph"/>
              <w:spacing w:line="212" w:lineRule="exact" w:before="6"/>
              <w:ind w:right="141"/>
              <w:jc w:val="right"/>
              <w:rPr>
                <w:rFonts w:ascii="Calibri"/>
                <w:sz w:val="19"/>
              </w:rPr>
            </w:pPr>
            <w:r>
              <w:rPr>
                <w:rFonts w:ascii="Calibri"/>
                <w:sz w:val="19"/>
              </w:rPr>
              <w:t>21,479,747</w:t>
            </w:r>
          </w:p>
        </w:tc>
        <w:tc>
          <w:tcPr>
            <w:tcW w:w="1143" w:type="dxa"/>
            <w:tcBorders>
              <w:top w:val="single" w:sz="4" w:space="0" w:color="000000"/>
              <w:bottom w:val="single" w:sz="4" w:space="0" w:color="000000"/>
            </w:tcBorders>
          </w:tcPr>
          <w:p>
            <w:pPr>
              <w:pStyle w:val="TableParagraph"/>
              <w:spacing w:line="212" w:lineRule="exact" w:before="6"/>
              <w:ind w:right="141"/>
              <w:jc w:val="right"/>
              <w:rPr>
                <w:rFonts w:ascii="Calibri"/>
                <w:sz w:val="19"/>
              </w:rPr>
            </w:pPr>
            <w:r>
              <w:rPr>
                <w:rFonts w:ascii="Calibri"/>
                <w:sz w:val="19"/>
              </w:rPr>
              <w:t>25,507,346</w:t>
            </w:r>
          </w:p>
        </w:tc>
        <w:tc>
          <w:tcPr>
            <w:tcW w:w="1081" w:type="dxa"/>
            <w:tcBorders>
              <w:top w:val="single" w:sz="4" w:space="0" w:color="000000"/>
              <w:bottom w:val="single" w:sz="4" w:space="0" w:color="000000"/>
            </w:tcBorders>
          </w:tcPr>
          <w:p>
            <w:pPr>
              <w:pStyle w:val="TableParagraph"/>
              <w:spacing w:line="212" w:lineRule="exact" w:before="6"/>
              <w:ind w:left="119" w:right="152"/>
              <w:jc w:val="center"/>
              <w:rPr>
                <w:rFonts w:ascii="Calibri"/>
                <w:sz w:val="19"/>
              </w:rPr>
            </w:pPr>
            <w:r>
              <w:rPr>
                <w:rFonts w:ascii="Calibri"/>
                <w:sz w:val="19"/>
              </w:rPr>
              <w:t>4,027,599</w:t>
            </w:r>
          </w:p>
        </w:tc>
        <w:tc>
          <w:tcPr>
            <w:tcW w:w="931" w:type="dxa"/>
            <w:tcBorders>
              <w:top w:val="single" w:sz="4" w:space="0" w:color="000000"/>
              <w:bottom w:val="single" w:sz="4" w:space="0" w:color="000000"/>
            </w:tcBorders>
          </w:tcPr>
          <w:p>
            <w:pPr>
              <w:pStyle w:val="TableParagraph"/>
              <w:spacing w:line="212" w:lineRule="exact" w:before="6"/>
              <w:ind w:left="153" w:right="207"/>
              <w:jc w:val="center"/>
              <w:rPr>
                <w:rFonts w:ascii="Calibri"/>
                <w:sz w:val="19"/>
              </w:rPr>
            </w:pPr>
            <w:r>
              <w:rPr>
                <w:rFonts w:ascii="Calibri"/>
                <w:sz w:val="19"/>
              </w:rPr>
              <w:t>-15.8%</w:t>
            </w:r>
          </w:p>
        </w:tc>
        <w:tc>
          <w:tcPr>
            <w:tcW w:w="1346" w:type="dxa"/>
            <w:tcBorders>
              <w:top w:val="single" w:sz="4" w:space="0" w:color="000000"/>
              <w:bottom w:val="single" w:sz="4" w:space="0" w:color="000000"/>
            </w:tcBorders>
          </w:tcPr>
          <w:p>
            <w:pPr>
              <w:pStyle w:val="TableParagraph"/>
              <w:spacing w:line="212" w:lineRule="exact" w:before="6"/>
              <w:ind w:left="201" w:right="239"/>
              <w:jc w:val="center"/>
              <w:rPr>
                <w:rFonts w:ascii="Calibri"/>
                <w:sz w:val="19"/>
              </w:rPr>
            </w:pPr>
            <w:r>
              <w:rPr>
                <w:rFonts w:ascii="Calibri"/>
                <w:sz w:val="19"/>
              </w:rPr>
              <w:t>21,171,890</w:t>
            </w:r>
          </w:p>
        </w:tc>
        <w:tc>
          <w:tcPr>
            <w:tcW w:w="1074" w:type="dxa"/>
            <w:tcBorders>
              <w:top w:val="single" w:sz="4" w:space="0" w:color="000000"/>
              <w:bottom w:val="single" w:sz="4" w:space="0" w:color="000000"/>
            </w:tcBorders>
          </w:tcPr>
          <w:p>
            <w:pPr>
              <w:pStyle w:val="TableParagraph"/>
              <w:spacing w:line="212" w:lineRule="exact" w:before="6"/>
              <w:ind w:right="194"/>
              <w:jc w:val="right"/>
              <w:rPr>
                <w:rFonts w:ascii="Calibri"/>
                <w:sz w:val="19"/>
              </w:rPr>
            </w:pPr>
            <w:r>
              <w:rPr>
                <w:rFonts w:ascii="Calibri"/>
                <w:sz w:val="19"/>
              </w:rPr>
              <w:t>307,857</w:t>
            </w:r>
          </w:p>
        </w:tc>
        <w:tc>
          <w:tcPr>
            <w:tcW w:w="937" w:type="dxa"/>
            <w:tcBorders>
              <w:top w:val="single" w:sz="4" w:space="0" w:color="000000"/>
              <w:bottom w:val="single" w:sz="4" w:space="0" w:color="000000"/>
            </w:tcBorders>
          </w:tcPr>
          <w:p>
            <w:pPr>
              <w:pStyle w:val="TableParagraph"/>
              <w:spacing w:line="212" w:lineRule="exact" w:before="6"/>
              <w:ind w:left="190"/>
              <w:rPr>
                <w:rFonts w:ascii="Calibri"/>
                <w:sz w:val="19"/>
              </w:rPr>
            </w:pPr>
            <w:r>
              <w:rPr>
                <w:rFonts w:ascii="Calibri"/>
                <w:sz w:val="19"/>
              </w:rPr>
              <w:t>1.5%</w:t>
            </w:r>
          </w:p>
        </w:tc>
      </w:tr>
    </w:tbl>
    <w:p>
      <w:pPr>
        <w:spacing w:after="0" w:line="212" w:lineRule="exact"/>
        <w:rPr>
          <w:rFonts w:ascii="Calibri"/>
          <w:sz w:val="19"/>
        </w:rPr>
        <w:sectPr>
          <w:headerReference w:type="default" r:id="rId149"/>
          <w:footerReference w:type="default" r:id="rId150"/>
          <w:pgSz w:w="12240" w:h="15840"/>
          <w:pgMar w:header="790" w:footer="0" w:top="1240" w:bottom="0" w:left="560" w:right="560"/>
          <w:pgNumType w:start="6"/>
        </w:sectPr>
      </w:pPr>
    </w:p>
    <w:p>
      <w:pPr>
        <w:spacing w:line="240" w:lineRule="auto" w:before="1"/>
        <w:rPr>
          <w:sz w:val="25"/>
        </w:rPr>
      </w:pPr>
    </w:p>
    <w:p>
      <w:pPr>
        <w:spacing w:line="240" w:lineRule="auto" w:before="57"/>
        <w:ind w:left="5680" w:right="153" w:hanging="1"/>
        <w:jc w:val="both"/>
        <w:rPr>
          <w:sz w:val="22"/>
        </w:rPr>
      </w:pPr>
      <w:r>
        <w:rPr/>
        <w:drawing>
          <wp:anchor distT="0" distB="0" distL="0" distR="0" allowOverlap="1" layoutInCell="1" locked="0" behindDoc="0" simplePos="0" relativeHeight="251834368">
            <wp:simplePos x="0" y="0"/>
            <wp:positionH relativeFrom="page">
              <wp:posOffset>457200</wp:posOffset>
            </wp:positionH>
            <wp:positionV relativeFrom="paragraph">
              <wp:posOffset>36939</wp:posOffset>
            </wp:positionV>
            <wp:extent cx="3410343" cy="2481579"/>
            <wp:effectExtent l="0" t="0" r="0" b="0"/>
            <wp:wrapNone/>
            <wp:docPr id="101" name="image54.png"/>
            <wp:cNvGraphicFramePr>
              <a:graphicFrameLocks noChangeAspect="1"/>
            </wp:cNvGraphicFramePr>
            <a:graphic>
              <a:graphicData uri="http://schemas.openxmlformats.org/drawingml/2006/picture">
                <pic:pic>
                  <pic:nvPicPr>
                    <pic:cNvPr id="102" name="image54.png"/>
                    <pic:cNvPicPr/>
                  </pic:nvPicPr>
                  <pic:blipFill>
                    <a:blip r:embed="rId154" cstate="print"/>
                    <a:stretch>
                      <a:fillRect/>
                    </a:stretch>
                  </pic:blipFill>
                  <pic:spPr>
                    <a:xfrm>
                      <a:off x="0" y="0"/>
                      <a:ext cx="3410343" cy="2481579"/>
                    </a:xfrm>
                    <a:prstGeom prst="rect">
                      <a:avLst/>
                    </a:prstGeom>
                  </pic:spPr>
                </pic:pic>
              </a:graphicData>
            </a:graphic>
          </wp:anchor>
        </w:drawing>
      </w:r>
      <w:r>
        <w:rPr>
          <w:color w:val="000099"/>
          <w:sz w:val="22"/>
        </w:rPr>
        <w:t>Personnel expenses </w:t>
      </w:r>
      <w:r>
        <w:rPr>
          <w:sz w:val="22"/>
        </w:rPr>
        <w:t>are performing $2.5 million (13.4%) under budget expectations, and generally in line with prior year expenses. All personnel expense categories are currently under budget. It’s important to note that the personnel budget is based on full staffing for the entire fiscal</w:t>
      </w:r>
      <w:r>
        <w:rPr>
          <w:spacing w:val="-10"/>
          <w:sz w:val="22"/>
        </w:rPr>
        <w:t> </w:t>
      </w:r>
      <w:r>
        <w:rPr>
          <w:sz w:val="22"/>
        </w:rPr>
        <w:t>year.</w:t>
      </w:r>
      <w:r>
        <w:rPr>
          <w:spacing w:val="-10"/>
          <w:sz w:val="22"/>
        </w:rPr>
        <w:t> </w:t>
      </w:r>
      <w:r>
        <w:rPr>
          <w:sz w:val="22"/>
        </w:rPr>
        <w:t>However,</w:t>
      </w:r>
      <w:r>
        <w:rPr>
          <w:spacing w:val="-12"/>
          <w:sz w:val="22"/>
        </w:rPr>
        <w:t> </w:t>
      </w:r>
      <w:r>
        <w:rPr>
          <w:sz w:val="22"/>
        </w:rPr>
        <w:t>ongoing</w:t>
      </w:r>
      <w:r>
        <w:rPr>
          <w:spacing w:val="-11"/>
          <w:sz w:val="22"/>
        </w:rPr>
        <w:t> </w:t>
      </w:r>
      <w:r>
        <w:rPr>
          <w:sz w:val="22"/>
        </w:rPr>
        <w:t>vacancies,</w:t>
      </w:r>
      <w:r>
        <w:rPr>
          <w:spacing w:val="-9"/>
          <w:sz w:val="22"/>
        </w:rPr>
        <w:t> </w:t>
      </w:r>
      <w:r>
        <w:rPr>
          <w:sz w:val="22"/>
        </w:rPr>
        <w:t>particularly</w:t>
      </w:r>
      <w:r>
        <w:rPr>
          <w:spacing w:val="-9"/>
          <w:sz w:val="22"/>
        </w:rPr>
        <w:t> </w:t>
      </w:r>
      <w:r>
        <w:rPr>
          <w:sz w:val="22"/>
        </w:rPr>
        <w:t>among bus operators and administrative staff continue to contribute significantly to the favorable budget</w:t>
      </w:r>
      <w:r>
        <w:rPr>
          <w:spacing w:val="-14"/>
          <w:sz w:val="22"/>
        </w:rPr>
        <w:t> </w:t>
      </w:r>
      <w:r>
        <w:rPr>
          <w:sz w:val="22"/>
        </w:rPr>
        <w:t>variance.</w:t>
      </w:r>
    </w:p>
    <w:p>
      <w:pPr>
        <w:spacing w:before="170"/>
        <w:ind w:left="5679" w:right="153" w:firstLine="0"/>
        <w:jc w:val="both"/>
        <w:rPr>
          <w:sz w:val="22"/>
        </w:rPr>
      </w:pPr>
      <w:r>
        <w:rPr>
          <w:sz w:val="22"/>
        </w:rPr>
        <w:t>On a year-over-year basis, most personnel-related expenses have increased, with the exception of healthcare and pension benefits. The decrease in healthcare expenses is attributed to 963 fewer claims and 4,063 fewer services provided. Additionally, prescription drug costs have come in</w:t>
      </w:r>
      <w:r>
        <w:rPr>
          <w:spacing w:val="-11"/>
          <w:sz w:val="22"/>
        </w:rPr>
        <w:t> </w:t>
      </w:r>
      <w:r>
        <w:rPr>
          <w:sz w:val="22"/>
        </w:rPr>
        <w:t>lower</w:t>
      </w:r>
      <w:r>
        <w:rPr>
          <w:spacing w:val="-9"/>
          <w:sz w:val="22"/>
        </w:rPr>
        <w:t> </w:t>
      </w:r>
      <w:r>
        <w:rPr>
          <w:sz w:val="22"/>
        </w:rPr>
        <w:t>than</w:t>
      </w:r>
      <w:r>
        <w:rPr>
          <w:spacing w:val="-10"/>
          <w:sz w:val="22"/>
        </w:rPr>
        <w:t> </w:t>
      </w:r>
      <w:r>
        <w:rPr>
          <w:sz w:val="22"/>
        </w:rPr>
        <w:t>anticipated,</w:t>
      </w:r>
      <w:r>
        <w:rPr>
          <w:spacing w:val="-9"/>
          <w:sz w:val="22"/>
        </w:rPr>
        <w:t> </w:t>
      </w:r>
      <w:r>
        <w:rPr>
          <w:sz w:val="22"/>
        </w:rPr>
        <w:t>and</w:t>
      </w:r>
      <w:r>
        <w:rPr>
          <w:spacing w:val="-10"/>
          <w:sz w:val="22"/>
        </w:rPr>
        <w:t> </w:t>
      </w:r>
      <w:r>
        <w:rPr>
          <w:sz w:val="22"/>
        </w:rPr>
        <w:t>Excellus</w:t>
      </w:r>
      <w:r>
        <w:rPr>
          <w:spacing w:val="-9"/>
          <w:sz w:val="22"/>
        </w:rPr>
        <w:t> </w:t>
      </w:r>
      <w:r>
        <w:rPr>
          <w:sz w:val="22"/>
        </w:rPr>
        <w:t>premiums</w:t>
      </w:r>
      <w:r>
        <w:rPr>
          <w:spacing w:val="-9"/>
          <w:sz w:val="22"/>
        </w:rPr>
        <w:t> </w:t>
      </w:r>
      <w:r>
        <w:rPr>
          <w:sz w:val="22"/>
        </w:rPr>
        <w:t>are</w:t>
      </w:r>
      <w:r>
        <w:rPr>
          <w:spacing w:val="-8"/>
          <w:sz w:val="22"/>
        </w:rPr>
        <w:t> </w:t>
      </w:r>
      <w:r>
        <w:rPr>
          <w:sz w:val="22"/>
        </w:rPr>
        <w:t>below</w:t>
      </w:r>
    </w:p>
    <w:p>
      <w:pPr>
        <w:spacing w:before="1"/>
        <w:ind w:left="339" w:right="0" w:firstLine="0"/>
        <w:jc w:val="both"/>
        <w:rPr>
          <w:sz w:val="22"/>
        </w:rPr>
      </w:pPr>
      <w:r>
        <w:rPr>
          <w:sz w:val="22"/>
        </w:rPr>
        <w:t>budget due to fewer enrolled members, particularly in Cortland County.</w:t>
      </w:r>
    </w:p>
    <w:p>
      <w:pPr>
        <w:spacing w:line="240" w:lineRule="auto" w:before="0"/>
        <w:rPr>
          <w:sz w:val="22"/>
        </w:rPr>
      </w:pPr>
    </w:p>
    <w:p>
      <w:pPr>
        <w:spacing w:line="240" w:lineRule="auto" w:before="0"/>
        <w:ind w:left="339" w:right="155" w:firstLine="0"/>
        <w:jc w:val="both"/>
        <w:rPr>
          <w:sz w:val="22"/>
        </w:rPr>
      </w:pPr>
      <w:r>
        <w:rPr>
          <w:sz w:val="22"/>
        </w:rPr>
        <w:t>Pension expenses are also trending below prior year levels. This is primarily due to the results of the annual actuarial valuation and reduced 401(a) plan expenses, as the majority of May contributions were funded using forfeited funds from the forfeiture account.</w:t>
      </w:r>
    </w:p>
    <w:p>
      <w:pPr>
        <w:spacing w:line="240" w:lineRule="auto" w:before="10"/>
        <w:rPr>
          <w:sz w:val="21"/>
        </w:rPr>
      </w:pPr>
    </w:p>
    <w:p>
      <w:pPr>
        <w:spacing w:before="1"/>
        <w:ind w:left="160" w:right="154" w:hanging="1"/>
        <w:jc w:val="both"/>
        <w:rPr>
          <w:sz w:val="22"/>
        </w:rPr>
      </w:pPr>
      <w:r>
        <w:rPr>
          <w:color w:val="000099"/>
          <w:sz w:val="22"/>
        </w:rPr>
        <w:t>Non-personnel</w:t>
      </w:r>
      <w:r>
        <w:rPr>
          <w:color w:val="000099"/>
          <w:spacing w:val="-14"/>
          <w:sz w:val="22"/>
        </w:rPr>
        <w:t> </w:t>
      </w:r>
      <w:r>
        <w:rPr>
          <w:color w:val="000099"/>
          <w:sz w:val="22"/>
        </w:rPr>
        <w:t>expenses</w:t>
      </w:r>
      <w:r>
        <w:rPr>
          <w:color w:val="000099"/>
          <w:spacing w:val="-14"/>
          <w:sz w:val="22"/>
        </w:rPr>
        <w:t> </w:t>
      </w:r>
      <w:r>
        <w:rPr>
          <w:sz w:val="22"/>
        </w:rPr>
        <w:t>are</w:t>
      </w:r>
      <w:r>
        <w:rPr>
          <w:spacing w:val="-11"/>
          <w:sz w:val="22"/>
        </w:rPr>
        <w:t> </w:t>
      </w:r>
      <w:r>
        <w:rPr>
          <w:sz w:val="22"/>
        </w:rPr>
        <w:t>$1.5</w:t>
      </w:r>
      <w:r>
        <w:rPr>
          <w:spacing w:val="-15"/>
          <w:sz w:val="22"/>
        </w:rPr>
        <w:t> </w:t>
      </w:r>
      <w:r>
        <w:rPr>
          <w:sz w:val="22"/>
        </w:rPr>
        <w:t>million</w:t>
      </w:r>
      <w:r>
        <w:rPr>
          <w:spacing w:val="-15"/>
          <w:sz w:val="22"/>
        </w:rPr>
        <w:t> </w:t>
      </w:r>
      <w:r>
        <w:rPr>
          <w:sz w:val="22"/>
        </w:rPr>
        <w:t>(21.9%)</w:t>
      </w:r>
      <w:r>
        <w:rPr>
          <w:spacing w:val="-13"/>
          <w:sz w:val="22"/>
        </w:rPr>
        <w:t> </w:t>
      </w:r>
      <w:r>
        <w:rPr>
          <w:sz w:val="22"/>
        </w:rPr>
        <w:t>under</w:t>
      </w:r>
      <w:r>
        <w:rPr>
          <w:spacing w:val="-12"/>
          <w:sz w:val="22"/>
        </w:rPr>
        <w:t> </w:t>
      </w:r>
      <w:r>
        <w:rPr>
          <w:sz w:val="22"/>
        </w:rPr>
        <w:t>budget</w:t>
      </w:r>
      <w:r>
        <w:rPr>
          <w:spacing w:val="-13"/>
          <w:sz w:val="22"/>
        </w:rPr>
        <w:t> </w:t>
      </w:r>
      <w:r>
        <w:rPr>
          <w:sz w:val="22"/>
        </w:rPr>
        <w:t>expectation,</w:t>
      </w:r>
      <w:r>
        <w:rPr>
          <w:spacing w:val="-11"/>
          <w:sz w:val="22"/>
        </w:rPr>
        <w:t> </w:t>
      </w:r>
      <w:r>
        <w:rPr>
          <w:sz w:val="22"/>
        </w:rPr>
        <w:t>and</w:t>
      </w:r>
      <w:r>
        <w:rPr>
          <w:spacing w:val="-12"/>
          <w:sz w:val="22"/>
        </w:rPr>
        <w:t> </w:t>
      </w:r>
      <w:r>
        <w:rPr>
          <w:sz w:val="22"/>
        </w:rPr>
        <w:t>generally</w:t>
      </w:r>
      <w:r>
        <w:rPr>
          <w:spacing w:val="-12"/>
          <w:sz w:val="22"/>
        </w:rPr>
        <w:t> </w:t>
      </w:r>
      <w:r>
        <w:rPr>
          <w:sz w:val="22"/>
        </w:rPr>
        <w:t>in</w:t>
      </w:r>
      <w:r>
        <w:rPr>
          <w:spacing w:val="-12"/>
          <w:sz w:val="22"/>
        </w:rPr>
        <w:t> </w:t>
      </w:r>
      <w:r>
        <w:rPr>
          <w:sz w:val="22"/>
        </w:rPr>
        <w:t>line</w:t>
      </w:r>
      <w:r>
        <w:rPr>
          <w:spacing w:val="-13"/>
          <w:sz w:val="22"/>
        </w:rPr>
        <w:t> </w:t>
      </w:r>
      <w:r>
        <w:rPr>
          <w:sz w:val="22"/>
        </w:rPr>
        <w:t>with</w:t>
      </w:r>
      <w:r>
        <w:rPr>
          <w:spacing w:val="-12"/>
          <w:sz w:val="22"/>
        </w:rPr>
        <w:t> </w:t>
      </w:r>
      <w:r>
        <w:rPr>
          <w:sz w:val="22"/>
        </w:rPr>
        <w:t>prior</w:t>
      </w:r>
      <w:r>
        <w:rPr>
          <w:spacing w:val="-16"/>
          <w:sz w:val="22"/>
        </w:rPr>
        <w:t> </w:t>
      </w:r>
      <w:r>
        <w:rPr>
          <w:sz w:val="22"/>
        </w:rPr>
        <w:t>year</w:t>
      </w:r>
      <w:r>
        <w:rPr>
          <w:spacing w:val="-12"/>
          <w:sz w:val="22"/>
        </w:rPr>
        <w:t> </w:t>
      </w:r>
      <w:r>
        <w:rPr>
          <w:sz w:val="22"/>
        </w:rPr>
        <w:t>expenses. All non-personnel expense categories are performing at or below budget. Most are trending in line with or slightly above prior</w:t>
      </w:r>
      <w:r>
        <w:rPr>
          <w:spacing w:val="-7"/>
          <w:sz w:val="22"/>
        </w:rPr>
        <w:t> </w:t>
      </w:r>
      <w:r>
        <w:rPr>
          <w:sz w:val="22"/>
        </w:rPr>
        <w:t>year</w:t>
      </w:r>
      <w:r>
        <w:rPr>
          <w:spacing w:val="-6"/>
          <w:sz w:val="22"/>
        </w:rPr>
        <w:t> </w:t>
      </w:r>
      <w:r>
        <w:rPr>
          <w:sz w:val="22"/>
        </w:rPr>
        <w:t>levels,</w:t>
      </w:r>
      <w:r>
        <w:rPr>
          <w:spacing w:val="-6"/>
          <w:sz w:val="22"/>
        </w:rPr>
        <w:t> </w:t>
      </w:r>
      <w:r>
        <w:rPr>
          <w:sz w:val="22"/>
        </w:rPr>
        <w:t>with</w:t>
      </w:r>
      <w:r>
        <w:rPr>
          <w:spacing w:val="-6"/>
          <w:sz w:val="22"/>
        </w:rPr>
        <w:t> </w:t>
      </w:r>
      <w:r>
        <w:rPr>
          <w:sz w:val="22"/>
        </w:rPr>
        <w:t>the</w:t>
      </w:r>
      <w:r>
        <w:rPr>
          <w:spacing w:val="-5"/>
          <w:sz w:val="22"/>
        </w:rPr>
        <w:t> </w:t>
      </w:r>
      <w:r>
        <w:rPr>
          <w:sz w:val="22"/>
        </w:rPr>
        <w:t>exception</w:t>
      </w:r>
      <w:r>
        <w:rPr>
          <w:spacing w:val="-7"/>
          <w:sz w:val="22"/>
        </w:rPr>
        <w:t> </w:t>
      </w:r>
      <w:r>
        <w:rPr>
          <w:sz w:val="22"/>
        </w:rPr>
        <w:t>of</w:t>
      </w:r>
      <w:r>
        <w:rPr>
          <w:spacing w:val="-6"/>
          <w:sz w:val="22"/>
        </w:rPr>
        <w:t> </w:t>
      </w:r>
      <w:r>
        <w:rPr>
          <w:sz w:val="22"/>
        </w:rPr>
        <w:t>fuel,</w:t>
      </w:r>
      <w:r>
        <w:rPr>
          <w:spacing w:val="-6"/>
          <w:sz w:val="22"/>
        </w:rPr>
        <w:t> </w:t>
      </w:r>
      <w:r>
        <w:rPr>
          <w:sz w:val="22"/>
        </w:rPr>
        <w:t>which</w:t>
      </w:r>
      <w:r>
        <w:rPr>
          <w:spacing w:val="-6"/>
          <w:sz w:val="22"/>
        </w:rPr>
        <w:t> </w:t>
      </w:r>
      <w:r>
        <w:rPr>
          <w:sz w:val="22"/>
        </w:rPr>
        <w:t>remains</w:t>
      </w:r>
      <w:r>
        <w:rPr>
          <w:spacing w:val="-6"/>
          <w:sz w:val="22"/>
        </w:rPr>
        <w:t> </w:t>
      </w:r>
      <w:r>
        <w:rPr>
          <w:sz w:val="22"/>
        </w:rPr>
        <w:t>below</w:t>
      </w:r>
      <w:r>
        <w:rPr>
          <w:spacing w:val="-5"/>
          <w:sz w:val="22"/>
        </w:rPr>
        <w:t> </w:t>
      </w:r>
      <w:r>
        <w:rPr>
          <w:sz w:val="22"/>
        </w:rPr>
        <w:t>both</w:t>
      </w:r>
      <w:r>
        <w:rPr>
          <w:spacing w:val="-7"/>
          <w:sz w:val="22"/>
        </w:rPr>
        <w:t> </w:t>
      </w:r>
      <w:r>
        <w:rPr>
          <w:sz w:val="22"/>
        </w:rPr>
        <w:t>budget</w:t>
      </w:r>
      <w:r>
        <w:rPr>
          <w:spacing w:val="-5"/>
          <w:sz w:val="22"/>
        </w:rPr>
        <w:t> </w:t>
      </w:r>
      <w:r>
        <w:rPr>
          <w:sz w:val="22"/>
        </w:rPr>
        <w:t>and</w:t>
      </w:r>
      <w:r>
        <w:rPr>
          <w:spacing w:val="-6"/>
          <w:sz w:val="22"/>
        </w:rPr>
        <w:t> </w:t>
      </w:r>
      <w:r>
        <w:rPr>
          <w:sz w:val="22"/>
        </w:rPr>
        <w:t>prior</w:t>
      </w:r>
      <w:r>
        <w:rPr>
          <w:spacing w:val="-6"/>
          <w:sz w:val="22"/>
        </w:rPr>
        <w:t> </w:t>
      </w:r>
      <w:r>
        <w:rPr>
          <w:sz w:val="22"/>
        </w:rPr>
        <w:t>year</w:t>
      </w:r>
      <w:r>
        <w:rPr>
          <w:spacing w:val="-6"/>
          <w:sz w:val="22"/>
        </w:rPr>
        <w:t> </w:t>
      </w:r>
      <w:r>
        <w:rPr>
          <w:sz w:val="22"/>
        </w:rPr>
        <w:t>due</w:t>
      </w:r>
      <w:r>
        <w:rPr>
          <w:spacing w:val="-6"/>
          <w:sz w:val="22"/>
        </w:rPr>
        <w:t> </w:t>
      </w:r>
      <w:r>
        <w:rPr>
          <w:sz w:val="22"/>
        </w:rPr>
        <w:t>to</w:t>
      </w:r>
      <w:r>
        <w:rPr>
          <w:spacing w:val="-4"/>
          <w:sz w:val="22"/>
        </w:rPr>
        <w:t> </w:t>
      </w:r>
      <w:r>
        <w:rPr>
          <w:sz w:val="22"/>
        </w:rPr>
        <w:t>favorable</w:t>
      </w:r>
      <w:r>
        <w:rPr>
          <w:spacing w:val="-5"/>
          <w:sz w:val="22"/>
        </w:rPr>
        <w:t> </w:t>
      </w:r>
      <w:r>
        <w:rPr>
          <w:sz w:val="22"/>
        </w:rPr>
        <w:t>pricing</w:t>
      </w:r>
      <w:r>
        <w:rPr>
          <w:spacing w:val="-6"/>
          <w:sz w:val="22"/>
        </w:rPr>
        <w:t> </w:t>
      </w:r>
      <w:r>
        <w:rPr>
          <w:sz w:val="22"/>
        </w:rPr>
        <w:t>and usage</w:t>
      </w:r>
      <w:r>
        <w:rPr>
          <w:spacing w:val="1"/>
          <w:sz w:val="22"/>
        </w:rPr>
        <w:t> </w:t>
      </w:r>
      <w:r>
        <w:rPr>
          <w:sz w:val="22"/>
        </w:rPr>
        <w:t>trends.</w:t>
      </w:r>
    </w:p>
    <w:p>
      <w:pPr>
        <w:spacing w:line="240" w:lineRule="auto" w:before="0"/>
        <w:rPr>
          <w:sz w:val="22"/>
        </w:rPr>
      </w:pPr>
    </w:p>
    <w:p>
      <w:pPr>
        <w:spacing w:line="240" w:lineRule="auto" w:before="0"/>
        <w:ind w:left="339" w:right="154" w:firstLine="0"/>
        <w:jc w:val="both"/>
        <w:rPr>
          <w:sz w:val="22"/>
        </w:rPr>
      </w:pPr>
      <w:r>
        <w:rPr>
          <w:color w:val="000099"/>
          <w:sz w:val="22"/>
        </w:rPr>
        <w:t>Purchased Transportation </w:t>
      </w:r>
      <w:r>
        <w:rPr>
          <w:sz w:val="22"/>
        </w:rPr>
        <w:t>expenses are 10.9% under budget expectations and performing in line with prior year. Although contracted vendor rates have increased and overall demand for Call-A-Bus (CAB) services has risen by approximately 5%, the use of the Via platform has created scheduling efficiencies. Additionally, vendors have not needed to deploy extra "as-needed" runs. Currently, private vendors continue to provide approximately 83% of contracted transportation services.</w:t>
      </w:r>
    </w:p>
    <w:p>
      <w:pPr>
        <w:spacing w:line="240" w:lineRule="auto" w:before="11"/>
        <w:rPr>
          <w:sz w:val="21"/>
        </w:rPr>
      </w:pPr>
    </w:p>
    <w:p>
      <w:pPr>
        <w:spacing w:before="0"/>
        <w:ind w:left="339" w:right="156" w:firstLine="0"/>
        <w:jc w:val="both"/>
        <w:rPr>
          <w:sz w:val="22"/>
        </w:rPr>
      </w:pPr>
      <w:r>
        <w:rPr>
          <w:color w:val="000099"/>
          <w:sz w:val="22"/>
        </w:rPr>
        <w:t>Materials/Supplies and Services </w:t>
      </w:r>
      <w:r>
        <w:rPr>
          <w:sz w:val="22"/>
        </w:rPr>
        <w:t>expenses are under budget but exceed prior year levels. The current budget variances are largely driven by timing, as planned expenditures for advertising, marketing, training, and software licensing/maintenance are anticpated by not yet realized. The year-over-year increases in this category are consistent with historical trends and reflect operational needs.</w:t>
      </w:r>
    </w:p>
    <w:p>
      <w:pPr>
        <w:spacing w:after="0"/>
        <w:jc w:val="both"/>
        <w:rPr>
          <w:sz w:val="22"/>
        </w:rPr>
        <w:sectPr>
          <w:headerReference w:type="default" r:id="rId152"/>
          <w:footerReference w:type="default" r:id="rId153"/>
          <w:pgSz w:w="12240" w:h="15840"/>
          <w:pgMar w:header="790" w:footer="1255" w:top="1240" w:bottom="1440" w:left="560" w:right="560"/>
          <w:pgNumType w:start="7"/>
        </w:sectPr>
      </w:pPr>
    </w:p>
    <w:p>
      <w:pPr>
        <w:spacing w:line="240" w:lineRule="auto" w:before="7"/>
        <w:rPr>
          <w:sz w:val="11"/>
        </w:rPr>
      </w:pPr>
    </w:p>
    <w:p>
      <w:pPr>
        <w:pStyle w:val="BodyText"/>
        <w:spacing w:before="51"/>
        <w:ind w:left="160"/>
        <w:rPr>
          <w:rFonts w:ascii="Calibri"/>
        </w:rPr>
      </w:pPr>
      <w:r>
        <w:rPr>
          <w:rFonts w:ascii="Calibri"/>
          <w:color w:val="000099"/>
        </w:rPr>
        <w:t>Non-Operating Revenues</w:t>
      </w:r>
    </w:p>
    <w:p>
      <w:pPr>
        <w:spacing w:line="240" w:lineRule="auto" w:before="0"/>
        <w:rPr>
          <w:sz w:val="22"/>
        </w:rPr>
      </w:pPr>
    </w:p>
    <w:p>
      <w:pPr>
        <w:spacing w:before="0"/>
        <w:ind w:left="160" w:right="0" w:firstLine="0"/>
        <w:jc w:val="left"/>
        <w:rPr>
          <w:sz w:val="22"/>
        </w:rPr>
      </w:pPr>
      <w:r>
        <w:rPr>
          <w:sz w:val="22"/>
        </w:rPr>
        <w:t>Non-operating revenues total $19.5 million, which are $1.5 million (7.3%) under budget expectations, and are reflecting a</w:t>
      </w:r>
    </w:p>
    <w:p>
      <w:pPr>
        <w:spacing w:before="0"/>
        <w:ind w:left="160" w:right="0" w:firstLine="0"/>
        <w:jc w:val="left"/>
        <w:rPr>
          <w:sz w:val="22"/>
        </w:rPr>
      </w:pPr>
      <w:r>
        <w:rPr>
          <w:sz w:val="22"/>
        </w:rPr>
        <w:t>$722 thousand (3.8%) increase over prior year.</w:t>
      </w:r>
    </w:p>
    <w:p>
      <w:pPr>
        <w:spacing w:line="240" w:lineRule="auto" w:before="8"/>
        <w:rPr>
          <w:sz w:val="18"/>
        </w:rPr>
      </w:pPr>
      <w:r>
        <w:rPr/>
        <w:pict>
          <v:group style="position:absolute;margin-left:36.297642pt;margin-top:13.488647pt;width:539.450pt;height:28.8pt;mso-position-horizontal-relative:page;mso-position-vertical-relative:paragraph;z-index:-251473920;mso-wrap-distance-left:0;mso-wrap-distance-right:0" coordorigin="726,270" coordsize="10789,576">
            <v:rect style="position:absolute;left:725;top:275;width:10789;height:571" filled="true" fillcolor="#1f3763" stroked="false">
              <v:fill type="solid"/>
            </v:rect>
            <v:line style="position:absolute" from="3743,270" to="3743,846" stroked="true" strokeweight="0pt" strokecolor="#ffffff">
              <v:stroke dashstyle="solid"/>
            </v:line>
            <v:line style="position:absolute" from="3746,271" to="3746,846" stroked="true" strokeweight=".297524pt" strokecolor="#ffffff">
              <v:stroke dashstyle="solid"/>
            </v:line>
            <v:line style="position:absolute" from="4885,270" to="4885,846" stroked="true" strokeweight="0pt" strokecolor="#ffffff">
              <v:stroke dashstyle="solid"/>
            </v:line>
            <v:line style="position:absolute" from="4888,271" to="4888,846" stroked="true" strokeweight=".297524pt" strokecolor="#ffffff">
              <v:stroke dashstyle="solid"/>
            </v:line>
            <v:line style="position:absolute" from="6028,270" to="6028,846" stroked="true" strokeweight="0pt" strokecolor="#ffffff">
              <v:stroke dashstyle="solid"/>
            </v:line>
            <v:line style="position:absolute" from="6031,271" to="6031,846" stroked="true" strokeweight=".297524pt" strokecolor="#ffffff">
              <v:stroke dashstyle="solid"/>
            </v:line>
            <v:line style="position:absolute" from="7075,270" to="7075,846" stroked="true" strokeweight="0pt" strokecolor="#ffffff">
              <v:stroke dashstyle="solid"/>
            </v:line>
            <v:line style="position:absolute" from="7078,271" to="7078,846" stroked="true" strokeweight=".297524pt" strokecolor="#ffffff">
              <v:stroke dashstyle="solid"/>
            </v:line>
            <v:line style="position:absolute" from="8253,270" to="8253,846" stroked="true" strokeweight="0pt" strokecolor="#ffffff">
              <v:stroke dashstyle="solid"/>
            </v:line>
            <v:line style="position:absolute" from="8256,271" to="8256,846" stroked="true" strokeweight=".297524pt" strokecolor="#ffffff">
              <v:stroke dashstyle="solid"/>
            </v:line>
            <v:line style="position:absolute" from="9265,270" to="9265,846" stroked="true" strokeweight="0pt" strokecolor="#ffffff">
              <v:stroke dashstyle="solid"/>
            </v:line>
            <v:line style="position:absolute" from="9268,271" to="9268,846" stroked="true" strokeweight=".297822pt" strokecolor="#ffffff">
              <v:stroke dashstyle="solid"/>
            </v:line>
            <v:line style="position:absolute" from="10407,270" to="10407,846" stroked="true" strokeweight="0pt" strokecolor="#ffffff">
              <v:stroke dashstyle="solid"/>
            </v:line>
            <v:line style="position:absolute" from="10410,271" to="10410,846" stroked="true" strokeweight=".297524pt" strokecolor="#ffffff">
              <v:stroke dashstyle="solid"/>
            </v:line>
            <v:line style="position:absolute" from="11508,270" to="11508,846" stroked="true" strokeweight="0pt" strokecolor="#ffffff">
              <v:stroke dashstyle="solid"/>
            </v:line>
            <v:line style="position:absolute" from="11511,271" to="11511,846" stroked="true" strokeweight=".297524pt" strokecolor="#ffffff">
              <v:stroke dashstyle="solid"/>
            </v:line>
            <v:shape style="position:absolute;left:10413;top:275;width:1095;height:571" type="#_x0000_t202" filled="true" fillcolor="#1f3763" stroked="false">
              <v:textbox inset="0,0,0,0">
                <w:txbxContent>
                  <w:p>
                    <w:pPr>
                      <w:spacing w:line="254" w:lineRule="auto" w:before="10"/>
                      <w:ind w:left="172" w:right="88" w:hanging="72"/>
                      <w:jc w:val="left"/>
                      <w:rPr>
                        <w:b/>
                        <w:sz w:val="22"/>
                      </w:rPr>
                    </w:pPr>
                    <w:r>
                      <w:rPr>
                        <w:b/>
                        <w:color w:val="FFFFFF"/>
                        <w:sz w:val="22"/>
                      </w:rPr>
                      <w:t>% Change CY to PY</w:t>
                    </w:r>
                  </w:p>
                </w:txbxContent>
              </v:textbox>
              <v:fill type="solid"/>
              <w10:wrap type="none"/>
            </v:shape>
            <v:shape style="position:absolute;left:9270;top:275;width:1137;height:571" type="#_x0000_t202" filled="true" fillcolor="#1f3763" stroked="false">
              <v:textbox inset="0,0,0,0">
                <w:txbxContent>
                  <w:p>
                    <w:pPr>
                      <w:spacing w:line="254" w:lineRule="auto" w:before="10"/>
                      <w:ind w:left="226" w:right="170" w:hanging="36"/>
                      <w:jc w:val="left"/>
                      <w:rPr>
                        <w:b/>
                        <w:sz w:val="22"/>
                      </w:rPr>
                    </w:pPr>
                    <w:r>
                      <w:rPr>
                        <w:b/>
                        <w:color w:val="FFFFFF"/>
                        <w:sz w:val="22"/>
                      </w:rPr>
                      <w:t>CY to PY Change</w:t>
                    </w:r>
                  </w:p>
                </w:txbxContent>
              </v:textbox>
              <v:fill type="solid"/>
              <w10:wrap type="none"/>
            </v:shape>
            <v:shape style="position:absolute;left:8259;top:275;width:1006;height:571" type="#_x0000_t202" filled="true" fillcolor="#1f3763" stroked="false">
              <v:textbox inset="0,0,0,0">
                <w:txbxContent>
                  <w:p>
                    <w:pPr>
                      <w:spacing w:line="254" w:lineRule="auto" w:before="10"/>
                      <w:ind w:left="214" w:right="31" w:hanging="167"/>
                      <w:jc w:val="left"/>
                      <w:rPr>
                        <w:b/>
                        <w:sz w:val="22"/>
                      </w:rPr>
                    </w:pPr>
                    <w:r>
                      <w:rPr>
                        <w:b/>
                        <w:color w:val="FFFFFF"/>
                        <w:sz w:val="22"/>
                      </w:rPr>
                      <w:t>Prior Year Actual</w:t>
                    </w:r>
                  </w:p>
                </w:txbxContent>
              </v:textbox>
              <v:fill type="solid"/>
              <w10:wrap type="none"/>
            </v:shape>
            <v:shape style="position:absolute;left:7081;top:275;width:1173;height:571" type="#_x0000_t202" filled="true" fillcolor="#1f3763" stroked="false">
              <v:textbox inset="0,0,0,0">
                <w:txbxContent>
                  <w:p>
                    <w:pPr>
                      <w:spacing w:line="254" w:lineRule="auto" w:before="10"/>
                      <w:ind w:left="130" w:right="127" w:firstLine="5"/>
                      <w:jc w:val="left"/>
                      <w:rPr>
                        <w:b/>
                        <w:sz w:val="22"/>
                      </w:rPr>
                    </w:pPr>
                    <w:r>
                      <w:rPr>
                        <w:b/>
                        <w:color w:val="FFFFFF"/>
                        <w:sz w:val="22"/>
                      </w:rPr>
                      <w:t>% Change to Budget</w:t>
                    </w:r>
                  </w:p>
                </w:txbxContent>
              </v:textbox>
              <v:fill type="solid"/>
              <w10:wrap type="none"/>
            </v:shape>
            <v:shape style="position:absolute;left:6033;top:275;width:1042;height:571" type="#_x0000_t202" filled="true" fillcolor="#1f3763" stroked="false">
              <v:textbox inset="0,0,0,0">
                <w:txbxContent>
                  <w:p>
                    <w:pPr>
                      <w:spacing w:line="254" w:lineRule="auto" w:before="10"/>
                      <w:ind w:left="178" w:right="167" w:firstLine="11"/>
                      <w:jc w:val="left"/>
                      <w:rPr>
                        <w:b/>
                        <w:sz w:val="22"/>
                      </w:rPr>
                    </w:pPr>
                    <w:r>
                      <w:rPr>
                        <w:b/>
                        <w:color w:val="FFFFFF"/>
                        <w:sz w:val="22"/>
                      </w:rPr>
                      <w:t>Budget Change</w:t>
                    </w:r>
                  </w:p>
                </w:txbxContent>
              </v:textbox>
              <v:fill type="solid"/>
              <w10:wrap type="none"/>
            </v:shape>
            <v:shape style="position:absolute;left:4891;top:275;width:1137;height:571" type="#_x0000_t202" filled="true" fillcolor="#1f3763" stroked="false">
              <v:textbox inset="0,0,0,0">
                <w:txbxContent>
                  <w:p>
                    <w:pPr>
                      <w:spacing w:before="152"/>
                      <w:ind w:left="238" w:right="0" w:firstLine="0"/>
                      <w:jc w:val="left"/>
                      <w:rPr>
                        <w:b/>
                        <w:sz w:val="22"/>
                      </w:rPr>
                    </w:pPr>
                    <w:r>
                      <w:rPr>
                        <w:b/>
                        <w:color w:val="FFFFFF"/>
                        <w:sz w:val="22"/>
                      </w:rPr>
                      <w:t>Budget</w:t>
                    </w:r>
                  </w:p>
                </w:txbxContent>
              </v:textbox>
              <v:fill type="solid"/>
              <w10:wrap type="none"/>
            </v:shape>
            <v:shape style="position:absolute;left:3748;top:275;width:1137;height:571" type="#_x0000_t202" filled="true" fillcolor="#1f3763" stroked="false">
              <v:textbox inset="0,0,0,0">
                <w:txbxContent>
                  <w:p>
                    <w:pPr>
                      <w:spacing w:before="152"/>
                      <w:ind w:left="279" w:right="0" w:firstLine="0"/>
                      <w:jc w:val="left"/>
                      <w:rPr>
                        <w:b/>
                        <w:sz w:val="22"/>
                      </w:rPr>
                    </w:pPr>
                    <w:r>
                      <w:rPr>
                        <w:b/>
                        <w:color w:val="FFFFFF"/>
                        <w:sz w:val="22"/>
                      </w:rPr>
                      <w:t>Actual</w:t>
                    </w:r>
                  </w:p>
                </w:txbxContent>
              </v:textbox>
              <v:fill type="solid"/>
              <w10:wrap type="none"/>
            </v:shape>
            <w10:wrap type="topAndBottom"/>
          </v:group>
        </w:pict>
      </w:r>
    </w:p>
    <w:tbl>
      <w:tblPr>
        <w:tblW w:w="0" w:type="auto"/>
        <w:jc w:val="left"/>
        <w:tblInd w:w="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4"/>
        <w:gridCol w:w="1261"/>
        <w:gridCol w:w="1083"/>
        <w:gridCol w:w="1044"/>
        <w:gridCol w:w="1118"/>
        <w:gridCol w:w="1193"/>
        <w:gridCol w:w="1085"/>
        <w:gridCol w:w="984"/>
      </w:tblGrid>
      <w:tr>
        <w:trPr>
          <w:trHeight w:val="235" w:hRule="atLeast"/>
        </w:trPr>
        <w:tc>
          <w:tcPr>
            <w:tcW w:w="2864" w:type="dxa"/>
          </w:tcPr>
          <w:p>
            <w:pPr>
              <w:pStyle w:val="TableParagraph"/>
              <w:spacing w:line="210" w:lineRule="exact"/>
              <w:ind w:left="50"/>
              <w:rPr>
                <w:rFonts w:ascii="Calibri"/>
                <w:sz w:val="20"/>
              </w:rPr>
            </w:pPr>
            <w:r>
              <w:rPr>
                <w:rFonts w:ascii="Calibri"/>
                <w:w w:val="105"/>
                <w:sz w:val="20"/>
              </w:rPr>
              <w:t>Non-Operating Revenue</w:t>
            </w:r>
          </w:p>
        </w:tc>
        <w:tc>
          <w:tcPr>
            <w:tcW w:w="7768" w:type="dxa"/>
            <w:gridSpan w:val="7"/>
          </w:tcPr>
          <w:p>
            <w:pPr>
              <w:pStyle w:val="TableParagraph"/>
              <w:rPr>
                <w:rFonts w:ascii="Times New Roman"/>
                <w:sz w:val="16"/>
              </w:rPr>
            </w:pPr>
          </w:p>
        </w:tc>
      </w:tr>
      <w:tr>
        <w:trPr>
          <w:trHeight w:val="247" w:hRule="atLeast"/>
        </w:trPr>
        <w:tc>
          <w:tcPr>
            <w:tcW w:w="2864" w:type="dxa"/>
          </w:tcPr>
          <w:p>
            <w:pPr>
              <w:pStyle w:val="TableParagraph"/>
              <w:spacing w:line="221" w:lineRule="exact"/>
              <w:ind w:left="246"/>
              <w:rPr>
                <w:rFonts w:ascii="Calibri"/>
                <w:sz w:val="19"/>
              </w:rPr>
            </w:pPr>
            <w:r>
              <w:rPr>
                <w:rFonts w:ascii="Calibri"/>
                <w:sz w:val="19"/>
              </w:rPr>
              <w:t>Operating Assistance</w:t>
            </w:r>
          </w:p>
        </w:tc>
        <w:tc>
          <w:tcPr>
            <w:tcW w:w="1261" w:type="dxa"/>
          </w:tcPr>
          <w:p>
            <w:pPr>
              <w:pStyle w:val="TableParagraph"/>
              <w:spacing w:line="221" w:lineRule="exact"/>
              <w:ind w:right="139"/>
              <w:jc w:val="right"/>
              <w:rPr>
                <w:rFonts w:ascii="Calibri"/>
                <w:sz w:val="19"/>
              </w:rPr>
            </w:pPr>
            <w:r>
              <w:rPr>
                <w:rFonts w:ascii="Calibri"/>
                <w:sz w:val="19"/>
              </w:rPr>
              <w:t>16,818,187</w:t>
            </w:r>
          </w:p>
        </w:tc>
        <w:tc>
          <w:tcPr>
            <w:tcW w:w="1083" w:type="dxa"/>
          </w:tcPr>
          <w:p>
            <w:pPr>
              <w:pStyle w:val="TableParagraph"/>
              <w:spacing w:line="221" w:lineRule="exact"/>
              <w:ind w:right="80"/>
              <w:jc w:val="right"/>
              <w:rPr>
                <w:rFonts w:ascii="Calibri"/>
                <w:sz w:val="19"/>
              </w:rPr>
            </w:pPr>
            <w:r>
              <w:rPr>
                <w:rFonts w:ascii="Calibri"/>
                <w:sz w:val="19"/>
              </w:rPr>
              <w:t>19,169,100</w:t>
            </w:r>
          </w:p>
        </w:tc>
        <w:tc>
          <w:tcPr>
            <w:tcW w:w="1044" w:type="dxa"/>
          </w:tcPr>
          <w:p>
            <w:pPr>
              <w:pStyle w:val="TableParagraph"/>
              <w:spacing w:line="221" w:lineRule="exact"/>
              <w:ind w:right="80"/>
              <w:jc w:val="right"/>
              <w:rPr>
                <w:rFonts w:ascii="Calibri"/>
                <w:sz w:val="19"/>
              </w:rPr>
            </w:pPr>
            <w:r>
              <w:rPr>
                <w:rFonts w:ascii="Calibri"/>
                <w:color w:val="FF0000"/>
                <w:sz w:val="19"/>
              </w:rPr>
              <w:t>(2,350,913)</w:t>
            </w:r>
          </w:p>
        </w:tc>
        <w:tc>
          <w:tcPr>
            <w:tcW w:w="1118" w:type="dxa"/>
          </w:tcPr>
          <w:p>
            <w:pPr>
              <w:pStyle w:val="TableParagraph"/>
              <w:spacing w:line="221" w:lineRule="exact"/>
              <w:ind w:right="316"/>
              <w:jc w:val="right"/>
              <w:rPr>
                <w:rFonts w:ascii="Calibri"/>
                <w:sz w:val="19"/>
              </w:rPr>
            </w:pPr>
            <w:r>
              <w:rPr>
                <w:rFonts w:ascii="Calibri"/>
                <w:sz w:val="19"/>
              </w:rPr>
              <w:t>-12.3%</w:t>
            </w:r>
          </w:p>
        </w:tc>
        <w:tc>
          <w:tcPr>
            <w:tcW w:w="1193" w:type="dxa"/>
          </w:tcPr>
          <w:p>
            <w:pPr>
              <w:pStyle w:val="TableParagraph"/>
              <w:spacing w:line="221" w:lineRule="exact"/>
              <w:ind w:right="198"/>
              <w:jc w:val="right"/>
              <w:rPr>
                <w:rFonts w:ascii="Calibri"/>
                <w:sz w:val="19"/>
              </w:rPr>
            </w:pPr>
            <w:r>
              <w:rPr>
                <w:rFonts w:ascii="Calibri"/>
                <w:sz w:val="19"/>
              </w:rPr>
              <w:t>16,718,600</w:t>
            </w:r>
          </w:p>
        </w:tc>
        <w:tc>
          <w:tcPr>
            <w:tcW w:w="1085" w:type="dxa"/>
          </w:tcPr>
          <w:p>
            <w:pPr>
              <w:pStyle w:val="TableParagraph"/>
              <w:spacing w:line="221" w:lineRule="exact"/>
              <w:ind w:right="140"/>
              <w:jc w:val="right"/>
              <w:rPr>
                <w:rFonts w:ascii="Calibri"/>
                <w:sz w:val="19"/>
              </w:rPr>
            </w:pPr>
            <w:r>
              <w:rPr>
                <w:rFonts w:ascii="Calibri"/>
                <w:sz w:val="19"/>
              </w:rPr>
              <w:t>99,587</w:t>
            </w:r>
          </w:p>
        </w:tc>
        <w:tc>
          <w:tcPr>
            <w:tcW w:w="984" w:type="dxa"/>
          </w:tcPr>
          <w:p>
            <w:pPr>
              <w:pStyle w:val="TableParagraph"/>
              <w:spacing w:line="221" w:lineRule="exact"/>
              <w:ind w:left="243"/>
              <w:rPr>
                <w:rFonts w:ascii="Calibri"/>
                <w:sz w:val="19"/>
              </w:rPr>
            </w:pPr>
            <w:r>
              <w:rPr>
                <w:rFonts w:ascii="Calibri"/>
                <w:sz w:val="19"/>
              </w:rPr>
              <w:t>0.6%</w:t>
            </w:r>
          </w:p>
        </w:tc>
      </w:tr>
      <w:tr>
        <w:trPr>
          <w:trHeight w:val="249" w:hRule="atLeast"/>
        </w:trPr>
        <w:tc>
          <w:tcPr>
            <w:tcW w:w="2864" w:type="dxa"/>
          </w:tcPr>
          <w:p>
            <w:pPr>
              <w:pStyle w:val="TableParagraph"/>
              <w:spacing w:line="223" w:lineRule="exact"/>
              <w:ind w:left="246"/>
              <w:rPr>
                <w:rFonts w:ascii="Calibri"/>
                <w:sz w:val="19"/>
              </w:rPr>
            </w:pPr>
            <w:r>
              <w:rPr>
                <w:rFonts w:ascii="Calibri"/>
                <w:sz w:val="19"/>
              </w:rPr>
              <w:t>Mortgage Tax Revenue</w:t>
            </w:r>
          </w:p>
        </w:tc>
        <w:tc>
          <w:tcPr>
            <w:tcW w:w="1261" w:type="dxa"/>
          </w:tcPr>
          <w:p>
            <w:pPr>
              <w:pStyle w:val="TableParagraph"/>
              <w:spacing w:line="223" w:lineRule="exact"/>
              <w:ind w:right="139"/>
              <w:jc w:val="right"/>
              <w:rPr>
                <w:rFonts w:ascii="Calibri"/>
                <w:sz w:val="19"/>
              </w:rPr>
            </w:pPr>
            <w:r>
              <w:rPr>
                <w:rFonts w:ascii="Calibri"/>
                <w:sz w:val="19"/>
              </w:rPr>
              <w:t>2,400,657</w:t>
            </w:r>
          </w:p>
        </w:tc>
        <w:tc>
          <w:tcPr>
            <w:tcW w:w="1083" w:type="dxa"/>
          </w:tcPr>
          <w:p>
            <w:pPr>
              <w:pStyle w:val="TableParagraph"/>
              <w:spacing w:line="223" w:lineRule="exact"/>
              <w:ind w:right="80"/>
              <w:jc w:val="right"/>
              <w:rPr>
                <w:rFonts w:ascii="Calibri"/>
                <w:sz w:val="19"/>
              </w:rPr>
            </w:pPr>
            <w:r>
              <w:rPr>
                <w:rFonts w:ascii="Calibri"/>
                <w:sz w:val="19"/>
              </w:rPr>
              <w:t>1,770,000</w:t>
            </w:r>
          </w:p>
        </w:tc>
        <w:tc>
          <w:tcPr>
            <w:tcW w:w="1044" w:type="dxa"/>
          </w:tcPr>
          <w:p>
            <w:pPr>
              <w:pStyle w:val="TableParagraph"/>
              <w:spacing w:line="223" w:lineRule="exact"/>
              <w:ind w:right="77"/>
              <w:jc w:val="right"/>
              <w:rPr>
                <w:rFonts w:ascii="Calibri"/>
                <w:sz w:val="19"/>
              </w:rPr>
            </w:pPr>
            <w:r>
              <w:rPr>
                <w:rFonts w:ascii="Calibri"/>
                <w:sz w:val="19"/>
              </w:rPr>
              <w:t>630,657</w:t>
            </w:r>
          </w:p>
        </w:tc>
        <w:tc>
          <w:tcPr>
            <w:tcW w:w="1118" w:type="dxa"/>
          </w:tcPr>
          <w:p>
            <w:pPr>
              <w:pStyle w:val="TableParagraph"/>
              <w:spacing w:line="223" w:lineRule="exact"/>
              <w:ind w:right="346"/>
              <w:jc w:val="right"/>
              <w:rPr>
                <w:rFonts w:ascii="Calibri"/>
                <w:sz w:val="19"/>
              </w:rPr>
            </w:pPr>
            <w:r>
              <w:rPr>
                <w:rFonts w:ascii="Calibri"/>
                <w:sz w:val="19"/>
              </w:rPr>
              <w:t>35.6%</w:t>
            </w:r>
          </w:p>
        </w:tc>
        <w:tc>
          <w:tcPr>
            <w:tcW w:w="1193" w:type="dxa"/>
          </w:tcPr>
          <w:p>
            <w:pPr>
              <w:pStyle w:val="TableParagraph"/>
              <w:spacing w:line="223" w:lineRule="exact"/>
              <w:ind w:right="198"/>
              <w:jc w:val="right"/>
              <w:rPr>
                <w:rFonts w:ascii="Calibri"/>
                <w:sz w:val="19"/>
              </w:rPr>
            </w:pPr>
            <w:r>
              <w:rPr>
                <w:rFonts w:ascii="Calibri"/>
                <w:sz w:val="19"/>
              </w:rPr>
              <w:t>1,666,750</w:t>
            </w:r>
          </w:p>
        </w:tc>
        <w:tc>
          <w:tcPr>
            <w:tcW w:w="1085" w:type="dxa"/>
          </w:tcPr>
          <w:p>
            <w:pPr>
              <w:pStyle w:val="TableParagraph"/>
              <w:spacing w:line="223" w:lineRule="exact"/>
              <w:ind w:right="140"/>
              <w:jc w:val="right"/>
              <w:rPr>
                <w:rFonts w:ascii="Calibri"/>
                <w:sz w:val="19"/>
              </w:rPr>
            </w:pPr>
            <w:r>
              <w:rPr>
                <w:rFonts w:ascii="Calibri"/>
                <w:sz w:val="19"/>
              </w:rPr>
              <w:t>733,907</w:t>
            </w:r>
          </w:p>
        </w:tc>
        <w:tc>
          <w:tcPr>
            <w:tcW w:w="984" w:type="dxa"/>
          </w:tcPr>
          <w:p>
            <w:pPr>
              <w:pStyle w:val="TableParagraph"/>
              <w:spacing w:line="223" w:lineRule="exact"/>
              <w:ind w:right="317"/>
              <w:jc w:val="right"/>
              <w:rPr>
                <w:rFonts w:ascii="Calibri"/>
                <w:sz w:val="19"/>
              </w:rPr>
            </w:pPr>
            <w:r>
              <w:rPr>
                <w:rFonts w:ascii="Calibri"/>
                <w:sz w:val="19"/>
              </w:rPr>
              <w:t>44.0%</w:t>
            </w:r>
          </w:p>
        </w:tc>
      </w:tr>
      <w:tr>
        <w:trPr>
          <w:trHeight w:val="249" w:hRule="atLeast"/>
        </w:trPr>
        <w:tc>
          <w:tcPr>
            <w:tcW w:w="2864" w:type="dxa"/>
          </w:tcPr>
          <w:p>
            <w:pPr>
              <w:pStyle w:val="TableParagraph"/>
              <w:spacing w:line="223" w:lineRule="exact"/>
              <w:ind w:right="149"/>
              <w:jc w:val="right"/>
              <w:rPr>
                <w:rFonts w:ascii="Calibri"/>
                <w:sz w:val="19"/>
              </w:rPr>
            </w:pPr>
            <w:r>
              <w:rPr>
                <w:rFonts w:ascii="Calibri"/>
                <w:sz w:val="19"/>
              </w:rPr>
              <w:t>Gain/Loss on Disposal of Capital</w:t>
            </w:r>
          </w:p>
        </w:tc>
        <w:tc>
          <w:tcPr>
            <w:tcW w:w="1261" w:type="dxa"/>
          </w:tcPr>
          <w:p>
            <w:pPr>
              <w:pStyle w:val="TableParagraph"/>
              <w:spacing w:line="223" w:lineRule="exact"/>
              <w:ind w:right="139"/>
              <w:jc w:val="right"/>
              <w:rPr>
                <w:rFonts w:ascii="Calibri"/>
                <w:sz w:val="19"/>
              </w:rPr>
            </w:pPr>
            <w:r>
              <w:rPr>
                <w:rFonts w:ascii="Calibri"/>
                <w:sz w:val="19"/>
              </w:rPr>
              <w:t>34,331</w:t>
            </w:r>
          </w:p>
        </w:tc>
        <w:tc>
          <w:tcPr>
            <w:tcW w:w="1083" w:type="dxa"/>
          </w:tcPr>
          <w:p>
            <w:pPr>
              <w:pStyle w:val="TableParagraph"/>
              <w:spacing w:line="223" w:lineRule="exact"/>
              <w:ind w:right="80"/>
              <w:jc w:val="right"/>
              <w:rPr>
                <w:rFonts w:ascii="Calibri"/>
                <w:sz w:val="19"/>
              </w:rPr>
            </w:pPr>
            <w:r>
              <w:rPr>
                <w:rFonts w:ascii="Calibri"/>
                <w:sz w:val="19"/>
              </w:rPr>
              <w:t>12,500</w:t>
            </w:r>
          </w:p>
        </w:tc>
        <w:tc>
          <w:tcPr>
            <w:tcW w:w="1044" w:type="dxa"/>
          </w:tcPr>
          <w:p>
            <w:pPr>
              <w:pStyle w:val="TableParagraph"/>
              <w:spacing w:line="223" w:lineRule="exact"/>
              <w:ind w:right="77"/>
              <w:jc w:val="right"/>
              <w:rPr>
                <w:rFonts w:ascii="Calibri"/>
                <w:sz w:val="19"/>
              </w:rPr>
            </w:pPr>
            <w:r>
              <w:rPr>
                <w:rFonts w:ascii="Calibri"/>
                <w:sz w:val="19"/>
              </w:rPr>
              <w:t>21,831</w:t>
            </w:r>
          </w:p>
        </w:tc>
        <w:tc>
          <w:tcPr>
            <w:tcW w:w="1118" w:type="dxa"/>
          </w:tcPr>
          <w:p>
            <w:pPr>
              <w:pStyle w:val="TableParagraph"/>
              <w:spacing w:line="223" w:lineRule="exact"/>
              <w:ind w:right="298"/>
              <w:jc w:val="right"/>
              <w:rPr>
                <w:rFonts w:ascii="Calibri"/>
                <w:sz w:val="19"/>
              </w:rPr>
            </w:pPr>
            <w:r>
              <w:rPr>
                <w:rFonts w:ascii="Calibri"/>
                <w:sz w:val="19"/>
              </w:rPr>
              <w:t>174.6%</w:t>
            </w:r>
          </w:p>
        </w:tc>
        <w:tc>
          <w:tcPr>
            <w:tcW w:w="1193" w:type="dxa"/>
          </w:tcPr>
          <w:p>
            <w:pPr>
              <w:pStyle w:val="TableParagraph"/>
              <w:spacing w:line="223" w:lineRule="exact"/>
              <w:ind w:right="198"/>
              <w:jc w:val="right"/>
              <w:rPr>
                <w:rFonts w:ascii="Calibri"/>
                <w:sz w:val="19"/>
              </w:rPr>
            </w:pPr>
            <w:r>
              <w:rPr>
                <w:rFonts w:ascii="Calibri"/>
                <w:sz w:val="19"/>
              </w:rPr>
              <w:t>15,725</w:t>
            </w:r>
          </w:p>
        </w:tc>
        <w:tc>
          <w:tcPr>
            <w:tcW w:w="1085" w:type="dxa"/>
          </w:tcPr>
          <w:p>
            <w:pPr>
              <w:pStyle w:val="TableParagraph"/>
              <w:spacing w:line="223" w:lineRule="exact"/>
              <w:ind w:right="140"/>
              <w:jc w:val="right"/>
              <w:rPr>
                <w:rFonts w:ascii="Calibri"/>
                <w:sz w:val="19"/>
              </w:rPr>
            </w:pPr>
            <w:r>
              <w:rPr>
                <w:rFonts w:ascii="Calibri"/>
                <w:sz w:val="19"/>
              </w:rPr>
              <w:t>18,606</w:t>
            </w:r>
          </w:p>
        </w:tc>
        <w:tc>
          <w:tcPr>
            <w:tcW w:w="984" w:type="dxa"/>
          </w:tcPr>
          <w:p>
            <w:pPr>
              <w:pStyle w:val="TableParagraph"/>
              <w:spacing w:line="223" w:lineRule="exact"/>
              <w:ind w:right="269"/>
              <w:jc w:val="right"/>
              <w:rPr>
                <w:rFonts w:ascii="Calibri"/>
                <w:sz w:val="19"/>
              </w:rPr>
            </w:pPr>
            <w:r>
              <w:rPr>
                <w:rFonts w:ascii="Calibri"/>
                <w:sz w:val="19"/>
              </w:rPr>
              <w:t>118.3%</w:t>
            </w:r>
          </w:p>
        </w:tc>
      </w:tr>
      <w:tr>
        <w:trPr>
          <w:trHeight w:val="223" w:hRule="atLeast"/>
        </w:trPr>
        <w:tc>
          <w:tcPr>
            <w:tcW w:w="2864" w:type="dxa"/>
          </w:tcPr>
          <w:p>
            <w:pPr>
              <w:pStyle w:val="TableParagraph"/>
              <w:spacing w:line="204" w:lineRule="exact"/>
              <w:ind w:left="246"/>
              <w:rPr>
                <w:rFonts w:ascii="Calibri"/>
                <w:sz w:val="19"/>
              </w:rPr>
            </w:pPr>
            <w:r>
              <w:rPr>
                <w:rFonts w:ascii="Calibri"/>
                <w:sz w:val="19"/>
              </w:rPr>
              <w:t>Investment Revenue</w:t>
            </w:r>
          </w:p>
        </w:tc>
        <w:tc>
          <w:tcPr>
            <w:tcW w:w="1261" w:type="dxa"/>
            <w:tcBorders>
              <w:bottom w:val="single" w:sz="4" w:space="0" w:color="000000"/>
            </w:tcBorders>
          </w:tcPr>
          <w:p>
            <w:pPr>
              <w:pStyle w:val="TableParagraph"/>
              <w:spacing w:line="204" w:lineRule="exact"/>
              <w:ind w:right="139"/>
              <w:jc w:val="right"/>
              <w:rPr>
                <w:rFonts w:ascii="Calibri"/>
                <w:sz w:val="19"/>
              </w:rPr>
            </w:pPr>
            <w:r>
              <w:rPr>
                <w:rFonts w:ascii="Calibri"/>
                <w:sz w:val="19"/>
              </w:rPr>
              <w:t>274,977</w:t>
            </w:r>
          </w:p>
        </w:tc>
        <w:tc>
          <w:tcPr>
            <w:tcW w:w="1083" w:type="dxa"/>
            <w:tcBorders>
              <w:bottom w:val="single" w:sz="4" w:space="0" w:color="000000"/>
            </w:tcBorders>
          </w:tcPr>
          <w:p>
            <w:pPr>
              <w:pStyle w:val="TableParagraph"/>
              <w:spacing w:line="204" w:lineRule="exact"/>
              <w:ind w:right="80"/>
              <w:jc w:val="right"/>
              <w:rPr>
                <w:rFonts w:ascii="Calibri"/>
                <w:sz w:val="19"/>
              </w:rPr>
            </w:pPr>
            <w:r>
              <w:rPr>
                <w:rFonts w:ascii="Calibri"/>
                <w:sz w:val="19"/>
              </w:rPr>
              <w:t>125,101</w:t>
            </w:r>
          </w:p>
        </w:tc>
        <w:tc>
          <w:tcPr>
            <w:tcW w:w="1044" w:type="dxa"/>
            <w:tcBorders>
              <w:bottom w:val="single" w:sz="4" w:space="0" w:color="000000"/>
            </w:tcBorders>
          </w:tcPr>
          <w:p>
            <w:pPr>
              <w:pStyle w:val="TableParagraph"/>
              <w:spacing w:line="204" w:lineRule="exact"/>
              <w:ind w:right="77"/>
              <w:jc w:val="right"/>
              <w:rPr>
                <w:rFonts w:ascii="Calibri"/>
                <w:sz w:val="19"/>
              </w:rPr>
            </w:pPr>
            <w:r>
              <w:rPr>
                <w:rFonts w:ascii="Calibri"/>
                <w:sz w:val="19"/>
              </w:rPr>
              <w:t>149,876</w:t>
            </w:r>
          </w:p>
        </w:tc>
        <w:tc>
          <w:tcPr>
            <w:tcW w:w="1118" w:type="dxa"/>
            <w:tcBorders>
              <w:bottom w:val="single" w:sz="4" w:space="0" w:color="000000"/>
            </w:tcBorders>
          </w:tcPr>
          <w:p>
            <w:pPr>
              <w:pStyle w:val="TableParagraph"/>
              <w:spacing w:line="204" w:lineRule="exact"/>
              <w:ind w:right="298"/>
              <w:jc w:val="right"/>
              <w:rPr>
                <w:rFonts w:ascii="Calibri"/>
                <w:sz w:val="19"/>
              </w:rPr>
            </w:pPr>
            <w:r>
              <w:rPr>
                <w:rFonts w:ascii="Calibri"/>
                <w:sz w:val="19"/>
              </w:rPr>
              <w:t>119.8%</w:t>
            </w:r>
          </w:p>
        </w:tc>
        <w:tc>
          <w:tcPr>
            <w:tcW w:w="1193" w:type="dxa"/>
            <w:tcBorders>
              <w:bottom w:val="single" w:sz="4" w:space="0" w:color="000000"/>
            </w:tcBorders>
          </w:tcPr>
          <w:p>
            <w:pPr>
              <w:pStyle w:val="TableParagraph"/>
              <w:spacing w:line="204" w:lineRule="exact"/>
              <w:ind w:right="198"/>
              <w:jc w:val="right"/>
              <w:rPr>
                <w:rFonts w:ascii="Calibri"/>
                <w:sz w:val="19"/>
              </w:rPr>
            </w:pPr>
            <w:r>
              <w:rPr>
                <w:rFonts w:ascii="Calibri"/>
                <w:sz w:val="19"/>
              </w:rPr>
              <w:t>404,350</w:t>
            </w:r>
          </w:p>
        </w:tc>
        <w:tc>
          <w:tcPr>
            <w:tcW w:w="1085" w:type="dxa"/>
            <w:tcBorders>
              <w:bottom w:val="single" w:sz="4" w:space="0" w:color="000000"/>
            </w:tcBorders>
          </w:tcPr>
          <w:p>
            <w:pPr>
              <w:pStyle w:val="TableParagraph"/>
              <w:spacing w:line="204" w:lineRule="exact"/>
              <w:ind w:right="143"/>
              <w:jc w:val="right"/>
              <w:rPr>
                <w:rFonts w:ascii="Calibri"/>
                <w:sz w:val="19"/>
              </w:rPr>
            </w:pPr>
            <w:r>
              <w:rPr>
                <w:rFonts w:ascii="Calibri"/>
                <w:color w:val="FF0000"/>
                <w:sz w:val="19"/>
              </w:rPr>
              <w:t>(129,373)</w:t>
            </w:r>
          </w:p>
        </w:tc>
        <w:tc>
          <w:tcPr>
            <w:tcW w:w="984" w:type="dxa"/>
            <w:tcBorders>
              <w:bottom w:val="single" w:sz="4" w:space="0" w:color="000000"/>
            </w:tcBorders>
          </w:tcPr>
          <w:p>
            <w:pPr>
              <w:pStyle w:val="TableParagraph"/>
              <w:spacing w:line="204" w:lineRule="exact"/>
              <w:ind w:right="287"/>
              <w:jc w:val="right"/>
              <w:rPr>
                <w:rFonts w:ascii="Calibri"/>
                <w:sz w:val="19"/>
              </w:rPr>
            </w:pPr>
            <w:r>
              <w:rPr>
                <w:rFonts w:ascii="Calibri"/>
                <w:sz w:val="19"/>
              </w:rPr>
              <w:t>-32.0%</w:t>
            </w:r>
          </w:p>
        </w:tc>
      </w:tr>
      <w:tr>
        <w:trPr>
          <w:trHeight w:val="239" w:hRule="atLeast"/>
        </w:trPr>
        <w:tc>
          <w:tcPr>
            <w:tcW w:w="2864" w:type="dxa"/>
          </w:tcPr>
          <w:p>
            <w:pPr>
              <w:pStyle w:val="TableParagraph"/>
              <w:spacing w:line="212" w:lineRule="exact" w:before="7"/>
              <w:ind w:right="181"/>
              <w:jc w:val="right"/>
              <w:rPr>
                <w:rFonts w:ascii="Calibri"/>
                <w:sz w:val="19"/>
              </w:rPr>
            </w:pPr>
            <w:r>
              <w:rPr>
                <w:rFonts w:ascii="Calibri"/>
                <w:sz w:val="19"/>
              </w:rPr>
              <w:t>Total Non-Operating Revenue</w:t>
            </w:r>
          </w:p>
        </w:tc>
        <w:tc>
          <w:tcPr>
            <w:tcW w:w="1261" w:type="dxa"/>
            <w:tcBorders>
              <w:top w:val="single" w:sz="4" w:space="0" w:color="000000"/>
              <w:bottom w:val="single" w:sz="4" w:space="0" w:color="000000"/>
            </w:tcBorders>
          </w:tcPr>
          <w:p>
            <w:pPr>
              <w:pStyle w:val="TableParagraph"/>
              <w:spacing w:line="212" w:lineRule="exact" w:before="7"/>
              <w:ind w:right="139"/>
              <w:jc w:val="right"/>
              <w:rPr>
                <w:rFonts w:ascii="Calibri"/>
                <w:sz w:val="19"/>
              </w:rPr>
            </w:pPr>
            <w:r>
              <w:rPr>
                <w:rFonts w:ascii="Calibri"/>
                <w:sz w:val="19"/>
              </w:rPr>
              <w:t>19,528,152</w:t>
            </w:r>
          </w:p>
        </w:tc>
        <w:tc>
          <w:tcPr>
            <w:tcW w:w="1083" w:type="dxa"/>
            <w:tcBorders>
              <w:top w:val="single" w:sz="4" w:space="0" w:color="000000"/>
              <w:bottom w:val="single" w:sz="4" w:space="0" w:color="000000"/>
            </w:tcBorders>
          </w:tcPr>
          <w:p>
            <w:pPr>
              <w:pStyle w:val="TableParagraph"/>
              <w:spacing w:line="212" w:lineRule="exact" w:before="7"/>
              <w:ind w:right="80"/>
              <w:jc w:val="right"/>
              <w:rPr>
                <w:rFonts w:ascii="Calibri"/>
                <w:sz w:val="19"/>
              </w:rPr>
            </w:pPr>
            <w:r>
              <w:rPr>
                <w:rFonts w:ascii="Calibri"/>
                <w:sz w:val="19"/>
              </w:rPr>
              <w:t>21,076,701</w:t>
            </w:r>
          </w:p>
        </w:tc>
        <w:tc>
          <w:tcPr>
            <w:tcW w:w="1044" w:type="dxa"/>
            <w:tcBorders>
              <w:top w:val="single" w:sz="4" w:space="0" w:color="000000"/>
              <w:bottom w:val="single" w:sz="4" w:space="0" w:color="000000"/>
            </w:tcBorders>
          </w:tcPr>
          <w:p>
            <w:pPr>
              <w:pStyle w:val="TableParagraph"/>
              <w:spacing w:line="212" w:lineRule="exact" w:before="7"/>
              <w:ind w:right="80"/>
              <w:jc w:val="right"/>
              <w:rPr>
                <w:rFonts w:ascii="Calibri"/>
                <w:sz w:val="19"/>
              </w:rPr>
            </w:pPr>
            <w:r>
              <w:rPr>
                <w:rFonts w:ascii="Calibri"/>
                <w:color w:val="FF0000"/>
                <w:sz w:val="19"/>
              </w:rPr>
              <w:t>(1,548,549)</w:t>
            </w:r>
          </w:p>
        </w:tc>
        <w:tc>
          <w:tcPr>
            <w:tcW w:w="1118" w:type="dxa"/>
            <w:tcBorders>
              <w:top w:val="single" w:sz="4" w:space="0" w:color="000000"/>
              <w:bottom w:val="single" w:sz="4" w:space="0" w:color="000000"/>
            </w:tcBorders>
          </w:tcPr>
          <w:p>
            <w:pPr>
              <w:pStyle w:val="TableParagraph"/>
              <w:spacing w:line="212" w:lineRule="exact" w:before="7"/>
              <w:ind w:right="363"/>
              <w:jc w:val="right"/>
              <w:rPr>
                <w:rFonts w:ascii="Calibri"/>
                <w:sz w:val="19"/>
              </w:rPr>
            </w:pPr>
            <w:r>
              <w:rPr>
                <w:rFonts w:ascii="Calibri"/>
                <w:sz w:val="19"/>
              </w:rPr>
              <w:t>-7.4%</w:t>
            </w:r>
          </w:p>
        </w:tc>
        <w:tc>
          <w:tcPr>
            <w:tcW w:w="1193" w:type="dxa"/>
            <w:tcBorders>
              <w:top w:val="single" w:sz="4" w:space="0" w:color="000000"/>
              <w:bottom w:val="single" w:sz="4" w:space="0" w:color="000000"/>
            </w:tcBorders>
          </w:tcPr>
          <w:p>
            <w:pPr>
              <w:pStyle w:val="TableParagraph"/>
              <w:spacing w:line="212" w:lineRule="exact" w:before="7"/>
              <w:ind w:right="198"/>
              <w:jc w:val="right"/>
              <w:rPr>
                <w:rFonts w:ascii="Calibri"/>
                <w:sz w:val="19"/>
              </w:rPr>
            </w:pPr>
            <w:r>
              <w:rPr>
                <w:rFonts w:ascii="Calibri"/>
                <w:sz w:val="19"/>
              </w:rPr>
              <w:t>18,805,424</w:t>
            </w:r>
          </w:p>
        </w:tc>
        <w:tc>
          <w:tcPr>
            <w:tcW w:w="1085" w:type="dxa"/>
            <w:tcBorders>
              <w:top w:val="single" w:sz="4" w:space="0" w:color="000000"/>
              <w:bottom w:val="single" w:sz="4" w:space="0" w:color="000000"/>
            </w:tcBorders>
          </w:tcPr>
          <w:p>
            <w:pPr>
              <w:pStyle w:val="TableParagraph"/>
              <w:spacing w:line="212" w:lineRule="exact" w:before="7"/>
              <w:ind w:right="140"/>
              <w:jc w:val="right"/>
              <w:rPr>
                <w:rFonts w:ascii="Calibri"/>
                <w:sz w:val="19"/>
              </w:rPr>
            </w:pPr>
            <w:r>
              <w:rPr>
                <w:rFonts w:ascii="Calibri"/>
                <w:sz w:val="19"/>
              </w:rPr>
              <w:t>722,728</w:t>
            </w:r>
          </w:p>
        </w:tc>
        <w:tc>
          <w:tcPr>
            <w:tcW w:w="984" w:type="dxa"/>
            <w:tcBorders>
              <w:top w:val="single" w:sz="4" w:space="0" w:color="000000"/>
              <w:bottom w:val="single" w:sz="4" w:space="0" w:color="000000"/>
            </w:tcBorders>
          </w:tcPr>
          <w:p>
            <w:pPr>
              <w:pStyle w:val="TableParagraph"/>
              <w:spacing w:line="212" w:lineRule="exact" w:before="7"/>
              <w:ind w:left="243"/>
              <w:rPr>
                <w:rFonts w:ascii="Calibri"/>
                <w:sz w:val="19"/>
              </w:rPr>
            </w:pPr>
            <w:r>
              <w:rPr>
                <w:rFonts w:ascii="Calibri"/>
                <w:sz w:val="19"/>
              </w:rPr>
              <w:t>3.8%</w:t>
            </w:r>
          </w:p>
        </w:tc>
      </w:tr>
    </w:tbl>
    <w:p>
      <w:pPr>
        <w:spacing w:line="240" w:lineRule="auto" w:before="0"/>
        <w:rPr>
          <w:sz w:val="24"/>
        </w:rPr>
      </w:pPr>
    </w:p>
    <w:p>
      <w:pPr>
        <w:spacing w:before="0"/>
        <w:ind w:left="339" w:right="5591" w:firstLine="0"/>
        <w:jc w:val="both"/>
        <w:rPr>
          <w:sz w:val="22"/>
        </w:rPr>
      </w:pPr>
      <w:r>
        <w:rPr/>
        <w:drawing>
          <wp:anchor distT="0" distB="0" distL="0" distR="0" allowOverlap="1" layoutInCell="1" locked="0" behindDoc="0" simplePos="0" relativeHeight="251843584">
            <wp:simplePos x="0" y="0"/>
            <wp:positionH relativeFrom="page">
              <wp:posOffset>3978275</wp:posOffset>
            </wp:positionH>
            <wp:positionV relativeFrom="paragraph">
              <wp:posOffset>42548</wp:posOffset>
            </wp:positionV>
            <wp:extent cx="3301987" cy="2547618"/>
            <wp:effectExtent l="0" t="0" r="0" b="0"/>
            <wp:wrapNone/>
            <wp:docPr id="105" name="image55.png"/>
            <wp:cNvGraphicFramePr>
              <a:graphicFrameLocks noChangeAspect="1"/>
            </wp:cNvGraphicFramePr>
            <a:graphic>
              <a:graphicData uri="http://schemas.openxmlformats.org/drawingml/2006/picture">
                <pic:pic>
                  <pic:nvPicPr>
                    <pic:cNvPr id="106" name="image55.png"/>
                    <pic:cNvPicPr/>
                  </pic:nvPicPr>
                  <pic:blipFill>
                    <a:blip r:embed="rId157" cstate="print"/>
                    <a:stretch>
                      <a:fillRect/>
                    </a:stretch>
                  </pic:blipFill>
                  <pic:spPr>
                    <a:xfrm>
                      <a:off x="0" y="0"/>
                      <a:ext cx="3301987" cy="2547618"/>
                    </a:xfrm>
                    <a:prstGeom prst="rect">
                      <a:avLst/>
                    </a:prstGeom>
                  </pic:spPr>
                </pic:pic>
              </a:graphicData>
            </a:graphic>
          </wp:anchor>
        </w:drawing>
      </w:r>
      <w:r>
        <w:rPr>
          <w:color w:val="000099"/>
          <w:sz w:val="22"/>
        </w:rPr>
        <w:t>Operating assistance </w:t>
      </w:r>
      <w:r>
        <w:rPr>
          <w:sz w:val="22"/>
        </w:rPr>
        <w:t>revenues are 12.3% under budget expectations, and in line with prior year. The variance for both the budget and year-over-year is the result of a strategic approach to revenue recognition. While State Transit Operating Assistance (STOA) has increased, the Authority is intentionally conserving federal and state Preventive Maintenance (PM) funds for use later in the fiscal year, as operating expenses are expected to rise in the coming months.</w:t>
      </w:r>
    </w:p>
    <w:p>
      <w:pPr>
        <w:spacing w:line="240" w:lineRule="auto" w:before="12"/>
        <w:rPr>
          <w:sz w:val="21"/>
        </w:rPr>
      </w:pPr>
    </w:p>
    <w:p>
      <w:pPr>
        <w:spacing w:before="0"/>
        <w:ind w:left="339" w:right="5589" w:firstLine="0"/>
        <w:jc w:val="both"/>
        <w:rPr>
          <w:sz w:val="22"/>
        </w:rPr>
      </w:pPr>
      <w:r>
        <w:rPr>
          <w:color w:val="000099"/>
          <w:sz w:val="22"/>
        </w:rPr>
        <w:t>Mortgage</w:t>
      </w:r>
      <w:r>
        <w:rPr>
          <w:color w:val="000099"/>
          <w:spacing w:val="-14"/>
          <w:sz w:val="22"/>
        </w:rPr>
        <w:t> </w:t>
      </w:r>
      <w:r>
        <w:rPr>
          <w:color w:val="000099"/>
          <w:sz w:val="22"/>
        </w:rPr>
        <w:t>tax</w:t>
      </w:r>
      <w:r>
        <w:rPr>
          <w:color w:val="000099"/>
          <w:spacing w:val="-13"/>
          <w:sz w:val="22"/>
        </w:rPr>
        <w:t> </w:t>
      </w:r>
      <w:r>
        <w:rPr>
          <w:color w:val="000099"/>
          <w:sz w:val="22"/>
        </w:rPr>
        <w:t>revenues</w:t>
      </w:r>
      <w:r>
        <w:rPr>
          <w:color w:val="000099"/>
          <w:spacing w:val="-15"/>
          <w:sz w:val="22"/>
        </w:rPr>
        <w:t> </w:t>
      </w:r>
      <w:r>
        <w:rPr>
          <w:sz w:val="22"/>
        </w:rPr>
        <w:t>are</w:t>
      </w:r>
      <w:r>
        <w:rPr>
          <w:spacing w:val="-13"/>
          <w:sz w:val="22"/>
        </w:rPr>
        <w:t> </w:t>
      </w:r>
      <w:r>
        <w:rPr>
          <w:sz w:val="22"/>
        </w:rPr>
        <w:t>performing</w:t>
      </w:r>
      <w:r>
        <w:rPr>
          <w:spacing w:val="-12"/>
          <w:sz w:val="22"/>
        </w:rPr>
        <w:t> </w:t>
      </w:r>
      <w:r>
        <w:rPr>
          <w:sz w:val="22"/>
        </w:rPr>
        <w:t>strongly,</w:t>
      </w:r>
      <w:r>
        <w:rPr>
          <w:spacing w:val="-15"/>
          <w:sz w:val="22"/>
        </w:rPr>
        <w:t> </w:t>
      </w:r>
      <w:r>
        <w:rPr>
          <w:sz w:val="22"/>
        </w:rPr>
        <w:t>exceeding budget expectations by 36% and coming in 44% higher than prior year. While this growth reflects a healthy real estate market, the inherent volatility of this revenue source requires ongoing monitoring and conservative financial</w:t>
      </w:r>
      <w:r>
        <w:rPr>
          <w:spacing w:val="-1"/>
          <w:sz w:val="22"/>
        </w:rPr>
        <w:t> </w:t>
      </w:r>
      <w:r>
        <w:rPr>
          <w:sz w:val="22"/>
        </w:rPr>
        <w:t>planning.</w:t>
      </w:r>
    </w:p>
    <w:p>
      <w:pPr>
        <w:spacing w:line="240" w:lineRule="auto" w:before="1"/>
        <w:rPr>
          <w:sz w:val="22"/>
        </w:rPr>
      </w:pPr>
    </w:p>
    <w:p>
      <w:pPr>
        <w:spacing w:before="0"/>
        <w:ind w:left="339" w:right="154" w:firstLine="0"/>
        <w:jc w:val="both"/>
        <w:rPr>
          <w:sz w:val="22"/>
        </w:rPr>
      </w:pPr>
      <w:r>
        <w:rPr>
          <w:color w:val="000099"/>
          <w:sz w:val="22"/>
        </w:rPr>
        <w:t>Investment revenues </w:t>
      </w:r>
      <w:r>
        <w:rPr>
          <w:sz w:val="22"/>
        </w:rPr>
        <w:t>are exceeding budget expectations by over 100% and are 32% under prior year. With investment yields averaging approximately 4.0%, the Authority will continue to seek opportunities to invest idle cash strategically, while ensuring sufficient liquidity is maintained to support ongoing operations.</w:t>
      </w:r>
    </w:p>
    <w:p>
      <w:pPr>
        <w:spacing w:after="0"/>
        <w:jc w:val="both"/>
        <w:rPr>
          <w:sz w:val="22"/>
        </w:rPr>
        <w:sectPr>
          <w:headerReference w:type="default" r:id="rId155"/>
          <w:footerReference w:type="default" r:id="rId156"/>
          <w:pgSz w:w="12240" w:h="15840"/>
          <w:pgMar w:header="790" w:footer="1255" w:top="1240" w:bottom="1440" w:left="560" w:right="560"/>
          <w:pgNumType w:start="8"/>
        </w:sectPr>
      </w:pPr>
    </w:p>
    <w:p>
      <w:pPr>
        <w:spacing w:line="240" w:lineRule="auto" w:before="2"/>
        <w:rPr>
          <w:sz w:val="12"/>
        </w:rPr>
      </w:pPr>
    </w:p>
    <w:p>
      <w:pPr>
        <w:spacing w:before="45"/>
        <w:ind w:left="160" w:right="0" w:firstLine="0"/>
        <w:jc w:val="left"/>
        <w:rPr>
          <w:sz w:val="28"/>
        </w:rPr>
      </w:pPr>
      <w:r>
        <w:rPr>
          <w:color w:val="000099"/>
          <w:sz w:val="28"/>
        </w:rPr>
        <w:t>INVESTMENT REPORT</w:t>
      </w:r>
    </w:p>
    <w:p>
      <w:pPr>
        <w:spacing w:line="240" w:lineRule="auto" w:before="4"/>
        <w:rPr>
          <w:sz w:val="11"/>
        </w:rPr>
      </w:pPr>
    </w:p>
    <w:p>
      <w:pPr>
        <w:spacing w:before="57"/>
        <w:ind w:left="3229" w:right="3227" w:firstLine="0"/>
        <w:jc w:val="center"/>
        <w:rPr>
          <w:sz w:val="22"/>
        </w:rPr>
      </w:pPr>
      <w:r>
        <w:rPr>
          <w:sz w:val="22"/>
        </w:rPr>
        <w:t>Central New York Regional Transportation Authority Inventory of Existing Investments</w:t>
      </w:r>
    </w:p>
    <w:p>
      <w:pPr>
        <w:spacing w:line="267" w:lineRule="exact" w:before="0"/>
        <w:ind w:left="3227" w:right="3227" w:firstLine="0"/>
        <w:jc w:val="center"/>
        <w:rPr>
          <w:sz w:val="22"/>
        </w:rPr>
      </w:pPr>
      <w:r>
        <w:rPr>
          <w:sz w:val="22"/>
        </w:rPr>
        <w:t>As of 06/30/2025</w:t>
      </w:r>
    </w:p>
    <w:p>
      <w:pPr>
        <w:spacing w:before="0"/>
        <w:ind w:left="3226" w:right="3227" w:firstLine="0"/>
        <w:jc w:val="center"/>
        <w:rPr>
          <w:sz w:val="16"/>
        </w:rPr>
      </w:pPr>
      <w:r>
        <w:rPr>
          <w:sz w:val="16"/>
        </w:rPr>
        <w:t>(In Whole Numbers)</w:t>
      </w:r>
    </w:p>
    <w:p>
      <w:pPr>
        <w:spacing w:line="240" w:lineRule="auto" w:before="0" w:after="1"/>
        <w:rPr>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0"/>
        <w:gridCol w:w="1582"/>
        <w:gridCol w:w="1550"/>
        <w:gridCol w:w="1470"/>
        <w:gridCol w:w="1373"/>
      </w:tblGrid>
      <w:tr>
        <w:trPr>
          <w:trHeight w:val="337" w:hRule="atLeast"/>
        </w:trPr>
        <w:tc>
          <w:tcPr>
            <w:tcW w:w="4390" w:type="dxa"/>
          </w:tcPr>
          <w:p>
            <w:pPr>
              <w:pStyle w:val="TableParagraph"/>
              <w:spacing w:line="244" w:lineRule="exact"/>
              <w:ind w:left="50"/>
              <w:rPr>
                <w:rFonts w:ascii="Calibri"/>
                <w:b/>
                <w:sz w:val="24"/>
              </w:rPr>
            </w:pPr>
            <w:r>
              <w:rPr>
                <w:rFonts w:ascii="Calibri"/>
                <w:b/>
                <w:sz w:val="24"/>
              </w:rPr>
              <w:t>Cash Investments</w:t>
            </w:r>
          </w:p>
        </w:tc>
        <w:tc>
          <w:tcPr>
            <w:tcW w:w="1582" w:type="dxa"/>
          </w:tcPr>
          <w:p>
            <w:pPr>
              <w:pStyle w:val="TableParagraph"/>
              <w:spacing w:line="244" w:lineRule="exact"/>
              <w:ind w:left="340"/>
              <w:rPr>
                <w:rFonts w:ascii="Calibri"/>
                <w:b/>
                <w:sz w:val="24"/>
              </w:rPr>
            </w:pPr>
            <w:r>
              <w:rPr>
                <w:rFonts w:ascii="Calibri"/>
                <w:b/>
                <w:sz w:val="24"/>
              </w:rPr>
              <w:t>Institution</w:t>
            </w:r>
          </w:p>
        </w:tc>
        <w:tc>
          <w:tcPr>
            <w:tcW w:w="1550" w:type="dxa"/>
          </w:tcPr>
          <w:p>
            <w:pPr>
              <w:pStyle w:val="TableParagraph"/>
              <w:spacing w:line="244" w:lineRule="exact"/>
              <w:ind w:left="197"/>
              <w:rPr>
                <w:rFonts w:ascii="Calibri"/>
                <w:b/>
                <w:sz w:val="24"/>
              </w:rPr>
            </w:pPr>
            <w:r>
              <w:rPr>
                <w:rFonts w:ascii="Calibri"/>
                <w:b/>
                <w:sz w:val="24"/>
              </w:rPr>
              <w:t>Interest Rate</w:t>
            </w:r>
          </w:p>
        </w:tc>
        <w:tc>
          <w:tcPr>
            <w:tcW w:w="1470" w:type="dxa"/>
          </w:tcPr>
          <w:p>
            <w:pPr>
              <w:pStyle w:val="TableParagraph"/>
              <w:spacing w:line="244" w:lineRule="exact"/>
              <w:ind w:left="447"/>
              <w:rPr>
                <w:rFonts w:ascii="Calibri"/>
                <w:b/>
                <w:sz w:val="24"/>
              </w:rPr>
            </w:pPr>
            <w:r>
              <w:rPr>
                <w:rFonts w:ascii="Calibri"/>
                <w:b/>
                <w:sz w:val="24"/>
              </w:rPr>
              <w:t>Amount</w:t>
            </w:r>
          </w:p>
        </w:tc>
        <w:tc>
          <w:tcPr>
            <w:tcW w:w="1373" w:type="dxa"/>
          </w:tcPr>
          <w:p>
            <w:pPr>
              <w:pStyle w:val="TableParagraph"/>
              <w:spacing w:line="244" w:lineRule="exact"/>
              <w:ind w:right="83"/>
              <w:jc w:val="right"/>
              <w:rPr>
                <w:rFonts w:ascii="Calibri"/>
                <w:b/>
                <w:sz w:val="24"/>
              </w:rPr>
            </w:pPr>
            <w:r>
              <w:rPr>
                <w:rFonts w:ascii="Calibri"/>
                <w:b/>
                <w:sz w:val="24"/>
              </w:rPr>
              <w:t>Total</w:t>
            </w:r>
          </w:p>
        </w:tc>
      </w:tr>
      <w:tr>
        <w:trPr>
          <w:trHeight w:val="610" w:hRule="atLeast"/>
        </w:trPr>
        <w:tc>
          <w:tcPr>
            <w:tcW w:w="4390" w:type="dxa"/>
          </w:tcPr>
          <w:p>
            <w:pPr>
              <w:pStyle w:val="TableParagraph"/>
              <w:spacing w:before="53"/>
              <w:ind w:left="409" w:right="809" w:hanging="360"/>
              <w:rPr>
                <w:rFonts w:ascii="Calibri"/>
                <w:sz w:val="22"/>
              </w:rPr>
            </w:pPr>
            <w:r>
              <w:rPr>
                <w:rFonts w:ascii="Calibri"/>
                <w:sz w:val="22"/>
              </w:rPr>
              <w:t>Unrestricted - Operating Funds Commercial Savings - General Fund</w:t>
            </w:r>
          </w:p>
        </w:tc>
        <w:tc>
          <w:tcPr>
            <w:tcW w:w="1582" w:type="dxa"/>
          </w:tcPr>
          <w:p>
            <w:pPr>
              <w:pStyle w:val="TableParagraph"/>
              <w:spacing w:before="4"/>
              <w:rPr>
                <w:rFonts w:ascii="Calibri"/>
                <w:sz w:val="26"/>
              </w:rPr>
            </w:pPr>
          </w:p>
          <w:p>
            <w:pPr>
              <w:pStyle w:val="TableParagraph"/>
              <w:ind w:left="323"/>
              <w:rPr>
                <w:rFonts w:ascii="Calibri"/>
                <w:sz w:val="22"/>
              </w:rPr>
            </w:pPr>
            <w:r>
              <w:rPr>
                <w:rFonts w:ascii="Calibri"/>
                <w:sz w:val="22"/>
              </w:rPr>
              <w:t>M&amp;T Bank</w:t>
            </w:r>
          </w:p>
        </w:tc>
        <w:tc>
          <w:tcPr>
            <w:tcW w:w="1550" w:type="dxa"/>
          </w:tcPr>
          <w:p>
            <w:pPr>
              <w:pStyle w:val="TableParagraph"/>
              <w:spacing w:before="4"/>
              <w:rPr>
                <w:rFonts w:ascii="Calibri"/>
                <w:sz w:val="26"/>
              </w:rPr>
            </w:pPr>
          </w:p>
          <w:p>
            <w:pPr>
              <w:pStyle w:val="TableParagraph"/>
              <w:ind w:left="375"/>
              <w:rPr>
                <w:rFonts w:ascii="Calibri"/>
                <w:sz w:val="22"/>
              </w:rPr>
            </w:pPr>
            <w:r>
              <w:rPr>
                <w:rFonts w:ascii="Calibri"/>
                <w:sz w:val="22"/>
              </w:rPr>
              <w:t>2.50%</w:t>
            </w:r>
          </w:p>
        </w:tc>
        <w:tc>
          <w:tcPr>
            <w:tcW w:w="1470" w:type="dxa"/>
          </w:tcPr>
          <w:p>
            <w:pPr>
              <w:pStyle w:val="TableParagraph"/>
              <w:spacing w:before="4"/>
              <w:rPr>
                <w:rFonts w:ascii="Calibri"/>
                <w:sz w:val="26"/>
              </w:rPr>
            </w:pPr>
          </w:p>
          <w:p>
            <w:pPr>
              <w:pStyle w:val="TableParagraph"/>
              <w:ind w:left="54"/>
              <w:rPr>
                <w:rFonts w:ascii="Calibri"/>
                <w:sz w:val="22"/>
              </w:rPr>
            </w:pPr>
            <w:r>
              <w:rPr>
                <w:rFonts w:ascii="Calibri"/>
                <w:sz w:val="22"/>
              </w:rPr>
              <w:t>$18,133,237</w:t>
            </w:r>
          </w:p>
        </w:tc>
        <w:tc>
          <w:tcPr>
            <w:tcW w:w="1373" w:type="dxa"/>
          </w:tcPr>
          <w:p>
            <w:pPr>
              <w:pStyle w:val="TableParagraph"/>
              <w:rPr>
                <w:rFonts w:ascii="Times New Roman"/>
                <w:sz w:val="22"/>
              </w:rPr>
            </w:pPr>
          </w:p>
        </w:tc>
      </w:tr>
      <w:tr>
        <w:trPr>
          <w:trHeight w:val="366" w:hRule="atLeast"/>
        </w:trPr>
        <w:tc>
          <w:tcPr>
            <w:tcW w:w="4390" w:type="dxa"/>
          </w:tcPr>
          <w:p>
            <w:pPr>
              <w:pStyle w:val="TableParagraph"/>
              <w:rPr>
                <w:rFonts w:ascii="Times New Roman"/>
                <w:sz w:val="22"/>
              </w:rPr>
            </w:pPr>
          </w:p>
        </w:tc>
        <w:tc>
          <w:tcPr>
            <w:tcW w:w="1582" w:type="dxa"/>
          </w:tcPr>
          <w:p>
            <w:pPr>
              <w:pStyle w:val="TableParagraph"/>
              <w:rPr>
                <w:rFonts w:ascii="Times New Roman"/>
                <w:sz w:val="22"/>
              </w:rPr>
            </w:pPr>
          </w:p>
        </w:tc>
        <w:tc>
          <w:tcPr>
            <w:tcW w:w="1550" w:type="dxa"/>
          </w:tcPr>
          <w:p>
            <w:pPr>
              <w:pStyle w:val="TableParagraph"/>
              <w:rPr>
                <w:rFonts w:ascii="Times New Roman"/>
                <w:sz w:val="22"/>
              </w:rPr>
            </w:pPr>
          </w:p>
        </w:tc>
        <w:tc>
          <w:tcPr>
            <w:tcW w:w="1470" w:type="dxa"/>
          </w:tcPr>
          <w:p>
            <w:pPr>
              <w:pStyle w:val="TableParagraph"/>
              <w:rPr>
                <w:rFonts w:ascii="Times New Roman"/>
                <w:sz w:val="22"/>
              </w:rPr>
            </w:pPr>
          </w:p>
        </w:tc>
        <w:tc>
          <w:tcPr>
            <w:tcW w:w="1373" w:type="dxa"/>
          </w:tcPr>
          <w:p>
            <w:pPr>
              <w:pStyle w:val="TableParagraph"/>
              <w:spacing w:line="249" w:lineRule="exact"/>
              <w:ind w:right="50"/>
              <w:jc w:val="right"/>
              <w:rPr>
                <w:rFonts w:ascii="Calibri"/>
                <w:sz w:val="22"/>
              </w:rPr>
            </w:pPr>
            <w:r>
              <w:rPr>
                <w:rFonts w:ascii="Calibri"/>
                <w:sz w:val="22"/>
                <w:u w:val="single"/>
              </w:rPr>
              <w:t>$18,133,237</w:t>
            </w:r>
          </w:p>
        </w:tc>
      </w:tr>
      <w:tr>
        <w:trPr>
          <w:trHeight w:val="634" w:hRule="atLeast"/>
        </w:trPr>
        <w:tc>
          <w:tcPr>
            <w:tcW w:w="4390" w:type="dxa"/>
          </w:tcPr>
          <w:p>
            <w:pPr>
              <w:pStyle w:val="TableParagraph"/>
              <w:spacing w:before="77"/>
              <w:ind w:left="229" w:right="841" w:hanging="180"/>
              <w:rPr>
                <w:rFonts w:ascii="Calibri"/>
                <w:sz w:val="22"/>
              </w:rPr>
            </w:pPr>
            <w:r>
              <w:rPr>
                <w:rFonts w:ascii="Calibri"/>
                <w:sz w:val="22"/>
              </w:rPr>
              <w:t>Board Designated - Funded Reserves Commercial Savings - Health Reserve</w:t>
            </w:r>
          </w:p>
        </w:tc>
        <w:tc>
          <w:tcPr>
            <w:tcW w:w="1582" w:type="dxa"/>
          </w:tcPr>
          <w:p>
            <w:pPr>
              <w:pStyle w:val="TableParagraph"/>
              <w:spacing w:before="4"/>
              <w:rPr>
                <w:rFonts w:ascii="Calibri"/>
                <w:sz w:val="28"/>
              </w:rPr>
            </w:pPr>
          </w:p>
          <w:p>
            <w:pPr>
              <w:pStyle w:val="TableParagraph"/>
              <w:ind w:left="323"/>
              <w:rPr>
                <w:rFonts w:ascii="Calibri"/>
                <w:sz w:val="22"/>
              </w:rPr>
            </w:pPr>
            <w:r>
              <w:rPr>
                <w:rFonts w:ascii="Calibri"/>
                <w:sz w:val="22"/>
              </w:rPr>
              <w:t>M&amp;T Bank</w:t>
            </w:r>
          </w:p>
        </w:tc>
        <w:tc>
          <w:tcPr>
            <w:tcW w:w="1550" w:type="dxa"/>
          </w:tcPr>
          <w:p>
            <w:pPr>
              <w:pStyle w:val="TableParagraph"/>
              <w:spacing w:before="4"/>
              <w:rPr>
                <w:rFonts w:ascii="Calibri"/>
                <w:sz w:val="28"/>
              </w:rPr>
            </w:pPr>
          </w:p>
          <w:p>
            <w:pPr>
              <w:pStyle w:val="TableParagraph"/>
              <w:ind w:left="375"/>
              <w:rPr>
                <w:rFonts w:ascii="Calibri"/>
                <w:sz w:val="22"/>
              </w:rPr>
            </w:pPr>
            <w:r>
              <w:rPr>
                <w:rFonts w:ascii="Calibri"/>
                <w:sz w:val="22"/>
              </w:rPr>
              <w:t>2.50%</w:t>
            </w:r>
          </w:p>
        </w:tc>
        <w:tc>
          <w:tcPr>
            <w:tcW w:w="1470" w:type="dxa"/>
          </w:tcPr>
          <w:p>
            <w:pPr>
              <w:pStyle w:val="TableParagraph"/>
              <w:spacing w:before="4"/>
              <w:rPr>
                <w:rFonts w:ascii="Calibri"/>
                <w:sz w:val="28"/>
              </w:rPr>
            </w:pPr>
          </w:p>
          <w:p>
            <w:pPr>
              <w:pStyle w:val="TableParagraph"/>
              <w:ind w:left="167"/>
              <w:rPr>
                <w:rFonts w:ascii="Calibri"/>
                <w:sz w:val="22"/>
              </w:rPr>
            </w:pPr>
            <w:r>
              <w:rPr>
                <w:rFonts w:ascii="Calibri"/>
                <w:sz w:val="22"/>
              </w:rPr>
              <w:t>$3,215,668</w:t>
            </w:r>
          </w:p>
        </w:tc>
        <w:tc>
          <w:tcPr>
            <w:tcW w:w="1373" w:type="dxa"/>
          </w:tcPr>
          <w:p>
            <w:pPr>
              <w:pStyle w:val="TableParagraph"/>
              <w:rPr>
                <w:rFonts w:ascii="Times New Roman"/>
                <w:sz w:val="22"/>
              </w:rPr>
            </w:pPr>
          </w:p>
        </w:tc>
      </w:tr>
      <w:tr>
        <w:trPr>
          <w:trHeight w:val="268" w:hRule="atLeast"/>
        </w:trPr>
        <w:tc>
          <w:tcPr>
            <w:tcW w:w="4390" w:type="dxa"/>
          </w:tcPr>
          <w:p>
            <w:pPr>
              <w:pStyle w:val="TableParagraph"/>
              <w:spacing w:line="249" w:lineRule="exact"/>
              <w:ind w:left="230"/>
              <w:rPr>
                <w:rFonts w:ascii="Calibri"/>
                <w:sz w:val="22"/>
              </w:rPr>
            </w:pPr>
            <w:r>
              <w:rPr>
                <w:rFonts w:ascii="Calibri"/>
                <w:sz w:val="22"/>
              </w:rPr>
              <w:t>Commercial Savings - Insurance Reserve</w:t>
            </w:r>
          </w:p>
        </w:tc>
        <w:tc>
          <w:tcPr>
            <w:tcW w:w="1582" w:type="dxa"/>
          </w:tcPr>
          <w:p>
            <w:pPr>
              <w:pStyle w:val="TableParagraph"/>
              <w:spacing w:line="249" w:lineRule="exact"/>
              <w:ind w:left="323"/>
              <w:rPr>
                <w:rFonts w:ascii="Calibri"/>
                <w:sz w:val="22"/>
              </w:rPr>
            </w:pPr>
            <w:r>
              <w:rPr>
                <w:rFonts w:ascii="Calibri"/>
                <w:sz w:val="22"/>
              </w:rPr>
              <w:t>M&amp;T Bank</w:t>
            </w:r>
          </w:p>
        </w:tc>
        <w:tc>
          <w:tcPr>
            <w:tcW w:w="1550" w:type="dxa"/>
          </w:tcPr>
          <w:p>
            <w:pPr>
              <w:pStyle w:val="TableParagraph"/>
              <w:spacing w:line="249" w:lineRule="exact"/>
              <w:ind w:left="375"/>
              <w:rPr>
                <w:rFonts w:ascii="Calibri"/>
                <w:sz w:val="22"/>
              </w:rPr>
            </w:pPr>
            <w:r>
              <w:rPr>
                <w:rFonts w:ascii="Calibri"/>
                <w:sz w:val="22"/>
              </w:rPr>
              <w:t>2.50%</w:t>
            </w:r>
          </w:p>
        </w:tc>
        <w:tc>
          <w:tcPr>
            <w:tcW w:w="1470" w:type="dxa"/>
          </w:tcPr>
          <w:p>
            <w:pPr>
              <w:pStyle w:val="TableParagraph"/>
              <w:spacing w:line="249" w:lineRule="exact"/>
              <w:ind w:left="556"/>
              <w:rPr>
                <w:rFonts w:ascii="Calibri"/>
                <w:sz w:val="22"/>
              </w:rPr>
            </w:pPr>
            <w:r>
              <w:rPr>
                <w:rFonts w:ascii="Calibri"/>
                <w:sz w:val="22"/>
              </w:rPr>
              <w:t>$2,851</w:t>
            </w:r>
          </w:p>
        </w:tc>
        <w:tc>
          <w:tcPr>
            <w:tcW w:w="1373" w:type="dxa"/>
          </w:tcPr>
          <w:p>
            <w:pPr>
              <w:pStyle w:val="TableParagraph"/>
              <w:rPr>
                <w:rFonts w:ascii="Times New Roman"/>
                <w:sz w:val="18"/>
              </w:rPr>
            </w:pPr>
          </w:p>
        </w:tc>
      </w:tr>
      <w:tr>
        <w:trPr>
          <w:trHeight w:val="268" w:hRule="atLeast"/>
        </w:trPr>
        <w:tc>
          <w:tcPr>
            <w:tcW w:w="4390" w:type="dxa"/>
          </w:tcPr>
          <w:p>
            <w:pPr>
              <w:pStyle w:val="TableParagraph"/>
              <w:spacing w:line="249" w:lineRule="exact"/>
              <w:ind w:left="230"/>
              <w:rPr>
                <w:rFonts w:ascii="Calibri"/>
                <w:sz w:val="22"/>
              </w:rPr>
            </w:pPr>
            <w:r>
              <w:rPr>
                <w:rFonts w:ascii="Calibri"/>
                <w:sz w:val="22"/>
              </w:rPr>
              <w:t>Commercial Checking - Capital Reserve</w:t>
            </w:r>
          </w:p>
        </w:tc>
        <w:tc>
          <w:tcPr>
            <w:tcW w:w="1582" w:type="dxa"/>
          </w:tcPr>
          <w:p>
            <w:pPr>
              <w:pStyle w:val="TableParagraph"/>
              <w:spacing w:line="249" w:lineRule="exact"/>
              <w:ind w:left="323"/>
              <w:rPr>
                <w:rFonts w:ascii="Calibri"/>
                <w:sz w:val="22"/>
              </w:rPr>
            </w:pPr>
            <w:r>
              <w:rPr>
                <w:rFonts w:ascii="Calibri"/>
                <w:sz w:val="22"/>
              </w:rPr>
              <w:t>JP Morgan</w:t>
            </w:r>
          </w:p>
        </w:tc>
        <w:tc>
          <w:tcPr>
            <w:tcW w:w="1550" w:type="dxa"/>
          </w:tcPr>
          <w:p>
            <w:pPr>
              <w:pStyle w:val="TableParagraph"/>
              <w:spacing w:line="249" w:lineRule="exact"/>
              <w:ind w:left="375"/>
              <w:rPr>
                <w:rFonts w:ascii="Calibri"/>
                <w:sz w:val="22"/>
              </w:rPr>
            </w:pPr>
            <w:r>
              <w:rPr>
                <w:rFonts w:ascii="Calibri"/>
                <w:sz w:val="22"/>
              </w:rPr>
              <w:t>1.65%</w:t>
            </w:r>
          </w:p>
        </w:tc>
        <w:tc>
          <w:tcPr>
            <w:tcW w:w="1470" w:type="dxa"/>
          </w:tcPr>
          <w:p>
            <w:pPr>
              <w:pStyle w:val="TableParagraph"/>
              <w:spacing w:line="249" w:lineRule="exact"/>
              <w:ind w:left="332"/>
              <w:rPr>
                <w:rFonts w:ascii="Calibri"/>
                <w:sz w:val="22"/>
              </w:rPr>
            </w:pPr>
            <w:r>
              <w:rPr>
                <w:rFonts w:ascii="Calibri"/>
                <w:sz w:val="22"/>
              </w:rPr>
              <w:t>$830,210</w:t>
            </w:r>
          </w:p>
        </w:tc>
        <w:tc>
          <w:tcPr>
            <w:tcW w:w="1373" w:type="dxa"/>
          </w:tcPr>
          <w:p>
            <w:pPr>
              <w:pStyle w:val="TableParagraph"/>
              <w:rPr>
                <w:rFonts w:ascii="Times New Roman"/>
                <w:sz w:val="18"/>
              </w:rPr>
            </w:pPr>
          </w:p>
        </w:tc>
      </w:tr>
      <w:tr>
        <w:trPr>
          <w:trHeight w:val="635" w:hRule="atLeast"/>
        </w:trPr>
        <w:tc>
          <w:tcPr>
            <w:tcW w:w="4390" w:type="dxa"/>
          </w:tcPr>
          <w:p>
            <w:pPr>
              <w:pStyle w:val="TableParagraph"/>
              <w:spacing w:line="249" w:lineRule="exact"/>
              <w:ind w:left="230"/>
              <w:rPr>
                <w:rFonts w:ascii="Calibri"/>
                <w:sz w:val="22"/>
              </w:rPr>
            </w:pPr>
            <w:r>
              <w:rPr>
                <w:rFonts w:ascii="Calibri"/>
                <w:sz w:val="22"/>
              </w:rPr>
              <w:t>Commercial Checking - Paratransit Reserve</w:t>
            </w:r>
          </w:p>
        </w:tc>
        <w:tc>
          <w:tcPr>
            <w:tcW w:w="1582" w:type="dxa"/>
          </w:tcPr>
          <w:p>
            <w:pPr>
              <w:pStyle w:val="TableParagraph"/>
              <w:spacing w:line="249" w:lineRule="exact"/>
              <w:ind w:left="323"/>
              <w:rPr>
                <w:rFonts w:ascii="Calibri"/>
                <w:sz w:val="22"/>
              </w:rPr>
            </w:pPr>
            <w:r>
              <w:rPr>
                <w:rFonts w:ascii="Calibri"/>
                <w:sz w:val="22"/>
              </w:rPr>
              <w:t>JP Morgan</w:t>
            </w:r>
          </w:p>
        </w:tc>
        <w:tc>
          <w:tcPr>
            <w:tcW w:w="1550" w:type="dxa"/>
          </w:tcPr>
          <w:p>
            <w:pPr>
              <w:pStyle w:val="TableParagraph"/>
              <w:spacing w:line="249" w:lineRule="exact"/>
              <w:ind w:left="375"/>
              <w:rPr>
                <w:rFonts w:ascii="Calibri"/>
                <w:sz w:val="22"/>
              </w:rPr>
            </w:pPr>
            <w:r>
              <w:rPr>
                <w:rFonts w:ascii="Calibri"/>
                <w:sz w:val="22"/>
              </w:rPr>
              <w:t>1.65%</w:t>
            </w:r>
          </w:p>
        </w:tc>
        <w:tc>
          <w:tcPr>
            <w:tcW w:w="1470" w:type="dxa"/>
          </w:tcPr>
          <w:p>
            <w:pPr>
              <w:pStyle w:val="TableParagraph"/>
              <w:spacing w:line="249" w:lineRule="exact"/>
              <w:ind w:left="443"/>
              <w:rPr>
                <w:rFonts w:ascii="Calibri"/>
                <w:sz w:val="22"/>
              </w:rPr>
            </w:pPr>
            <w:r>
              <w:rPr>
                <w:rFonts w:ascii="Calibri"/>
                <w:sz w:val="22"/>
              </w:rPr>
              <w:t>$90,914</w:t>
            </w:r>
          </w:p>
        </w:tc>
        <w:tc>
          <w:tcPr>
            <w:tcW w:w="1373" w:type="dxa"/>
          </w:tcPr>
          <w:p>
            <w:pPr>
              <w:pStyle w:val="TableParagraph"/>
              <w:spacing w:before="5"/>
              <w:rPr>
                <w:rFonts w:ascii="Calibri"/>
                <w:sz w:val="20"/>
              </w:rPr>
            </w:pPr>
          </w:p>
          <w:p>
            <w:pPr>
              <w:pStyle w:val="TableParagraph"/>
              <w:ind w:right="52"/>
              <w:jc w:val="right"/>
              <w:rPr>
                <w:rFonts w:ascii="Calibri"/>
                <w:sz w:val="22"/>
              </w:rPr>
            </w:pPr>
            <w:r>
              <w:rPr>
                <w:rFonts w:ascii="Calibri"/>
                <w:sz w:val="22"/>
                <w:u w:val="single"/>
              </w:rPr>
              <w:t>$4,139,643</w:t>
            </w:r>
          </w:p>
        </w:tc>
      </w:tr>
      <w:tr>
        <w:trPr>
          <w:trHeight w:val="341" w:hRule="atLeast"/>
        </w:trPr>
        <w:tc>
          <w:tcPr>
            <w:tcW w:w="4390" w:type="dxa"/>
          </w:tcPr>
          <w:p>
            <w:pPr>
              <w:pStyle w:val="TableParagraph"/>
              <w:spacing w:line="245" w:lineRule="exact" w:before="77"/>
              <w:ind w:left="410"/>
              <w:rPr>
                <w:rFonts w:ascii="Calibri"/>
                <w:sz w:val="22"/>
              </w:rPr>
            </w:pPr>
            <w:r>
              <w:rPr>
                <w:rFonts w:ascii="Calibri"/>
                <w:sz w:val="22"/>
              </w:rPr>
              <w:t>Total Cash Investment Value</w:t>
            </w:r>
          </w:p>
        </w:tc>
        <w:tc>
          <w:tcPr>
            <w:tcW w:w="1582" w:type="dxa"/>
          </w:tcPr>
          <w:p>
            <w:pPr>
              <w:pStyle w:val="TableParagraph"/>
              <w:rPr>
                <w:rFonts w:ascii="Times New Roman"/>
                <w:sz w:val="22"/>
              </w:rPr>
            </w:pPr>
          </w:p>
        </w:tc>
        <w:tc>
          <w:tcPr>
            <w:tcW w:w="1550" w:type="dxa"/>
          </w:tcPr>
          <w:p>
            <w:pPr>
              <w:pStyle w:val="TableParagraph"/>
              <w:rPr>
                <w:rFonts w:ascii="Times New Roman"/>
                <w:sz w:val="22"/>
              </w:rPr>
            </w:pPr>
          </w:p>
        </w:tc>
        <w:tc>
          <w:tcPr>
            <w:tcW w:w="1470" w:type="dxa"/>
          </w:tcPr>
          <w:p>
            <w:pPr>
              <w:pStyle w:val="TableParagraph"/>
              <w:rPr>
                <w:rFonts w:ascii="Times New Roman"/>
                <w:sz w:val="22"/>
              </w:rPr>
            </w:pPr>
          </w:p>
        </w:tc>
        <w:tc>
          <w:tcPr>
            <w:tcW w:w="1373" w:type="dxa"/>
          </w:tcPr>
          <w:p>
            <w:pPr>
              <w:pStyle w:val="TableParagraph"/>
              <w:spacing w:line="245" w:lineRule="exact" w:before="77"/>
              <w:ind w:right="51"/>
              <w:jc w:val="right"/>
              <w:rPr>
                <w:rFonts w:ascii="Calibri"/>
                <w:sz w:val="22"/>
              </w:rPr>
            </w:pPr>
            <w:r>
              <w:rPr>
                <w:rFonts w:ascii="Calibri"/>
                <w:sz w:val="22"/>
                <w:u w:val="double"/>
              </w:rPr>
              <w:t>$22,272,880</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after="0"/>
        <w:rPr>
          <w:sz w:val="12"/>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4"/>
        <w:gridCol w:w="1176"/>
        <w:gridCol w:w="784"/>
        <w:gridCol w:w="774"/>
        <w:gridCol w:w="1184"/>
        <w:gridCol w:w="1229"/>
        <w:gridCol w:w="1297"/>
        <w:gridCol w:w="1183"/>
      </w:tblGrid>
      <w:tr>
        <w:trPr>
          <w:trHeight w:val="630" w:hRule="atLeast"/>
        </w:trPr>
        <w:tc>
          <w:tcPr>
            <w:tcW w:w="3274" w:type="dxa"/>
          </w:tcPr>
          <w:p>
            <w:pPr>
              <w:pStyle w:val="TableParagraph"/>
              <w:rPr>
                <w:rFonts w:ascii="Calibri"/>
                <w:sz w:val="20"/>
              </w:rPr>
            </w:pPr>
          </w:p>
          <w:p>
            <w:pPr>
              <w:pStyle w:val="TableParagraph"/>
              <w:ind w:left="50"/>
              <w:rPr>
                <w:rFonts w:ascii="Calibri"/>
                <w:b/>
                <w:sz w:val="24"/>
              </w:rPr>
            </w:pPr>
            <w:r>
              <w:rPr>
                <w:rFonts w:ascii="Calibri"/>
                <w:b/>
                <w:sz w:val="24"/>
              </w:rPr>
              <w:t>Investments</w:t>
            </w:r>
          </w:p>
        </w:tc>
        <w:tc>
          <w:tcPr>
            <w:tcW w:w="1176" w:type="dxa"/>
          </w:tcPr>
          <w:p>
            <w:pPr>
              <w:pStyle w:val="TableParagraph"/>
              <w:rPr>
                <w:rFonts w:ascii="Calibri"/>
                <w:sz w:val="20"/>
              </w:rPr>
            </w:pPr>
          </w:p>
          <w:p>
            <w:pPr>
              <w:pStyle w:val="TableParagraph"/>
              <w:ind w:left="35"/>
              <w:rPr>
                <w:rFonts w:ascii="Calibri"/>
                <w:b/>
                <w:sz w:val="24"/>
              </w:rPr>
            </w:pPr>
            <w:r>
              <w:rPr>
                <w:rFonts w:ascii="Calibri"/>
                <w:b/>
                <w:sz w:val="24"/>
              </w:rPr>
              <w:t>Institution</w:t>
            </w:r>
          </w:p>
        </w:tc>
        <w:tc>
          <w:tcPr>
            <w:tcW w:w="784" w:type="dxa"/>
          </w:tcPr>
          <w:p>
            <w:pPr>
              <w:pStyle w:val="TableParagraph"/>
              <w:rPr>
                <w:rFonts w:ascii="Calibri"/>
                <w:sz w:val="20"/>
              </w:rPr>
            </w:pPr>
          </w:p>
          <w:p>
            <w:pPr>
              <w:pStyle w:val="TableParagraph"/>
              <w:ind w:left="126"/>
              <w:rPr>
                <w:rFonts w:ascii="Calibri"/>
                <w:b/>
                <w:sz w:val="24"/>
              </w:rPr>
            </w:pPr>
            <w:r>
              <w:rPr>
                <w:rFonts w:ascii="Calibri"/>
                <w:b/>
                <w:sz w:val="24"/>
              </w:rPr>
              <w:t>Yield</w:t>
            </w:r>
          </w:p>
        </w:tc>
        <w:tc>
          <w:tcPr>
            <w:tcW w:w="774" w:type="dxa"/>
          </w:tcPr>
          <w:p>
            <w:pPr>
              <w:pStyle w:val="TableParagraph"/>
              <w:rPr>
                <w:rFonts w:ascii="Calibri"/>
                <w:sz w:val="20"/>
              </w:rPr>
            </w:pPr>
          </w:p>
          <w:p>
            <w:pPr>
              <w:pStyle w:val="TableParagraph"/>
              <w:ind w:right="112"/>
              <w:jc w:val="right"/>
              <w:rPr>
                <w:rFonts w:ascii="Calibri"/>
                <w:b/>
                <w:sz w:val="24"/>
              </w:rPr>
            </w:pPr>
            <w:r>
              <w:rPr>
                <w:rFonts w:ascii="Calibri"/>
                <w:b/>
                <w:sz w:val="24"/>
              </w:rPr>
              <w:t>Term</w:t>
            </w:r>
          </w:p>
        </w:tc>
        <w:tc>
          <w:tcPr>
            <w:tcW w:w="1184" w:type="dxa"/>
          </w:tcPr>
          <w:p>
            <w:pPr>
              <w:pStyle w:val="TableParagraph"/>
              <w:spacing w:line="244" w:lineRule="exact"/>
              <w:ind w:left="248"/>
              <w:rPr>
                <w:rFonts w:ascii="Calibri"/>
                <w:b/>
                <w:sz w:val="24"/>
              </w:rPr>
            </w:pPr>
            <w:r>
              <w:rPr>
                <w:rFonts w:ascii="Calibri"/>
                <w:b/>
                <w:sz w:val="24"/>
              </w:rPr>
              <w:t>Market</w:t>
            </w:r>
          </w:p>
          <w:p>
            <w:pPr>
              <w:pStyle w:val="TableParagraph"/>
              <w:ind w:left="330"/>
              <w:rPr>
                <w:rFonts w:ascii="Calibri"/>
                <w:b/>
                <w:sz w:val="24"/>
              </w:rPr>
            </w:pPr>
            <w:r>
              <w:rPr>
                <w:rFonts w:ascii="Calibri"/>
                <w:b/>
                <w:sz w:val="24"/>
              </w:rPr>
              <w:t>Value</w:t>
            </w:r>
          </w:p>
        </w:tc>
        <w:tc>
          <w:tcPr>
            <w:tcW w:w="1229" w:type="dxa"/>
          </w:tcPr>
          <w:p>
            <w:pPr>
              <w:pStyle w:val="TableParagraph"/>
              <w:spacing w:line="244" w:lineRule="exact"/>
              <w:ind w:left="216" w:right="66"/>
              <w:jc w:val="center"/>
              <w:rPr>
                <w:rFonts w:ascii="Calibri"/>
                <w:b/>
                <w:sz w:val="24"/>
              </w:rPr>
            </w:pPr>
            <w:r>
              <w:rPr>
                <w:rFonts w:ascii="Calibri"/>
                <w:b/>
                <w:sz w:val="24"/>
              </w:rPr>
              <w:t>Purchase</w:t>
            </w:r>
          </w:p>
          <w:p>
            <w:pPr>
              <w:pStyle w:val="TableParagraph"/>
              <w:ind w:left="216" w:right="64"/>
              <w:jc w:val="center"/>
              <w:rPr>
                <w:rFonts w:ascii="Calibri"/>
                <w:b/>
                <w:sz w:val="24"/>
              </w:rPr>
            </w:pPr>
            <w:r>
              <w:rPr>
                <w:rFonts w:ascii="Calibri"/>
                <w:b/>
                <w:sz w:val="24"/>
              </w:rPr>
              <w:t>Date</w:t>
            </w:r>
          </w:p>
        </w:tc>
        <w:tc>
          <w:tcPr>
            <w:tcW w:w="1297" w:type="dxa"/>
          </w:tcPr>
          <w:p>
            <w:pPr>
              <w:pStyle w:val="TableParagraph"/>
              <w:spacing w:line="244" w:lineRule="exact"/>
              <w:ind w:left="169" w:right="205"/>
              <w:jc w:val="center"/>
              <w:rPr>
                <w:rFonts w:ascii="Calibri"/>
                <w:b/>
                <w:sz w:val="24"/>
              </w:rPr>
            </w:pPr>
            <w:r>
              <w:rPr>
                <w:rFonts w:ascii="Calibri"/>
                <w:b/>
                <w:sz w:val="24"/>
              </w:rPr>
              <w:t>Maturity</w:t>
            </w:r>
          </w:p>
          <w:p>
            <w:pPr>
              <w:pStyle w:val="TableParagraph"/>
              <w:ind w:left="169" w:right="202"/>
              <w:jc w:val="center"/>
              <w:rPr>
                <w:rFonts w:ascii="Calibri"/>
                <w:b/>
                <w:sz w:val="24"/>
              </w:rPr>
            </w:pPr>
            <w:r>
              <w:rPr>
                <w:rFonts w:ascii="Calibri"/>
                <w:b/>
                <w:sz w:val="24"/>
              </w:rPr>
              <w:t>Date</w:t>
            </w:r>
          </w:p>
        </w:tc>
        <w:tc>
          <w:tcPr>
            <w:tcW w:w="1183" w:type="dxa"/>
          </w:tcPr>
          <w:p>
            <w:pPr>
              <w:pStyle w:val="TableParagraph"/>
              <w:spacing w:line="244" w:lineRule="exact"/>
              <w:ind w:left="31" w:right="30"/>
              <w:jc w:val="center"/>
              <w:rPr>
                <w:rFonts w:ascii="Calibri"/>
                <w:b/>
                <w:sz w:val="24"/>
              </w:rPr>
            </w:pPr>
            <w:r>
              <w:rPr>
                <w:rFonts w:ascii="Calibri"/>
                <w:b/>
                <w:sz w:val="24"/>
              </w:rPr>
              <w:t>Maturity</w:t>
            </w:r>
          </w:p>
          <w:p>
            <w:pPr>
              <w:pStyle w:val="TableParagraph"/>
              <w:ind w:left="34" w:right="30"/>
              <w:jc w:val="center"/>
              <w:rPr>
                <w:rFonts w:ascii="Calibri"/>
                <w:b/>
                <w:sz w:val="24"/>
              </w:rPr>
            </w:pPr>
            <w:r>
              <w:rPr>
                <w:rFonts w:ascii="Calibri"/>
                <w:b/>
                <w:sz w:val="24"/>
              </w:rPr>
              <w:t>Value</w:t>
            </w:r>
          </w:p>
        </w:tc>
      </w:tr>
      <w:tr>
        <w:trPr>
          <w:trHeight w:val="586" w:hRule="atLeast"/>
        </w:trPr>
        <w:tc>
          <w:tcPr>
            <w:tcW w:w="3274" w:type="dxa"/>
          </w:tcPr>
          <w:p>
            <w:pPr>
              <w:pStyle w:val="TableParagraph"/>
              <w:spacing w:before="53"/>
              <w:ind w:left="50"/>
              <w:rPr>
                <w:rFonts w:ascii="Calibri"/>
                <w:sz w:val="22"/>
              </w:rPr>
            </w:pPr>
            <w:r>
              <w:rPr>
                <w:rFonts w:ascii="Calibri"/>
                <w:sz w:val="22"/>
              </w:rPr>
              <w:t>Operating Funds</w:t>
            </w:r>
          </w:p>
          <w:p>
            <w:pPr>
              <w:pStyle w:val="TableParagraph"/>
              <w:spacing w:line="245" w:lineRule="exact"/>
              <w:ind w:left="230"/>
              <w:rPr>
                <w:rFonts w:ascii="Calibri"/>
                <w:sz w:val="22"/>
              </w:rPr>
            </w:pPr>
            <w:r>
              <w:rPr>
                <w:rFonts w:ascii="Calibri"/>
                <w:sz w:val="22"/>
              </w:rPr>
              <w:t>Treasury Bill - Operating Funds</w:t>
            </w:r>
          </w:p>
        </w:tc>
        <w:tc>
          <w:tcPr>
            <w:tcW w:w="1176" w:type="dxa"/>
          </w:tcPr>
          <w:p>
            <w:pPr>
              <w:pStyle w:val="TableParagraph"/>
              <w:spacing w:before="4"/>
              <w:rPr>
                <w:rFonts w:ascii="Calibri"/>
                <w:sz w:val="26"/>
              </w:rPr>
            </w:pPr>
          </w:p>
          <w:p>
            <w:pPr>
              <w:pStyle w:val="TableParagraph"/>
              <w:spacing w:line="245" w:lineRule="exact"/>
              <w:ind w:left="88"/>
              <w:rPr>
                <w:rFonts w:ascii="Calibri"/>
                <w:sz w:val="22"/>
              </w:rPr>
            </w:pPr>
            <w:r>
              <w:rPr>
                <w:rFonts w:ascii="Calibri"/>
                <w:sz w:val="22"/>
              </w:rPr>
              <w:t>JP Morgan</w:t>
            </w:r>
          </w:p>
        </w:tc>
        <w:tc>
          <w:tcPr>
            <w:tcW w:w="784" w:type="dxa"/>
          </w:tcPr>
          <w:p>
            <w:pPr>
              <w:pStyle w:val="TableParagraph"/>
              <w:spacing w:before="4"/>
              <w:rPr>
                <w:rFonts w:ascii="Calibri"/>
                <w:sz w:val="26"/>
              </w:rPr>
            </w:pPr>
          </w:p>
          <w:p>
            <w:pPr>
              <w:pStyle w:val="TableParagraph"/>
              <w:spacing w:line="245" w:lineRule="exact"/>
              <w:ind w:left="97"/>
              <w:rPr>
                <w:rFonts w:ascii="Calibri"/>
                <w:sz w:val="22"/>
              </w:rPr>
            </w:pPr>
            <w:r>
              <w:rPr>
                <w:rFonts w:ascii="Calibri"/>
                <w:sz w:val="22"/>
              </w:rPr>
              <w:t>4.03%</w:t>
            </w:r>
          </w:p>
        </w:tc>
        <w:tc>
          <w:tcPr>
            <w:tcW w:w="774" w:type="dxa"/>
          </w:tcPr>
          <w:p>
            <w:pPr>
              <w:pStyle w:val="TableParagraph"/>
              <w:spacing w:before="4"/>
              <w:rPr>
                <w:rFonts w:ascii="Calibri"/>
                <w:sz w:val="26"/>
              </w:rPr>
            </w:pPr>
          </w:p>
          <w:p>
            <w:pPr>
              <w:pStyle w:val="TableParagraph"/>
              <w:spacing w:line="245" w:lineRule="exact"/>
              <w:ind w:right="118"/>
              <w:jc w:val="right"/>
              <w:rPr>
                <w:rFonts w:ascii="Calibri"/>
                <w:sz w:val="22"/>
              </w:rPr>
            </w:pPr>
            <w:r>
              <w:rPr>
                <w:rFonts w:ascii="Calibri"/>
                <w:sz w:val="22"/>
              </w:rPr>
              <w:t>1 mo.</w:t>
            </w:r>
          </w:p>
        </w:tc>
        <w:tc>
          <w:tcPr>
            <w:tcW w:w="1184" w:type="dxa"/>
          </w:tcPr>
          <w:p>
            <w:pPr>
              <w:pStyle w:val="TableParagraph"/>
              <w:spacing w:before="4"/>
              <w:rPr>
                <w:rFonts w:ascii="Calibri"/>
                <w:sz w:val="26"/>
              </w:rPr>
            </w:pPr>
          </w:p>
          <w:p>
            <w:pPr>
              <w:pStyle w:val="TableParagraph"/>
              <w:spacing w:line="245" w:lineRule="exact"/>
              <w:ind w:right="66"/>
              <w:jc w:val="right"/>
              <w:rPr>
                <w:rFonts w:ascii="Calibri"/>
                <w:sz w:val="22"/>
              </w:rPr>
            </w:pPr>
            <w:r>
              <w:rPr>
                <w:rFonts w:ascii="Calibri"/>
                <w:sz w:val="22"/>
              </w:rPr>
              <w:t>$5,001,572</w:t>
            </w:r>
          </w:p>
        </w:tc>
        <w:tc>
          <w:tcPr>
            <w:tcW w:w="1229" w:type="dxa"/>
          </w:tcPr>
          <w:p>
            <w:pPr>
              <w:pStyle w:val="TableParagraph"/>
              <w:spacing w:before="4"/>
              <w:rPr>
                <w:rFonts w:ascii="Calibri"/>
                <w:sz w:val="26"/>
              </w:rPr>
            </w:pPr>
          </w:p>
          <w:p>
            <w:pPr>
              <w:pStyle w:val="TableParagraph"/>
              <w:spacing w:line="245" w:lineRule="exact"/>
              <w:ind w:left="67"/>
              <w:rPr>
                <w:rFonts w:ascii="Calibri"/>
                <w:sz w:val="22"/>
              </w:rPr>
            </w:pPr>
            <w:r>
              <w:rPr>
                <w:rFonts w:ascii="Calibri"/>
                <w:sz w:val="22"/>
              </w:rPr>
              <w:t>06/26/2025</w:t>
            </w:r>
          </w:p>
        </w:tc>
        <w:tc>
          <w:tcPr>
            <w:tcW w:w="1297" w:type="dxa"/>
          </w:tcPr>
          <w:p>
            <w:pPr>
              <w:pStyle w:val="TableParagraph"/>
              <w:spacing w:before="4"/>
              <w:rPr>
                <w:rFonts w:ascii="Calibri"/>
                <w:sz w:val="26"/>
              </w:rPr>
            </w:pPr>
          </w:p>
          <w:p>
            <w:pPr>
              <w:pStyle w:val="TableParagraph"/>
              <w:spacing w:line="245" w:lineRule="exact"/>
              <w:ind w:left="2"/>
              <w:rPr>
                <w:rFonts w:ascii="Calibri"/>
                <w:sz w:val="22"/>
              </w:rPr>
            </w:pPr>
            <w:r>
              <w:rPr>
                <w:rFonts w:ascii="Calibri"/>
                <w:sz w:val="22"/>
              </w:rPr>
              <w:t>07/31/2025</w:t>
            </w:r>
          </w:p>
        </w:tc>
        <w:tc>
          <w:tcPr>
            <w:tcW w:w="1183" w:type="dxa"/>
          </w:tcPr>
          <w:p>
            <w:pPr>
              <w:pStyle w:val="TableParagraph"/>
              <w:spacing w:before="4"/>
              <w:rPr>
                <w:rFonts w:ascii="Calibri"/>
                <w:sz w:val="26"/>
              </w:rPr>
            </w:pPr>
          </w:p>
          <w:p>
            <w:pPr>
              <w:pStyle w:val="TableParagraph"/>
              <w:spacing w:line="245" w:lineRule="exact"/>
              <w:ind w:left="110" w:right="30"/>
              <w:jc w:val="center"/>
              <w:rPr>
                <w:rFonts w:ascii="Calibri"/>
                <w:sz w:val="22"/>
              </w:rPr>
            </w:pPr>
            <w:r>
              <w:rPr>
                <w:rFonts w:ascii="Calibri"/>
                <w:sz w:val="22"/>
              </w:rPr>
              <w:t>$5,019,000</w:t>
            </w:r>
          </w:p>
        </w:tc>
      </w:tr>
      <w:tr>
        <w:trPr>
          <w:trHeight w:val="537" w:hRule="atLeast"/>
        </w:trPr>
        <w:tc>
          <w:tcPr>
            <w:tcW w:w="10901" w:type="dxa"/>
            <w:gridSpan w:val="8"/>
          </w:tcPr>
          <w:p>
            <w:pPr>
              <w:pStyle w:val="TableParagraph"/>
              <w:spacing w:before="4"/>
              <w:rPr>
                <w:rFonts w:ascii="Calibri"/>
                <w:sz w:val="22"/>
              </w:rPr>
            </w:pPr>
          </w:p>
          <w:p>
            <w:pPr>
              <w:pStyle w:val="TableParagraph"/>
              <w:spacing w:line="245" w:lineRule="exact"/>
              <w:ind w:left="50"/>
              <w:rPr>
                <w:rFonts w:ascii="Calibri"/>
                <w:sz w:val="22"/>
              </w:rPr>
            </w:pPr>
            <w:r>
              <w:rPr>
                <w:rFonts w:ascii="Calibri"/>
                <w:sz w:val="22"/>
              </w:rPr>
              <w:t>Board Designated - Funded Reserves</w:t>
            </w:r>
          </w:p>
        </w:tc>
      </w:tr>
      <w:tr>
        <w:trPr>
          <w:trHeight w:val="292" w:hRule="atLeast"/>
        </w:trPr>
        <w:tc>
          <w:tcPr>
            <w:tcW w:w="3274" w:type="dxa"/>
          </w:tcPr>
          <w:p>
            <w:pPr>
              <w:pStyle w:val="TableParagraph"/>
              <w:spacing w:before="4"/>
              <w:ind w:left="230"/>
              <w:rPr>
                <w:rFonts w:ascii="Calibri"/>
                <w:sz w:val="22"/>
              </w:rPr>
            </w:pPr>
            <w:r>
              <w:rPr>
                <w:rFonts w:ascii="Calibri"/>
                <w:sz w:val="22"/>
              </w:rPr>
              <w:t>Treasury Bill - Capital Reserve</w:t>
            </w:r>
          </w:p>
        </w:tc>
        <w:tc>
          <w:tcPr>
            <w:tcW w:w="1176" w:type="dxa"/>
          </w:tcPr>
          <w:p>
            <w:pPr>
              <w:pStyle w:val="TableParagraph"/>
              <w:spacing w:before="4"/>
              <w:ind w:left="87"/>
              <w:rPr>
                <w:rFonts w:ascii="Calibri"/>
                <w:sz w:val="22"/>
              </w:rPr>
            </w:pPr>
            <w:r>
              <w:rPr>
                <w:rFonts w:ascii="Calibri"/>
                <w:sz w:val="22"/>
              </w:rPr>
              <w:t>JP Morgan</w:t>
            </w:r>
          </w:p>
        </w:tc>
        <w:tc>
          <w:tcPr>
            <w:tcW w:w="784" w:type="dxa"/>
          </w:tcPr>
          <w:p>
            <w:pPr>
              <w:pStyle w:val="TableParagraph"/>
              <w:spacing w:before="4"/>
              <w:ind w:left="97"/>
              <w:rPr>
                <w:rFonts w:ascii="Calibri"/>
                <w:sz w:val="22"/>
              </w:rPr>
            </w:pPr>
            <w:r>
              <w:rPr>
                <w:rFonts w:ascii="Calibri"/>
                <w:sz w:val="22"/>
              </w:rPr>
              <w:t>4.17%</w:t>
            </w:r>
          </w:p>
        </w:tc>
        <w:tc>
          <w:tcPr>
            <w:tcW w:w="774" w:type="dxa"/>
          </w:tcPr>
          <w:p>
            <w:pPr>
              <w:pStyle w:val="TableParagraph"/>
              <w:spacing w:before="4"/>
              <w:ind w:right="118"/>
              <w:jc w:val="right"/>
              <w:rPr>
                <w:rFonts w:ascii="Calibri"/>
                <w:sz w:val="22"/>
              </w:rPr>
            </w:pPr>
            <w:r>
              <w:rPr>
                <w:rFonts w:ascii="Calibri"/>
                <w:sz w:val="22"/>
              </w:rPr>
              <w:t>2 mo.</w:t>
            </w:r>
          </w:p>
        </w:tc>
        <w:tc>
          <w:tcPr>
            <w:tcW w:w="1184" w:type="dxa"/>
          </w:tcPr>
          <w:p>
            <w:pPr>
              <w:pStyle w:val="TableParagraph"/>
              <w:spacing w:before="4"/>
              <w:ind w:right="66"/>
              <w:jc w:val="right"/>
              <w:rPr>
                <w:rFonts w:ascii="Calibri"/>
                <w:sz w:val="22"/>
              </w:rPr>
            </w:pPr>
            <w:r>
              <w:rPr>
                <w:rFonts w:ascii="Calibri"/>
                <w:sz w:val="22"/>
              </w:rPr>
              <w:t>$3,014,125</w:t>
            </w:r>
          </w:p>
        </w:tc>
        <w:tc>
          <w:tcPr>
            <w:tcW w:w="1229" w:type="dxa"/>
          </w:tcPr>
          <w:p>
            <w:pPr>
              <w:pStyle w:val="TableParagraph"/>
              <w:spacing w:before="4"/>
              <w:ind w:right="2"/>
              <w:jc w:val="right"/>
              <w:rPr>
                <w:rFonts w:ascii="Calibri"/>
                <w:sz w:val="22"/>
              </w:rPr>
            </w:pPr>
            <w:r>
              <w:rPr>
                <w:rFonts w:ascii="Calibri"/>
                <w:sz w:val="22"/>
              </w:rPr>
              <w:t>05/20/2025</w:t>
            </w:r>
          </w:p>
        </w:tc>
        <w:tc>
          <w:tcPr>
            <w:tcW w:w="1297" w:type="dxa"/>
          </w:tcPr>
          <w:p>
            <w:pPr>
              <w:pStyle w:val="TableParagraph"/>
              <w:spacing w:before="4"/>
              <w:ind w:right="130"/>
              <w:jc w:val="right"/>
              <w:rPr>
                <w:rFonts w:ascii="Calibri"/>
                <w:sz w:val="22"/>
              </w:rPr>
            </w:pPr>
            <w:r>
              <w:rPr>
                <w:rFonts w:ascii="Calibri"/>
                <w:sz w:val="22"/>
              </w:rPr>
              <w:t>07/15/2025</w:t>
            </w:r>
          </w:p>
        </w:tc>
        <w:tc>
          <w:tcPr>
            <w:tcW w:w="1183" w:type="dxa"/>
          </w:tcPr>
          <w:p>
            <w:pPr>
              <w:pStyle w:val="TableParagraph"/>
              <w:spacing w:before="4"/>
              <w:ind w:left="110" w:right="30"/>
              <w:jc w:val="center"/>
              <w:rPr>
                <w:rFonts w:ascii="Calibri"/>
                <w:sz w:val="22"/>
              </w:rPr>
            </w:pPr>
            <w:r>
              <w:rPr>
                <w:rFonts w:ascii="Calibri"/>
                <w:sz w:val="22"/>
              </w:rPr>
              <w:t>$3,019,000</w:t>
            </w:r>
          </w:p>
        </w:tc>
      </w:tr>
      <w:tr>
        <w:trPr>
          <w:trHeight w:val="267" w:hRule="atLeast"/>
        </w:trPr>
        <w:tc>
          <w:tcPr>
            <w:tcW w:w="3274" w:type="dxa"/>
          </w:tcPr>
          <w:p>
            <w:pPr>
              <w:pStyle w:val="TableParagraph"/>
              <w:spacing w:line="248" w:lineRule="exact"/>
              <w:ind w:left="230"/>
              <w:rPr>
                <w:rFonts w:ascii="Calibri"/>
                <w:sz w:val="22"/>
              </w:rPr>
            </w:pPr>
            <w:r>
              <w:rPr>
                <w:rFonts w:ascii="Calibri"/>
                <w:sz w:val="22"/>
              </w:rPr>
              <w:t>Treasury Bill - Paratransit Reserve</w:t>
            </w:r>
          </w:p>
        </w:tc>
        <w:tc>
          <w:tcPr>
            <w:tcW w:w="1176" w:type="dxa"/>
          </w:tcPr>
          <w:p>
            <w:pPr>
              <w:pStyle w:val="TableParagraph"/>
              <w:spacing w:line="248" w:lineRule="exact"/>
              <w:ind w:left="87"/>
              <w:rPr>
                <w:rFonts w:ascii="Calibri"/>
                <w:sz w:val="22"/>
              </w:rPr>
            </w:pPr>
            <w:r>
              <w:rPr>
                <w:rFonts w:ascii="Calibri"/>
                <w:sz w:val="22"/>
              </w:rPr>
              <w:t>JP Morgan</w:t>
            </w:r>
          </w:p>
        </w:tc>
        <w:tc>
          <w:tcPr>
            <w:tcW w:w="784" w:type="dxa"/>
          </w:tcPr>
          <w:p>
            <w:pPr>
              <w:pStyle w:val="TableParagraph"/>
              <w:spacing w:line="248" w:lineRule="exact"/>
              <w:ind w:left="97"/>
              <w:rPr>
                <w:rFonts w:ascii="Calibri"/>
                <w:sz w:val="22"/>
              </w:rPr>
            </w:pPr>
            <w:r>
              <w:rPr>
                <w:rFonts w:ascii="Calibri"/>
                <w:sz w:val="22"/>
              </w:rPr>
              <w:t>4.19%</w:t>
            </w:r>
          </w:p>
        </w:tc>
        <w:tc>
          <w:tcPr>
            <w:tcW w:w="774" w:type="dxa"/>
          </w:tcPr>
          <w:p>
            <w:pPr>
              <w:pStyle w:val="TableParagraph"/>
              <w:spacing w:line="248" w:lineRule="exact"/>
              <w:ind w:right="118"/>
              <w:jc w:val="right"/>
              <w:rPr>
                <w:rFonts w:ascii="Calibri"/>
                <w:sz w:val="22"/>
              </w:rPr>
            </w:pPr>
            <w:r>
              <w:rPr>
                <w:rFonts w:ascii="Calibri"/>
                <w:sz w:val="22"/>
              </w:rPr>
              <w:t>3 mo.</w:t>
            </w:r>
          </w:p>
        </w:tc>
        <w:tc>
          <w:tcPr>
            <w:tcW w:w="1184" w:type="dxa"/>
          </w:tcPr>
          <w:p>
            <w:pPr>
              <w:pStyle w:val="TableParagraph"/>
              <w:spacing w:line="248" w:lineRule="exact"/>
              <w:ind w:right="66"/>
              <w:jc w:val="right"/>
              <w:rPr>
                <w:rFonts w:ascii="Calibri"/>
                <w:sz w:val="22"/>
              </w:rPr>
            </w:pPr>
            <w:r>
              <w:rPr>
                <w:rFonts w:ascii="Calibri"/>
                <w:sz w:val="22"/>
              </w:rPr>
              <w:t>$4,272,395</w:t>
            </w:r>
          </w:p>
        </w:tc>
        <w:tc>
          <w:tcPr>
            <w:tcW w:w="1229" w:type="dxa"/>
          </w:tcPr>
          <w:p>
            <w:pPr>
              <w:pStyle w:val="TableParagraph"/>
              <w:spacing w:line="248" w:lineRule="exact"/>
              <w:ind w:right="2"/>
              <w:jc w:val="right"/>
              <w:rPr>
                <w:rFonts w:ascii="Calibri"/>
                <w:sz w:val="22"/>
              </w:rPr>
            </w:pPr>
            <w:r>
              <w:rPr>
                <w:rFonts w:ascii="Calibri"/>
                <w:sz w:val="22"/>
              </w:rPr>
              <w:t>06/13/2025</w:t>
            </w:r>
          </w:p>
        </w:tc>
        <w:tc>
          <w:tcPr>
            <w:tcW w:w="1297" w:type="dxa"/>
          </w:tcPr>
          <w:p>
            <w:pPr>
              <w:pStyle w:val="TableParagraph"/>
              <w:spacing w:line="248" w:lineRule="exact"/>
              <w:ind w:right="130"/>
              <w:jc w:val="right"/>
              <w:rPr>
                <w:rFonts w:ascii="Calibri"/>
                <w:sz w:val="22"/>
              </w:rPr>
            </w:pPr>
            <w:r>
              <w:rPr>
                <w:rFonts w:ascii="Calibri"/>
                <w:sz w:val="22"/>
              </w:rPr>
              <w:t>09/11/2025</w:t>
            </w:r>
          </w:p>
        </w:tc>
        <w:tc>
          <w:tcPr>
            <w:tcW w:w="1183" w:type="dxa"/>
          </w:tcPr>
          <w:p>
            <w:pPr>
              <w:pStyle w:val="TableParagraph"/>
              <w:spacing w:line="248" w:lineRule="exact"/>
              <w:ind w:left="110" w:right="30"/>
              <w:jc w:val="center"/>
              <w:rPr>
                <w:rFonts w:ascii="Calibri"/>
                <w:sz w:val="22"/>
              </w:rPr>
            </w:pPr>
            <w:r>
              <w:rPr>
                <w:rFonts w:ascii="Calibri"/>
                <w:sz w:val="22"/>
              </w:rPr>
              <w:t>$4,309,000</w:t>
            </w:r>
          </w:p>
        </w:tc>
      </w:tr>
      <w:tr>
        <w:trPr>
          <w:trHeight w:val="243" w:hRule="atLeast"/>
        </w:trPr>
        <w:tc>
          <w:tcPr>
            <w:tcW w:w="3274" w:type="dxa"/>
          </w:tcPr>
          <w:p>
            <w:pPr>
              <w:pStyle w:val="TableParagraph"/>
              <w:spacing w:line="224" w:lineRule="exact"/>
              <w:ind w:left="230"/>
              <w:rPr>
                <w:rFonts w:ascii="Calibri"/>
                <w:sz w:val="22"/>
              </w:rPr>
            </w:pPr>
            <w:r>
              <w:rPr>
                <w:rFonts w:ascii="Calibri"/>
                <w:sz w:val="22"/>
              </w:rPr>
              <w:t>Treasury Bill - Insurance Reserve</w:t>
            </w:r>
          </w:p>
        </w:tc>
        <w:tc>
          <w:tcPr>
            <w:tcW w:w="1176" w:type="dxa"/>
          </w:tcPr>
          <w:p>
            <w:pPr>
              <w:pStyle w:val="TableParagraph"/>
              <w:spacing w:line="224" w:lineRule="exact"/>
              <w:ind w:left="88"/>
              <w:rPr>
                <w:rFonts w:ascii="Calibri"/>
                <w:sz w:val="22"/>
              </w:rPr>
            </w:pPr>
            <w:r>
              <w:rPr>
                <w:rFonts w:ascii="Calibri"/>
                <w:sz w:val="22"/>
              </w:rPr>
              <w:t>JP Morgan</w:t>
            </w:r>
          </w:p>
        </w:tc>
        <w:tc>
          <w:tcPr>
            <w:tcW w:w="784" w:type="dxa"/>
          </w:tcPr>
          <w:p>
            <w:pPr>
              <w:pStyle w:val="TableParagraph"/>
              <w:spacing w:line="224" w:lineRule="exact"/>
              <w:ind w:left="97"/>
              <w:rPr>
                <w:rFonts w:ascii="Calibri"/>
                <w:sz w:val="22"/>
              </w:rPr>
            </w:pPr>
            <w:r>
              <w:rPr>
                <w:rFonts w:ascii="Calibri"/>
                <w:sz w:val="22"/>
              </w:rPr>
              <w:t>4.17%</w:t>
            </w:r>
          </w:p>
        </w:tc>
        <w:tc>
          <w:tcPr>
            <w:tcW w:w="774" w:type="dxa"/>
          </w:tcPr>
          <w:p>
            <w:pPr>
              <w:pStyle w:val="TableParagraph"/>
              <w:spacing w:line="224" w:lineRule="exact"/>
              <w:ind w:right="118"/>
              <w:jc w:val="right"/>
              <w:rPr>
                <w:rFonts w:ascii="Calibri"/>
                <w:sz w:val="22"/>
              </w:rPr>
            </w:pPr>
            <w:r>
              <w:rPr>
                <w:rFonts w:ascii="Calibri"/>
                <w:sz w:val="22"/>
              </w:rPr>
              <w:t>2 mo.</w:t>
            </w:r>
          </w:p>
        </w:tc>
        <w:tc>
          <w:tcPr>
            <w:tcW w:w="1184" w:type="dxa"/>
          </w:tcPr>
          <w:p>
            <w:pPr>
              <w:pStyle w:val="TableParagraph"/>
              <w:spacing w:line="224" w:lineRule="exact"/>
              <w:ind w:right="66"/>
              <w:jc w:val="right"/>
              <w:rPr>
                <w:rFonts w:ascii="Calibri"/>
                <w:sz w:val="22"/>
              </w:rPr>
            </w:pPr>
            <w:r>
              <w:rPr>
                <w:rFonts w:ascii="Calibri"/>
                <w:sz w:val="22"/>
              </w:rPr>
              <w:t>$5,211,231</w:t>
            </w:r>
          </w:p>
        </w:tc>
        <w:tc>
          <w:tcPr>
            <w:tcW w:w="1229" w:type="dxa"/>
          </w:tcPr>
          <w:p>
            <w:pPr>
              <w:pStyle w:val="TableParagraph"/>
              <w:spacing w:line="224" w:lineRule="exact"/>
              <w:ind w:right="1"/>
              <w:jc w:val="right"/>
              <w:rPr>
                <w:rFonts w:ascii="Calibri"/>
                <w:sz w:val="22"/>
              </w:rPr>
            </w:pPr>
            <w:r>
              <w:rPr>
                <w:rFonts w:ascii="Calibri"/>
                <w:sz w:val="22"/>
              </w:rPr>
              <w:t>06/24/2025</w:t>
            </w:r>
          </w:p>
        </w:tc>
        <w:tc>
          <w:tcPr>
            <w:tcW w:w="1297" w:type="dxa"/>
          </w:tcPr>
          <w:p>
            <w:pPr>
              <w:pStyle w:val="TableParagraph"/>
              <w:spacing w:line="224" w:lineRule="exact"/>
              <w:ind w:right="130"/>
              <w:jc w:val="right"/>
              <w:rPr>
                <w:rFonts w:ascii="Calibri"/>
                <w:sz w:val="22"/>
              </w:rPr>
            </w:pPr>
            <w:r>
              <w:rPr>
                <w:rFonts w:ascii="Calibri"/>
                <w:sz w:val="22"/>
              </w:rPr>
              <w:t>08/19/2025</w:t>
            </w:r>
          </w:p>
        </w:tc>
        <w:tc>
          <w:tcPr>
            <w:tcW w:w="1183" w:type="dxa"/>
          </w:tcPr>
          <w:p>
            <w:pPr>
              <w:pStyle w:val="TableParagraph"/>
              <w:spacing w:line="224" w:lineRule="exact"/>
              <w:ind w:left="110" w:right="30"/>
              <w:jc w:val="center"/>
              <w:rPr>
                <w:rFonts w:ascii="Calibri"/>
                <w:sz w:val="22"/>
              </w:rPr>
            </w:pPr>
            <w:r>
              <w:rPr>
                <w:rFonts w:ascii="Calibri"/>
                <w:sz w:val="22"/>
              </w:rPr>
              <w:t>$5,242,000</w:t>
            </w:r>
          </w:p>
        </w:tc>
      </w:tr>
    </w:tbl>
    <w:p>
      <w:pPr>
        <w:spacing w:line="240" w:lineRule="auto" w:before="0"/>
        <w:rPr>
          <w:sz w:val="16"/>
        </w:rPr>
      </w:pPr>
    </w:p>
    <w:p>
      <w:pPr>
        <w:spacing w:line="240" w:lineRule="auto" w:before="0"/>
        <w:rPr>
          <w:sz w:val="16"/>
        </w:rPr>
      </w:pPr>
    </w:p>
    <w:p>
      <w:pPr>
        <w:spacing w:line="240" w:lineRule="auto" w:before="4"/>
        <w:rPr>
          <w:sz w:val="12"/>
        </w:rPr>
      </w:pPr>
    </w:p>
    <w:p>
      <w:pPr>
        <w:tabs>
          <w:tab w:pos="6174" w:val="left" w:leader="none"/>
          <w:tab w:pos="9846" w:val="left" w:leader="none"/>
        </w:tabs>
        <w:spacing w:before="1"/>
        <w:ind w:left="880" w:right="0" w:firstLine="0"/>
        <w:jc w:val="left"/>
        <w:rPr>
          <w:sz w:val="22"/>
        </w:rPr>
      </w:pPr>
      <w:r>
        <w:rPr>
          <w:sz w:val="22"/>
        </w:rPr>
        <w:t>Total</w:t>
      </w:r>
      <w:r>
        <w:rPr>
          <w:spacing w:val="-5"/>
          <w:sz w:val="22"/>
        </w:rPr>
        <w:t> </w:t>
      </w:r>
      <w:r>
        <w:rPr>
          <w:sz w:val="22"/>
        </w:rPr>
        <w:t>Investment Values</w:t>
        <w:tab/>
      </w:r>
      <w:r>
        <w:rPr>
          <w:sz w:val="22"/>
          <w:u w:val="double"/>
        </w:rPr>
        <w:t>$17,499,322</w:t>
      </w:r>
      <w:r>
        <w:rPr>
          <w:sz w:val="22"/>
        </w:rPr>
        <w:tab/>
      </w:r>
      <w:r>
        <w:rPr>
          <w:sz w:val="22"/>
          <w:u w:val="double"/>
        </w:rPr>
        <w:t>$17,589,000</w:t>
      </w:r>
    </w:p>
    <w:p>
      <w:pPr>
        <w:spacing w:after="0"/>
        <w:jc w:val="left"/>
        <w:rPr>
          <w:sz w:val="22"/>
        </w:rPr>
        <w:sectPr>
          <w:headerReference w:type="default" r:id="rId158"/>
          <w:footerReference w:type="default" r:id="rId159"/>
          <w:pgSz w:w="12240" w:h="15840"/>
          <w:pgMar w:header="790" w:footer="1255" w:top="1240" w:bottom="1440" w:left="560" w:right="560"/>
          <w:pgNumType w:start="9"/>
        </w:sectPr>
      </w:pPr>
    </w:p>
    <w:p>
      <w:pPr>
        <w:spacing w:line="240" w:lineRule="auto" w:before="2"/>
        <w:rPr>
          <w:sz w:val="12"/>
        </w:rPr>
      </w:pPr>
      <w:r>
        <w:rPr/>
        <w:pict>
          <v:group style="position:absolute;margin-left:35.999966pt;margin-top:203.423416pt;width:528.6pt;height:240.25pt;mso-position-horizontal-relative:page;mso-position-vertical-relative:page;z-index:-266851328" coordorigin="720,4068" coordsize="10572,4805">
            <v:line style="position:absolute" from="720,4068" to="720,8873" stroked="true" strokeweight="0pt" strokecolor="#000000">
              <v:stroke dashstyle="solid"/>
            </v:line>
            <v:line style="position:absolute" from="724,4068" to="724,8873" stroked="true" strokeweight=".374613pt" strokecolor="#000000">
              <v:stroke dashstyle="solid"/>
            </v:line>
            <v:line style="position:absolute" from="11284,4076" to="11284,8873" stroked="true" strokeweight="0pt" strokecolor="#000000">
              <v:stroke dashstyle="solid"/>
            </v:line>
            <v:line style="position:absolute" from="11288,4076" to="11288,8873" stroked="true" strokeweight=".374613pt" strokecolor="#000000">
              <v:stroke dashstyle="solid"/>
            </v:line>
            <v:line style="position:absolute" from="727,8865" to="11292,8865" stroked="true" strokeweight="0pt" strokecolor="#000000">
              <v:stroke dashstyle="solid"/>
            </v:line>
            <v:line style="position:absolute" from="727,8869" to="11292,8869" stroked="true" strokeweight=".374757pt" strokecolor="#000000">
              <v:stroke dashstyle="solid"/>
            </v:line>
            <w10:wrap type="none"/>
          </v:group>
        </w:pict>
      </w:r>
      <w:r>
        <w:rPr/>
        <w:pict>
          <v:group style="position:absolute;margin-left:35.999966pt;margin-top:494.234955pt;width:373.5pt;height:132.7pt;mso-position-horizontal-relative:page;mso-position-vertical-relative:page;z-index:-266845184" coordorigin="720,9885" coordsize="7470,2654">
            <v:line style="position:absolute" from="720,9885" to="720,12538" stroked="true" strokeweight="0pt" strokecolor="#000000">
              <v:stroke dashstyle="solid"/>
            </v:line>
            <v:line style="position:absolute" from="724,9885" to="724,12538" stroked="true" strokeweight=".374613pt" strokecolor="#000000">
              <v:stroke dashstyle="solid"/>
            </v:line>
            <v:line style="position:absolute" from="8182,9892" to="8182,12538" stroked="true" strokeweight="0pt" strokecolor="#000000">
              <v:stroke dashstyle="solid"/>
            </v:line>
            <v:line style="position:absolute" from="8186,9892" to="8186,12538" stroked="true" strokeweight=".374988pt" strokecolor="#000000">
              <v:stroke dashstyle="solid"/>
            </v:line>
            <v:line style="position:absolute" from="727,9885" to="8190,9885" stroked="true" strokeweight="0pt" strokecolor="#000000">
              <v:stroke dashstyle="solid"/>
            </v:line>
            <v:line style="position:absolute" from="727,9888" to="8190,9888" stroked="true" strokeweight=".374757pt" strokecolor="#000000">
              <v:stroke dashstyle="solid"/>
            </v:line>
            <v:line style="position:absolute" from="727,12530" to="8190,12530" stroked="true" strokeweight="0pt" strokecolor="#000000">
              <v:stroke dashstyle="solid"/>
            </v:line>
            <v:line style="position:absolute" from="727,12534" to="8190,12534" stroked="true" strokeweight=".374382pt" strokecolor="#000000">
              <v:stroke dashstyle="solid"/>
            </v:line>
            <v:shape style="position:absolute;left:914;top:10186;width:2096;height:218" type="#_x0000_t202" filled="false" stroked="false">
              <v:textbox inset="0,0,0,0">
                <w:txbxContent>
                  <w:p>
                    <w:pPr>
                      <w:spacing w:line="217" w:lineRule="exact" w:before="0"/>
                      <w:ind w:left="0" w:right="0" w:firstLine="0"/>
                      <w:jc w:val="left"/>
                      <w:rPr>
                        <w:b/>
                        <w:sz w:val="21"/>
                      </w:rPr>
                    </w:pPr>
                    <w:r>
                      <w:rPr>
                        <w:b/>
                        <w:w w:val="105"/>
                        <w:sz w:val="21"/>
                      </w:rPr>
                      <w:t>County Receipts - June</w:t>
                    </w:r>
                  </w:p>
                </w:txbxContent>
              </v:textbox>
              <w10:wrap type="none"/>
            </v:shape>
            <v:shape style="position:absolute;left:3679;top:10186;width:520;height:218" type="#_x0000_t202" filled="false" stroked="false">
              <v:textbox inset="0,0,0,0">
                <w:txbxContent>
                  <w:p>
                    <w:pPr>
                      <w:spacing w:line="217" w:lineRule="exact" w:before="0"/>
                      <w:ind w:left="0" w:right="0" w:firstLine="0"/>
                      <w:jc w:val="left"/>
                      <w:rPr>
                        <w:b/>
                        <w:sz w:val="21"/>
                      </w:rPr>
                    </w:pPr>
                    <w:r>
                      <w:rPr>
                        <w:b/>
                        <w:w w:val="105"/>
                        <w:sz w:val="21"/>
                        <w:u w:val="single"/>
                      </w:rPr>
                      <w:t>FY-26</w:t>
                    </w:r>
                  </w:p>
                </w:txbxContent>
              </v:textbox>
              <w10:wrap type="none"/>
            </v:shape>
            <v:shape style="position:absolute;left:4713;top:10186;width:520;height:218" type="#_x0000_t202" filled="false" stroked="false">
              <v:textbox inset="0,0,0,0">
                <w:txbxContent>
                  <w:p>
                    <w:pPr>
                      <w:spacing w:line="217" w:lineRule="exact" w:before="0"/>
                      <w:ind w:left="0" w:right="0" w:firstLine="0"/>
                      <w:jc w:val="left"/>
                      <w:rPr>
                        <w:b/>
                        <w:sz w:val="21"/>
                      </w:rPr>
                    </w:pPr>
                    <w:r>
                      <w:rPr>
                        <w:b/>
                        <w:w w:val="105"/>
                        <w:sz w:val="21"/>
                        <w:u w:val="single"/>
                      </w:rPr>
                      <w:t>FY-25</w:t>
                    </w:r>
                  </w:p>
                </w:txbxContent>
              </v:textbox>
              <w10:wrap type="none"/>
            </v:shape>
            <v:shape style="position:absolute;left:5709;top:10186;width:131;height:218" type="#_x0000_t202" filled="false" stroked="false">
              <v:textbox inset="0,0,0,0">
                <w:txbxContent>
                  <w:p>
                    <w:pPr>
                      <w:spacing w:line="217" w:lineRule="exact" w:before="0"/>
                      <w:ind w:left="0" w:right="0" w:firstLine="0"/>
                      <w:jc w:val="left"/>
                      <w:rPr>
                        <w:b/>
                        <w:sz w:val="21"/>
                      </w:rPr>
                    </w:pPr>
                    <w:r>
                      <w:rPr>
                        <w:b/>
                        <w:w w:val="103"/>
                        <w:sz w:val="21"/>
                        <w:u w:val="single"/>
                      </w:rPr>
                      <w:t>$</w:t>
                    </w:r>
                  </w:p>
                </w:txbxContent>
              </v:textbox>
              <w10:wrap type="none"/>
            </v:shape>
            <v:shape style="position:absolute;left:6638;top:10186;width:179;height:218" type="#_x0000_t202" filled="false" stroked="false">
              <v:textbox inset="0,0,0,0">
                <w:txbxContent>
                  <w:p>
                    <w:pPr>
                      <w:spacing w:line="217" w:lineRule="exact" w:before="0"/>
                      <w:ind w:left="0" w:right="0" w:firstLine="0"/>
                      <w:jc w:val="left"/>
                      <w:rPr>
                        <w:b/>
                        <w:sz w:val="21"/>
                      </w:rPr>
                    </w:pPr>
                    <w:r>
                      <w:rPr>
                        <w:b/>
                        <w:w w:val="103"/>
                        <w:sz w:val="21"/>
                        <w:u w:val="single"/>
                      </w:rPr>
                      <w:t>%</w:t>
                    </w:r>
                  </w:p>
                </w:txbxContent>
              </v:textbox>
              <w10:wrap type="none"/>
            </v:shape>
            <w10:wrap type="none"/>
          </v:group>
        </w:pict>
      </w:r>
    </w:p>
    <w:p>
      <w:pPr>
        <w:spacing w:before="45"/>
        <w:ind w:left="160" w:right="0" w:firstLine="0"/>
        <w:jc w:val="left"/>
        <w:rPr>
          <w:sz w:val="28"/>
        </w:rPr>
      </w:pPr>
      <w:r>
        <w:rPr/>
        <w:pict>
          <v:group style="position:absolute;margin-left:35.999966pt;margin-top:33.998554pt;width:528.6pt;height:76.1pt;mso-position-horizontal-relative:page;mso-position-vertical-relative:paragraph;z-index:-266852352" coordorigin="720,680" coordsize="10572,1522">
            <v:line style="position:absolute" from="724,680" to="724,2201" stroked="true" strokeweight=".374613pt" strokecolor="#000000">
              <v:stroke dashstyle="solid"/>
            </v:line>
            <v:line style="position:absolute" from="11284,687" to="11284,2201" stroked="true" strokeweight=".749227pt" strokecolor="#000000">
              <v:stroke dashstyle="solid"/>
            </v:line>
            <v:line style="position:absolute" from="727,684" to="11292,684" stroked="true" strokeweight=".374382pt" strokecolor="#000000">
              <v:stroke dashstyle="solid"/>
            </v:line>
            <v:line style="position:absolute" from="727,2194" to="11292,2194" stroked="true" strokeweight=".749514pt" strokecolor="#000000">
              <v:stroke dashstyle="solid"/>
            </v:line>
            <v:shape style="position:absolute;left:1087;top:987;width:1992;height:240" type="#_x0000_t202" filled="false" stroked="false">
              <v:textbox inset="0,0,0,0">
                <w:txbxContent>
                  <w:p>
                    <w:pPr>
                      <w:spacing w:line="240" w:lineRule="exact" w:before="0"/>
                      <w:ind w:left="0" w:right="0" w:firstLine="0"/>
                      <w:jc w:val="left"/>
                      <w:rPr>
                        <w:b/>
                        <w:sz w:val="24"/>
                      </w:rPr>
                    </w:pPr>
                    <w:r>
                      <w:rPr>
                        <w:b/>
                        <w:sz w:val="24"/>
                        <w:u w:val="single"/>
                      </w:rPr>
                      <w:t>Actual Receipts YTD</w:t>
                    </w:r>
                  </w:p>
                </w:txbxContent>
              </v:textbox>
              <w10:wrap type="none"/>
            </v:shape>
            <v:shape style="position:absolute;left:8564;top:987;width:2097;height:240" type="#_x0000_t202" filled="false" stroked="false">
              <v:textbox inset="0,0,0,0">
                <w:txbxContent>
                  <w:p>
                    <w:pPr>
                      <w:spacing w:line="240" w:lineRule="exact" w:before="0"/>
                      <w:ind w:left="0" w:right="0" w:firstLine="0"/>
                      <w:jc w:val="left"/>
                      <w:rPr>
                        <w:b/>
                        <w:sz w:val="24"/>
                      </w:rPr>
                    </w:pPr>
                    <w:r>
                      <w:rPr>
                        <w:b/>
                        <w:sz w:val="24"/>
                        <w:u w:val="single"/>
                      </w:rPr>
                      <w:t>Budget Variance YTD</w:t>
                    </w:r>
                  </w:p>
                </w:txbxContent>
              </v:textbox>
              <w10:wrap type="none"/>
            </v:shape>
            <w10:wrap type="none"/>
          </v:group>
        </w:pict>
      </w:r>
      <w:r>
        <w:rPr>
          <w:color w:val="000099"/>
          <w:sz w:val="28"/>
        </w:rPr>
        <w:t>MORTGAGE RECORDING TAX STATEMENT</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after="1"/>
        <w:rPr>
          <w:sz w:val="26"/>
        </w:rPr>
      </w:pPr>
    </w:p>
    <w:tbl>
      <w:tblPr>
        <w:tblW w:w="0" w:type="auto"/>
        <w:jc w:val="left"/>
        <w:tblInd w:w="1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3"/>
        <w:gridCol w:w="1034"/>
        <w:gridCol w:w="1034"/>
        <w:gridCol w:w="1034"/>
        <w:gridCol w:w="877"/>
        <w:gridCol w:w="928"/>
        <w:gridCol w:w="1169"/>
        <w:gridCol w:w="950"/>
        <w:gridCol w:w="755"/>
      </w:tblGrid>
      <w:tr>
        <w:trPr>
          <w:trHeight w:val="251" w:hRule="atLeast"/>
        </w:trPr>
        <w:tc>
          <w:tcPr>
            <w:tcW w:w="1013" w:type="dxa"/>
          </w:tcPr>
          <w:p>
            <w:pPr>
              <w:pStyle w:val="TableParagraph"/>
              <w:spacing w:line="219" w:lineRule="exact"/>
              <w:ind w:left="85" w:right="49"/>
              <w:jc w:val="center"/>
              <w:rPr>
                <w:rFonts w:ascii="Calibri"/>
                <w:b/>
                <w:sz w:val="21"/>
              </w:rPr>
            </w:pPr>
            <w:r>
              <w:rPr>
                <w:rFonts w:ascii="Calibri"/>
                <w:b/>
                <w:w w:val="105"/>
                <w:sz w:val="21"/>
                <w:u w:val="single"/>
              </w:rPr>
              <w:t>FY-23</w:t>
            </w:r>
          </w:p>
        </w:tc>
        <w:tc>
          <w:tcPr>
            <w:tcW w:w="1034" w:type="dxa"/>
          </w:tcPr>
          <w:p>
            <w:pPr>
              <w:pStyle w:val="TableParagraph"/>
              <w:spacing w:line="219" w:lineRule="exact"/>
              <w:ind w:left="106" w:right="50"/>
              <w:jc w:val="center"/>
              <w:rPr>
                <w:rFonts w:ascii="Calibri"/>
                <w:b/>
                <w:sz w:val="21"/>
              </w:rPr>
            </w:pPr>
            <w:r>
              <w:rPr>
                <w:rFonts w:ascii="Calibri"/>
                <w:b/>
                <w:w w:val="105"/>
                <w:sz w:val="21"/>
                <w:u w:val="single"/>
              </w:rPr>
              <w:t>FY-24</w:t>
            </w:r>
          </w:p>
        </w:tc>
        <w:tc>
          <w:tcPr>
            <w:tcW w:w="1034" w:type="dxa"/>
          </w:tcPr>
          <w:p>
            <w:pPr>
              <w:pStyle w:val="TableParagraph"/>
              <w:spacing w:line="219" w:lineRule="exact"/>
              <w:ind w:left="106" w:right="50"/>
              <w:jc w:val="center"/>
              <w:rPr>
                <w:rFonts w:ascii="Calibri"/>
                <w:b/>
                <w:sz w:val="21"/>
              </w:rPr>
            </w:pPr>
            <w:r>
              <w:rPr>
                <w:rFonts w:ascii="Calibri"/>
                <w:b/>
                <w:w w:val="105"/>
                <w:sz w:val="21"/>
                <w:u w:val="single"/>
              </w:rPr>
              <w:t>FY-25</w:t>
            </w:r>
          </w:p>
        </w:tc>
        <w:tc>
          <w:tcPr>
            <w:tcW w:w="1034" w:type="dxa"/>
          </w:tcPr>
          <w:p>
            <w:pPr>
              <w:pStyle w:val="TableParagraph"/>
              <w:spacing w:line="219" w:lineRule="exact"/>
              <w:ind w:left="106" w:right="50"/>
              <w:jc w:val="center"/>
              <w:rPr>
                <w:rFonts w:ascii="Calibri"/>
                <w:b/>
                <w:sz w:val="21"/>
              </w:rPr>
            </w:pPr>
            <w:r>
              <w:rPr>
                <w:rFonts w:ascii="Calibri"/>
                <w:b/>
                <w:w w:val="105"/>
                <w:sz w:val="21"/>
                <w:u w:val="single"/>
              </w:rPr>
              <w:t>FY-26</w:t>
            </w:r>
          </w:p>
        </w:tc>
        <w:tc>
          <w:tcPr>
            <w:tcW w:w="877" w:type="dxa"/>
          </w:tcPr>
          <w:p>
            <w:pPr>
              <w:pStyle w:val="TableParagraph"/>
              <w:spacing w:line="219" w:lineRule="exact"/>
              <w:ind w:left="52" w:right="1"/>
              <w:jc w:val="center"/>
              <w:rPr>
                <w:rFonts w:ascii="Calibri"/>
                <w:b/>
                <w:sz w:val="21"/>
              </w:rPr>
            </w:pPr>
            <w:r>
              <w:rPr>
                <w:rFonts w:ascii="Calibri"/>
                <w:b/>
                <w:w w:val="105"/>
                <w:sz w:val="21"/>
                <w:u w:val="single"/>
              </w:rPr>
              <w:t>$ vs PY</w:t>
            </w:r>
          </w:p>
        </w:tc>
        <w:tc>
          <w:tcPr>
            <w:tcW w:w="928" w:type="dxa"/>
          </w:tcPr>
          <w:p>
            <w:pPr>
              <w:pStyle w:val="TableParagraph"/>
              <w:spacing w:line="219" w:lineRule="exact"/>
              <w:ind w:left="77"/>
              <w:rPr>
                <w:rFonts w:ascii="Calibri"/>
                <w:b/>
                <w:sz w:val="21"/>
              </w:rPr>
            </w:pPr>
            <w:r>
              <w:rPr>
                <w:rFonts w:ascii="Calibri"/>
                <w:b/>
                <w:w w:val="105"/>
                <w:sz w:val="21"/>
                <w:u w:val="single"/>
              </w:rPr>
              <w:t>% vs PY</w:t>
            </w:r>
          </w:p>
        </w:tc>
        <w:tc>
          <w:tcPr>
            <w:tcW w:w="1169" w:type="dxa"/>
          </w:tcPr>
          <w:p>
            <w:pPr>
              <w:pStyle w:val="TableParagraph"/>
              <w:spacing w:line="219" w:lineRule="exact"/>
              <w:ind w:left="191"/>
              <w:rPr>
                <w:rFonts w:ascii="Calibri"/>
                <w:b/>
                <w:sz w:val="21"/>
              </w:rPr>
            </w:pPr>
            <w:r>
              <w:rPr>
                <w:rFonts w:ascii="Calibri"/>
                <w:b/>
                <w:w w:val="105"/>
                <w:sz w:val="21"/>
                <w:u w:val="single"/>
              </w:rPr>
              <w:t>FY-26 Bud</w:t>
            </w:r>
          </w:p>
        </w:tc>
        <w:tc>
          <w:tcPr>
            <w:tcW w:w="950" w:type="dxa"/>
          </w:tcPr>
          <w:p>
            <w:pPr>
              <w:pStyle w:val="TableParagraph"/>
              <w:spacing w:line="219" w:lineRule="exact"/>
              <w:ind w:right="36"/>
              <w:jc w:val="center"/>
              <w:rPr>
                <w:rFonts w:ascii="Calibri"/>
                <w:b/>
                <w:sz w:val="21"/>
              </w:rPr>
            </w:pPr>
            <w:r>
              <w:rPr>
                <w:rFonts w:ascii="Calibri"/>
                <w:b/>
                <w:w w:val="103"/>
                <w:sz w:val="21"/>
                <w:u w:val="single"/>
              </w:rPr>
              <w:t>$</w:t>
            </w:r>
          </w:p>
        </w:tc>
        <w:tc>
          <w:tcPr>
            <w:tcW w:w="755" w:type="dxa"/>
          </w:tcPr>
          <w:p>
            <w:pPr>
              <w:pStyle w:val="TableParagraph"/>
              <w:spacing w:line="219" w:lineRule="exact"/>
              <w:ind w:left="103"/>
              <w:jc w:val="center"/>
              <w:rPr>
                <w:rFonts w:ascii="Calibri"/>
                <w:b/>
                <w:sz w:val="21"/>
              </w:rPr>
            </w:pPr>
            <w:r>
              <w:rPr>
                <w:rFonts w:ascii="Calibri"/>
                <w:b/>
                <w:w w:val="103"/>
                <w:sz w:val="21"/>
                <w:u w:val="single"/>
              </w:rPr>
              <w:t>%</w:t>
            </w:r>
          </w:p>
        </w:tc>
      </w:tr>
      <w:tr>
        <w:trPr>
          <w:trHeight w:val="251" w:hRule="atLeast"/>
        </w:trPr>
        <w:tc>
          <w:tcPr>
            <w:tcW w:w="1013" w:type="dxa"/>
          </w:tcPr>
          <w:p>
            <w:pPr>
              <w:pStyle w:val="TableParagraph"/>
              <w:spacing w:line="231" w:lineRule="exact"/>
              <w:ind w:left="30" w:right="49"/>
              <w:jc w:val="center"/>
              <w:rPr>
                <w:rFonts w:ascii="Calibri"/>
                <w:sz w:val="21"/>
              </w:rPr>
            </w:pPr>
            <w:r>
              <w:rPr>
                <w:rFonts w:ascii="Calibri"/>
                <w:w w:val="105"/>
                <w:sz w:val="21"/>
              </w:rPr>
              <w:t>2,485,211</w:t>
            </w:r>
          </w:p>
        </w:tc>
        <w:tc>
          <w:tcPr>
            <w:tcW w:w="1034" w:type="dxa"/>
          </w:tcPr>
          <w:p>
            <w:pPr>
              <w:pStyle w:val="TableParagraph"/>
              <w:spacing w:line="231" w:lineRule="exact"/>
              <w:ind w:left="50" w:right="50"/>
              <w:jc w:val="center"/>
              <w:rPr>
                <w:rFonts w:ascii="Calibri"/>
                <w:sz w:val="21"/>
              </w:rPr>
            </w:pPr>
            <w:r>
              <w:rPr>
                <w:rFonts w:ascii="Calibri"/>
                <w:w w:val="105"/>
                <w:sz w:val="21"/>
              </w:rPr>
              <w:t>1,940,087</w:t>
            </w:r>
          </w:p>
        </w:tc>
        <w:tc>
          <w:tcPr>
            <w:tcW w:w="1034" w:type="dxa"/>
          </w:tcPr>
          <w:p>
            <w:pPr>
              <w:pStyle w:val="TableParagraph"/>
              <w:spacing w:line="231" w:lineRule="exact"/>
              <w:ind w:left="50" w:right="50"/>
              <w:jc w:val="center"/>
              <w:rPr>
                <w:rFonts w:ascii="Calibri"/>
                <w:sz w:val="21"/>
              </w:rPr>
            </w:pPr>
            <w:r>
              <w:rPr>
                <w:rFonts w:ascii="Calibri"/>
                <w:w w:val="105"/>
                <w:sz w:val="21"/>
              </w:rPr>
              <w:t>1,672,309</w:t>
            </w:r>
          </w:p>
        </w:tc>
        <w:tc>
          <w:tcPr>
            <w:tcW w:w="1034" w:type="dxa"/>
          </w:tcPr>
          <w:p>
            <w:pPr>
              <w:pStyle w:val="TableParagraph"/>
              <w:spacing w:line="231" w:lineRule="exact"/>
              <w:ind w:left="50" w:right="50"/>
              <w:jc w:val="center"/>
              <w:rPr>
                <w:rFonts w:ascii="Calibri"/>
                <w:sz w:val="21"/>
              </w:rPr>
            </w:pPr>
            <w:r>
              <w:rPr>
                <w:rFonts w:ascii="Calibri"/>
                <w:w w:val="105"/>
                <w:sz w:val="21"/>
              </w:rPr>
              <w:t>2,400,657</w:t>
            </w:r>
          </w:p>
        </w:tc>
        <w:tc>
          <w:tcPr>
            <w:tcW w:w="877" w:type="dxa"/>
          </w:tcPr>
          <w:p>
            <w:pPr>
              <w:pStyle w:val="TableParagraph"/>
              <w:spacing w:line="231" w:lineRule="exact"/>
              <w:ind w:left="52" w:right="58"/>
              <w:jc w:val="center"/>
              <w:rPr>
                <w:rFonts w:ascii="Calibri"/>
                <w:sz w:val="21"/>
              </w:rPr>
            </w:pPr>
            <w:r>
              <w:rPr>
                <w:rFonts w:ascii="Calibri"/>
                <w:w w:val="105"/>
                <w:sz w:val="21"/>
              </w:rPr>
              <w:t>728,348</w:t>
            </w:r>
          </w:p>
        </w:tc>
        <w:tc>
          <w:tcPr>
            <w:tcW w:w="928" w:type="dxa"/>
          </w:tcPr>
          <w:p>
            <w:pPr>
              <w:pStyle w:val="TableParagraph"/>
              <w:spacing w:line="231" w:lineRule="exact"/>
              <w:ind w:left="145"/>
              <w:rPr>
                <w:rFonts w:ascii="Calibri"/>
                <w:sz w:val="21"/>
              </w:rPr>
            </w:pPr>
            <w:r>
              <w:rPr>
                <w:rFonts w:ascii="Calibri"/>
                <w:w w:val="105"/>
                <w:sz w:val="21"/>
              </w:rPr>
              <w:t>43.6%</w:t>
            </w:r>
          </w:p>
        </w:tc>
        <w:tc>
          <w:tcPr>
            <w:tcW w:w="1169" w:type="dxa"/>
          </w:tcPr>
          <w:p>
            <w:pPr>
              <w:pStyle w:val="TableParagraph"/>
              <w:spacing w:line="231" w:lineRule="exact"/>
              <w:ind w:left="168"/>
              <w:rPr>
                <w:rFonts w:ascii="Calibri"/>
                <w:sz w:val="21"/>
              </w:rPr>
            </w:pPr>
            <w:r>
              <w:rPr>
                <w:rFonts w:ascii="Calibri"/>
                <w:w w:val="105"/>
                <w:sz w:val="21"/>
              </w:rPr>
              <w:t>1,770,000</w:t>
            </w:r>
          </w:p>
        </w:tc>
        <w:tc>
          <w:tcPr>
            <w:tcW w:w="950" w:type="dxa"/>
          </w:tcPr>
          <w:p>
            <w:pPr>
              <w:pStyle w:val="TableParagraph"/>
              <w:spacing w:line="231" w:lineRule="exact"/>
              <w:ind w:left="45" w:right="138"/>
              <w:jc w:val="center"/>
              <w:rPr>
                <w:rFonts w:ascii="Calibri"/>
                <w:sz w:val="21"/>
              </w:rPr>
            </w:pPr>
            <w:r>
              <w:rPr>
                <w:rFonts w:ascii="Calibri"/>
                <w:w w:val="105"/>
                <w:sz w:val="21"/>
              </w:rPr>
              <w:t>630,657</w:t>
            </w:r>
          </w:p>
        </w:tc>
        <w:tc>
          <w:tcPr>
            <w:tcW w:w="755" w:type="dxa"/>
          </w:tcPr>
          <w:p>
            <w:pPr>
              <w:pStyle w:val="TableParagraph"/>
              <w:spacing w:line="231" w:lineRule="exact"/>
              <w:ind w:left="134" w:right="32"/>
              <w:jc w:val="center"/>
              <w:rPr>
                <w:rFonts w:ascii="Calibri"/>
                <w:sz w:val="21"/>
              </w:rPr>
            </w:pPr>
            <w:r>
              <w:rPr>
                <w:rFonts w:ascii="Calibri"/>
                <w:w w:val="105"/>
                <w:sz w:val="21"/>
              </w:rPr>
              <w:t>35.6%</w:t>
            </w:r>
          </w:p>
        </w:tc>
      </w:tr>
    </w:tbl>
    <w:p>
      <w:pPr>
        <w:spacing w:line="240" w:lineRule="auto" w:before="0"/>
        <w:rPr>
          <w:sz w:val="20"/>
        </w:rPr>
      </w:pPr>
    </w:p>
    <w:p>
      <w:pPr>
        <w:spacing w:line="240" w:lineRule="auto" w:before="0"/>
        <w:rPr>
          <w:sz w:val="20"/>
        </w:rPr>
      </w:pPr>
    </w:p>
    <w:p>
      <w:pPr>
        <w:spacing w:line="240" w:lineRule="auto" w:before="8" w:after="1"/>
        <w:rPr>
          <w:sz w:val="19"/>
        </w:rPr>
      </w:pPr>
    </w:p>
    <w:tbl>
      <w:tblPr>
        <w:tblW w:w="0" w:type="auto"/>
        <w:jc w:val="left"/>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4"/>
        <w:gridCol w:w="1035"/>
        <w:gridCol w:w="1034"/>
        <w:gridCol w:w="1034"/>
        <w:gridCol w:w="1086"/>
        <w:gridCol w:w="825"/>
        <w:gridCol w:w="941"/>
        <w:gridCol w:w="1100"/>
        <w:gridCol w:w="995"/>
        <w:gridCol w:w="1123"/>
      </w:tblGrid>
      <w:tr>
        <w:trPr>
          <w:trHeight w:val="543" w:hRule="atLeast"/>
        </w:trPr>
        <w:tc>
          <w:tcPr>
            <w:tcW w:w="1394" w:type="dxa"/>
            <w:vMerge w:val="restart"/>
            <w:tcBorders>
              <w:top w:val="single" w:sz="4" w:space="0" w:color="000000"/>
            </w:tcBorders>
          </w:tcPr>
          <w:p>
            <w:pPr>
              <w:pStyle w:val="TableParagraph"/>
              <w:rPr>
                <w:rFonts w:ascii="Times New Roman"/>
                <w:sz w:val="20"/>
              </w:rPr>
            </w:pPr>
          </w:p>
        </w:tc>
        <w:tc>
          <w:tcPr>
            <w:tcW w:w="1035" w:type="dxa"/>
            <w:tcBorders>
              <w:top w:val="single" w:sz="4" w:space="0" w:color="000000"/>
            </w:tcBorders>
          </w:tcPr>
          <w:p>
            <w:pPr>
              <w:pStyle w:val="TableParagraph"/>
              <w:spacing w:before="11"/>
              <w:rPr>
                <w:rFonts w:ascii="Calibri"/>
                <w:sz w:val="20"/>
              </w:rPr>
            </w:pPr>
          </w:p>
          <w:p>
            <w:pPr>
              <w:pStyle w:val="TableParagraph"/>
              <w:spacing w:before="1"/>
              <w:ind w:left="109" w:right="50"/>
              <w:jc w:val="center"/>
              <w:rPr>
                <w:rFonts w:ascii="Calibri"/>
                <w:b/>
                <w:sz w:val="21"/>
              </w:rPr>
            </w:pPr>
            <w:r>
              <w:rPr>
                <w:rFonts w:ascii="Calibri"/>
                <w:b/>
                <w:w w:val="105"/>
                <w:sz w:val="21"/>
              </w:rPr>
              <w:t>Actual</w:t>
            </w:r>
          </w:p>
        </w:tc>
        <w:tc>
          <w:tcPr>
            <w:tcW w:w="1034" w:type="dxa"/>
            <w:tcBorders>
              <w:top w:val="single" w:sz="4" w:space="0" w:color="000000"/>
            </w:tcBorders>
          </w:tcPr>
          <w:p>
            <w:pPr>
              <w:pStyle w:val="TableParagraph"/>
              <w:spacing w:before="11"/>
              <w:rPr>
                <w:rFonts w:ascii="Calibri"/>
                <w:sz w:val="20"/>
              </w:rPr>
            </w:pPr>
          </w:p>
          <w:p>
            <w:pPr>
              <w:pStyle w:val="TableParagraph"/>
              <w:spacing w:before="1"/>
              <w:ind w:left="108" w:right="50"/>
              <w:jc w:val="center"/>
              <w:rPr>
                <w:rFonts w:ascii="Calibri"/>
                <w:b/>
                <w:sz w:val="21"/>
              </w:rPr>
            </w:pPr>
            <w:r>
              <w:rPr>
                <w:rFonts w:ascii="Calibri"/>
                <w:b/>
                <w:w w:val="105"/>
                <w:sz w:val="21"/>
              </w:rPr>
              <w:t>Actual</w:t>
            </w:r>
          </w:p>
        </w:tc>
        <w:tc>
          <w:tcPr>
            <w:tcW w:w="1034" w:type="dxa"/>
            <w:tcBorders>
              <w:top w:val="single" w:sz="4" w:space="0" w:color="000000"/>
            </w:tcBorders>
          </w:tcPr>
          <w:p>
            <w:pPr>
              <w:pStyle w:val="TableParagraph"/>
              <w:spacing w:before="11"/>
              <w:rPr>
                <w:rFonts w:ascii="Calibri"/>
                <w:sz w:val="20"/>
              </w:rPr>
            </w:pPr>
          </w:p>
          <w:p>
            <w:pPr>
              <w:pStyle w:val="TableParagraph"/>
              <w:spacing w:before="1"/>
              <w:ind w:left="108" w:right="50"/>
              <w:jc w:val="center"/>
              <w:rPr>
                <w:rFonts w:ascii="Calibri"/>
                <w:b/>
                <w:sz w:val="21"/>
              </w:rPr>
            </w:pPr>
            <w:r>
              <w:rPr>
                <w:rFonts w:ascii="Calibri"/>
                <w:b/>
                <w:w w:val="105"/>
                <w:sz w:val="21"/>
              </w:rPr>
              <w:t>Actual</w:t>
            </w:r>
          </w:p>
        </w:tc>
        <w:tc>
          <w:tcPr>
            <w:tcW w:w="1086" w:type="dxa"/>
            <w:tcBorders>
              <w:top w:val="single" w:sz="4" w:space="0" w:color="000000"/>
            </w:tcBorders>
          </w:tcPr>
          <w:p>
            <w:pPr>
              <w:pStyle w:val="TableParagraph"/>
              <w:spacing w:before="11"/>
              <w:rPr>
                <w:rFonts w:ascii="Calibri"/>
                <w:sz w:val="20"/>
              </w:rPr>
            </w:pPr>
          </w:p>
          <w:p>
            <w:pPr>
              <w:pStyle w:val="TableParagraph"/>
              <w:spacing w:before="1"/>
              <w:ind w:left="257"/>
              <w:rPr>
                <w:rFonts w:ascii="Calibri"/>
                <w:b/>
                <w:sz w:val="21"/>
              </w:rPr>
            </w:pPr>
            <w:r>
              <w:rPr>
                <w:rFonts w:ascii="Calibri"/>
                <w:b/>
                <w:w w:val="105"/>
                <w:sz w:val="21"/>
              </w:rPr>
              <w:t>Actual</w:t>
            </w:r>
          </w:p>
        </w:tc>
        <w:tc>
          <w:tcPr>
            <w:tcW w:w="825" w:type="dxa"/>
            <w:tcBorders>
              <w:top w:val="single" w:sz="4" w:space="0" w:color="000000"/>
            </w:tcBorders>
          </w:tcPr>
          <w:p>
            <w:pPr>
              <w:pStyle w:val="TableParagraph"/>
              <w:spacing w:before="11"/>
              <w:rPr>
                <w:rFonts w:ascii="Calibri"/>
                <w:sz w:val="20"/>
              </w:rPr>
            </w:pPr>
          </w:p>
          <w:p>
            <w:pPr>
              <w:pStyle w:val="TableParagraph"/>
              <w:spacing w:before="1"/>
              <w:ind w:right="122"/>
              <w:jc w:val="right"/>
              <w:rPr>
                <w:rFonts w:ascii="Calibri"/>
                <w:b/>
                <w:sz w:val="21"/>
              </w:rPr>
            </w:pPr>
            <w:r>
              <w:rPr>
                <w:rFonts w:ascii="Calibri"/>
                <w:b/>
                <w:sz w:val="21"/>
              </w:rPr>
              <w:t>Actual</w:t>
            </w:r>
          </w:p>
        </w:tc>
        <w:tc>
          <w:tcPr>
            <w:tcW w:w="941" w:type="dxa"/>
            <w:tcBorders>
              <w:top w:val="single" w:sz="4" w:space="0" w:color="000000"/>
            </w:tcBorders>
          </w:tcPr>
          <w:p>
            <w:pPr>
              <w:pStyle w:val="TableParagraph"/>
              <w:spacing w:before="11"/>
              <w:rPr>
                <w:rFonts w:ascii="Calibri"/>
                <w:sz w:val="20"/>
              </w:rPr>
            </w:pPr>
          </w:p>
          <w:p>
            <w:pPr>
              <w:pStyle w:val="TableParagraph"/>
              <w:spacing w:before="1"/>
              <w:ind w:left="102" w:right="250"/>
              <w:jc w:val="center"/>
              <w:rPr>
                <w:rFonts w:ascii="Calibri"/>
                <w:b/>
                <w:sz w:val="21"/>
              </w:rPr>
            </w:pPr>
            <w:r>
              <w:rPr>
                <w:rFonts w:ascii="Calibri"/>
                <w:b/>
                <w:w w:val="105"/>
                <w:sz w:val="21"/>
              </w:rPr>
              <w:t>YTD</w:t>
            </w:r>
          </w:p>
        </w:tc>
        <w:tc>
          <w:tcPr>
            <w:tcW w:w="1100" w:type="dxa"/>
            <w:tcBorders>
              <w:top w:val="single" w:sz="4" w:space="0" w:color="000000"/>
            </w:tcBorders>
          </w:tcPr>
          <w:p>
            <w:pPr>
              <w:pStyle w:val="TableParagraph"/>
              <w:spacing w:before="11"/>
              <w:rPr>
                <w:rFonts w:ascii="Calibri"/>
                <w:sz w:val="20"/>
              </w:rPr>
            </w:pPr>
          </w:p>
          <w:p>
            <w:pPr>
              <w:pStyle w:val="TableParagraph"/>
              <w:spacing w:before="1"/>
              <w:ind w:left="334"/>
              <w:rPr>
                <w:rFonts w:ascii="Calibri"/>
                <w:b/>
                <w:sz w:val="21"/>
              </w:rPr>
            </w:pPr>
            <w:r>
              <w:rPr>
                <w:rFonts w:ascii="Calibri"/>
                <w:b/>
                <w:w w:val="105"/>
                <w:sz w:val="21"/>
              </w:rPr>
              <w:t>Budget</w:t>
            </w:r>
          </w:p>
        </w:tc>
        <w:tc>
          <w:tcPr>
            <w:tcW w:w="995" w:type="dxa"/>
            <w:tcBorders>
              <w:top w:val="single" w:sz="4" w:space="0" w:color="000000"/>
            </w:tcBorders>
          </w:tcPr>
          <w:p>
            <w:pPr>
              <w:pStyle w:val="TableParagraph"/>
              <w:spacing w:before="11"/>
              <w:rPr>
                <w:rFonts w:ascii="Calibri"/>
                <w:sz w:val="20"/>
              </w:rPr>
            </w:pPr>
          </w:p>
          <w:p>
            <w:pPr>
              <w:pStyle w:val="TableParagraph"/>
              <w:spacing w:before="1"/>
              <w:ind w:right="68"/>
              <w:jc w:val="right"/>
              <w:rPr>
                <w:rFonts w:ascii="Calibri"/>
                <w:b/>
                <w:sz w:val="21"/>
              </w:rPr>
            </w:pPr>
            <w:r>
              <w:rPr>
                <w:rFonts w:ascii="Calibri"/>
                <w:b/>
                <w:w w:val="105"/>
                <w:sz w:val="21"/>
              </w:rPr>
              <w:t>Actual vs</w:t>
            </w:r>
          </w:p>
        </w:tc>
        <w:tc>
          <w:tcPr>
            <w:tcW w:w="1123" w:type="dxa"/>
            <w:tcBorders>
              <w:top w:val="single" w:sz="4" w:space="0" w:color="000000"/>
            </w:tcBorders>
          </w:tcPr>
          <w:p>
            <w:pPr>
              <w:pStyle w:val="TableParagraph"/>
              <w:spacing w:before="11"/>
              <w:rPr>
                <w:rFonts w:ascii="Calibri"/>
                <w:sz w:val="20"/>
              </w:rPr>
            </w:pPr>
          </w:p>
          <w:p>
            <w:pPr>
              <w:pStyle w:val="TableParagraph"/>
              <w:spacing w:before="1"/>
              <w:ind w:left="240"/>
              <w:rPr>
                <w:rFonts w:ascii="Calibri"/>
                <w:b/>
                <w:sz w:val="21"/>
              </w:rPr>
            </w:pPr>
            <w:r>
              <w:rPr>
                <w:rFonts w:ascii="Calibri"/>
                <w:b/>
                <w:w w:val="105"/>
                <w:sz w:val="21"/>
              </w:rPr>
              <w:t>YTD</w:t>
            </w:r>
          </w:p>
        </w:tc>
      </w:tr>
      <w:tr>
        <w:trPr>
          <w:trHeight w:val="284" w:hRule="atLeast"/>
        </w:trPr>
        <w:tc>
          <w:tcPr>
            <w:tcW w:w="1394" w:type="dxa"/>
            <w:vMerge/>
            <w:tcBorders>
              <w:top w:val="nil"/>
            </w:tcBorders>
          </w:tcPr>
          <w:p>
            <w:pPr>
              <w:rPr>
                <w:sz w:val="2"/>
                <w:szCs w:val="2"/>
              </w:rPr>
            </w:pPr>
          </w:p>
        </w:tc>
        <w:tc>
          <w:tcPr>
            <w:tcW w:w="1035" w:type="dxa"/>
          </w:tcPr>
          <w:p>
            <w:pPr>
              <w:pStyle w:val="TableParagraph"/>
              <w:spacing w:line="253" w:lineRule="exact"/>
              <w:ind w:left="106" w:right="50"/>
              <w:jc w:val="center"/>
              <w:rPr>
                <w:rFonts w:ascii="Calibri"/>
                <w:b/>
                <w:sz w:val="21"/>
              </w:rPr>
            </w:pPr>
            <w:r>
              <w:rPr>
                <w:rFonts w:ascii="Calibri"/>
                <w:b/>
                <w:w w:val="105"/>
                <w:sz w:val="21"/>
                <w:u w:val="single"/>
              </w:rPr>
              <w:t>FY-23</w:t>
            </w:r>
          </w:p>
        </w:tc>
        <w:tc>
          <w:tcPr>
            <w:tcW w:w="1034" w:type="dxa"/>
          </w:tcPr>
          <w:p>
            <w:pPr>
              <w:pStyle w:val="TableParagraph"/>
              <w:spacing w:line="253" w:lineRule="exact"/>
              <w:ind w:left="104" w:right="50"/>
              <w:jc w:val="center"/>
              <w:rPr>
                <w:rFonts w:ascii="Calibri"/>
                <w:b/>
                <w:sz w:val="21"/>
              </w:rPr>
            </w:pPr>
            <w:r>
              <w:rPr>
                <w:rFonts w:ascii="Calibri"/>
                <w:b/>
                <w:w w:val="105"/>
                <w:sz w:val="21"/>
                <w:u w:val="single"/>
              </w:rPr>
              <w:t>FY-24</w:t>
            </w:r>
          </w:p>
        </w:tc>
        <w:tc>
          <w:tcPr>
            <w:tcW w:w="1034" w:type="dxa"/>
          </w:tcPr>
          <w:p>
            <w:pPr>
              <w:pStyle w:val="TableParagraph"/>
              <w:spacing w:line="253" w:lineRule="exact"/>
              <w:ind w:left="104" w:right="50"/>
              <w:jc w:val="center"/>
              <w:rPr>
                <w:rFonts w:ascii="Calibri"/>
                <w:b/>
                <w:sz w:val="21"/>
              </w:rPr>
            </w:pPr>
            <w:r>
              <w:rPr>
                <w:rFonts w:ascii="Calibri"/>
                <w:b/>
                <w:w w:val="105"/>
                <w:sz w:val="21"/>
                <w:u w:val="single"/>
              </w:rPr>
              <w:t>FY-25</w:t>
            </w:r>
          </w:p>
        </w:tc>
        <w:tc>
          <w:tcPr>
            <w:tcW w:w="1086" w:type="dxa"/>
          </w:tcPr>
          <w:p>
            <w:pPr>
              <w:pStyle w:val="TableParagraph"/>
              <w:spacing w:line="253" w:lineRule="exact"/>
              <w:ind w:left="294"/>
              <w:rPr>
                <w:rFonts w:ascii="Calibri"/>
                <w:b/>
                <w:sz w:val="21"/>
              </w:rPr>
            </w:pPr>
            <w:r>
              <w:rPr>
                <w:rFonts w:ascii="Calibri"/>
                <w:b/>
                <w:w w:val="105"/>
                <w:sz w:val="21"/>
                <w:u w:val="single"/>
              </w:rPr>
              <w:t>FY-26</w:t>
            </w:r>
          </w:p>
        </w:tc>
        <w:tc>
          <w:tcPr>
            <w:tcW w:w="825" w:type="dxa"/>
          </w:tcPr>
          <w:p>
            <w:pPr>
              <w:pStyle w:val="TableParagraph"/>
              <w:spacing w:line="253" w:lineRule="exact"/>
              <w:ind w:right="179"/>
              <w:jc w:val="right"/>
              <w:rPr>
                <w:rFonts w:ascii="Calibri"/>
                <w:b/>
                <w:sz w:val="21"/>
              </w:rPr>
            </w:pPr>
            <w:r>
              <w:rPr>
                <w:rFonts w:ascii="Calibri"/>
                <w:b/>
                <w:w w:val="105"/>
                <w:sz w:val="21"/>
                <w:u w:val="single"/>
              </w:rPr>
              <w:t>vs PY</w:t>
            </w:r>
          </w:p>
        </w:tc>
        <w:tc>
          <w:tcPr>
            <w:tcW w:w="941" w:type="dxa"/>
          </w:tcPr>
          <w:p>
            <w:pPr>
              <w:pStyle w:val="TableParagraph"/>
              <w:spacing w:line="253" w:lineRule="exact"/>
              <w:ind w:left="102" w:right="209"/>
              <w:jc w:val="center"/>
              <w:rPr>
                <w:rFonts w:ascii="Calibri"/>
                <w:b/>
                <w:sz w:val="21"/>
              </w:rPr>
            </w:pPr>
            <w:r>
              <w:rPr>
                <w:rFonts w:ascii="Calibri"/>
                <w:b/>
                <w:w w:val="105"/>
                <w:sz w:val="21"/>
                <w:u w:val="single"/>
              </w:rPr>
              <w:t>vs PY</w:t>
            </w:r>
          </w:p>
        </w:tc>
        <w:tc>
          <w:tcPr>
            <w:tcW w:w="1100" w:type="dxa"/>
          </w:tcPr>
          <w:p>
            <w:pPr>
              <w:pStyle w:val="TableParagraph"/>
              <w:spacing w:line="253" w:lineRule="exact"/>
              <w:ind w:left="386"/>
              <w:rPr>
                <w:rFonts w:ascii="Calibri"/>
                <w:b/>
                <w:sz w:val="21"/>
              </w:rPr>
            </w:pPr>
            <w:r>
              <w:rPr>
                <w:rFonts w:ascii="Calibri"/>
                <w:b/>
                <w:w w:val="105"/>
                <w:sz w:val="21"/>
                <w:u w:val="single"/>
              </w:rPr>
              <w:t>FY 26</w:t>
            </w:r>
          </w:p>
        </w:tc>
        <w:tc>
          <w:tcPr>
            <w:tcW w:w="995" w:type="dxa"/>
          </w:tcPr>
          <w:p>
            <w:pPr>
              <w:pStyle w:val="TableParagraph"/>
              <w:spacing w:line="253" w:lineRule="exact"/>
              <w:ind w:left="185"/>
              <w:rPr>
                <w:rFonts w:ascii="Calibri"/>
                <w:b/>
                <w:sz w:val="21"/>
              </w:rPr>
            </w:pPr>
            <w:r>
              <w:rPr>
                <w:rFonts w:ascii="Calibri"/>
                <w:b/>
                <w:w w:val="105"/>
                <w:sz w:val="21"/>
                <w:u w:val="single"/>
              </w:rPr>
              <w:t>Budget</w:t>
            </w:r>
          </w:p>
        </w:tc>
        <w:tc>
          <w:tcPr>
            <w:tcW w:w="1123" w:type="dxa"/>
          </w:tcPr>
          <w:p>
            <w:pPr>
              <w:pStyle w:val="TableParagraph"/>
              <w:spacing w:line="253" w:lineRule="exact"/>
              <w:ind w:right="292"/>
              <w:jc w:val="right"/>
              <w:rPr>
                <w:rFonts w:ascii="Calibri"/>
                <w:b/>
                <w:sz w:val="21"/>
              </w:rPr>
            </w:pPr>
            <w:r>
              <w:rPr>
                <w:rFonts w:ascii="Calibri"/>
                <w:b/>
                <w:sz w:val="21"/>
                <w:u w:val="single"/>
              </w:rPr>
              <w:t>Variance</w:t>
            </w:r>
          </w:p>
        </w:tc>
      </w:tr>
      <w:tr>
        <w:trPr>
          <w:trHeight w:val="284" w:hRule="atLeast"/>
        </w:trPr>
        <w:tc>
          <w:tcPr>
            <w:tcW w:w="1394" w:type="dxa"/>
          </w:tcPr>
          <w:p>
            <w:pPr>
              <w:pStyle w:val="TableParagraph"/>
              <w:spacing w:line="253" w:lineRule="exact"/>
              <w:ind w:left="363"/>
              <w:rPr>
                <w:rFonts w:ascii="Calibri"/>
                <w:sz w:val="21"/>
              </w:rPr>
            </w:pPr>
            <w:r>
              <w:rPr>
                <w:rFonts w:ascii="Calibri"/>
                <w:w w:val="105"/>
                <w:sz w:val="21"/>
              </w:rPr>
              <w:t>April</w:t>
            </w:r>
          </w:p>
        </w:tc>
        <w:tc>
          <w:tcPr>
            <w:tcW w:w="1035" w:type="dxa"/>
          </w:tcPr>
          <w:p>
            <w:pPr>
              <w:pStyle w:val="TableParagraph"/>
              <w:spacing w:line="253" w:lineRule="exact"/>
              <w:ind w:left="212" w:right="50"/>
              <w:jc w:val="center"/>
              <w:rPr>
                <w:rFonts w:ascii="Calibri"/>
                <w:sz w:val="21"/>
              </w:rPr>
            </w:pPr>
            <w:r>
              <w:rPr>
                <w:rFonts w:ascii="Calibri"/>
                <w:w w:val="105"/>
                <w:sz w:val="21"/>
              </w:rPr>
              <w:t>899,181</w:t>
            </w:r>
          </w:p>
        </w:tc>
        <w:tc>
          <w:tcPr>
            <w:tcW w:w="1034" w:type="dxa"/>
          </w:tcPr>
          <w:p>
            <w:pPr>
              <w:pStyle w:val="TableParagraph"/>
              <w:spacing w:line="253" w:lineRule="exact"/>
              <w:ind w:left="211" w:right="50"/>
              <w:jc w:val="center"/>
              <w:rPr>
                <w:rFonts w:ascii="Calibri"/>
                <w:sz w:val="21"/>
              </w:rPr>
            </w:pPr>
            <w:r>
              <w:rPr>
                <w:rFonts w:ascii="Calibri"/>
                <w:w w:val="105"/>
                <w:sz w:val="21"/>
              </w:rPr>
              <w:t>761,875</w:t>
            </w:r>
          </w:p>
        </w:tc>
        <w:tc>
          <w:tcPr>
            <w:tcW w:w="1034" w:type="dxa"/>
          </w:tcPr>
          <w:p>
            <w:pPr>
              <w:pStyle w:val="TableParagraph"/>
              <w:spacing w:line="253" w:lineRule="exact"/>
              <w:ind w:left="211" w:right="50"/>
              <w:jc w:val="center"/>
              <w:rPr>
                <w:rFonts w:ascii="Calibri"/>
                <w:sz w:val="21"/>
              </w:rPr>
            </w:pPr>
            <w:r>
              <w:rPr>
                <w:rFonts w:ascii="Calibri"/>
                <w:w w:val="105"/>
                <w:sz w:val="21"/>
              </w:rPr>
              <w:t>537,226</w:t>
            </w:r>
          </w:p>
        </w:tc>
        <w:tc>
          <w:tcPr>
            <w:tcW w:w="1086" w:type="dxa"/>
          </w:tcPr>
          <w:p>
            <w:pPr>
              <w:pStyle w:val="TableParagraph"/>
              <w:spacing w:line="253" w:lineRule="exact"/>
              <w:ind w:right="122"/>
              <w:jc w:val="right"/>
              <w:rPr>
                <w:rFonts w:ascii="Calibri"/>
                <w:sz w:val="21"/>
              </w:rPr>
            </w:pPr>
            <w:r>
              <w:rPr>
                <w:rFonts w:ascii="Calibri"/>
                <w:sz w:val="21"/>
              </w:rPr>
              <w:t>690,885</w:t>
            </w:r>
          </w:p>
        </w:tc>
        <w:tc>
          <w:tcPr>
            <w:tcW w:w="825" w:type="dxa"/>
          </w:tcPr>
          <w:p>
            <w:pPr>
              <w:pStyle w:val="TableParagraph"/>
              <w:spacing w:line="253" w:lineRule="exact"/>
              <w:ind w:right="138"/>
              <w:jc w:val="right"/>
              <w:rPr>
                <w:rFonts w:ascii="Calibri"/>
                <w:sz w:val="21"/>
              </w:rPr>
            </w:pPr>
            <w:r>
              <w:rPr>
                <w:rFonts w:ascii="Calibri"/>
                <w:sz w:val="21"/>
              </w:rPr>
              <w:t>28.6%</w:t>
            </w:r>
          </w:p>
        </w:tc>
        <w:tc>
          <w:tcPr>
            <w:tcW w:w="941" w:type="dxa"/>
          </w:tcPr>
          <w:p>
            <w:pPr>
              <w:pStyle w:val="TableParagraph"/>
              <w:spacing w:line="253" w:lineRule="exact"/>
              <w:ind w:left="102" w:right="137"/>
              <w:jc w:val="center"/>
              <w:rPr>
                <w:rFonts w:ascii="Calibri"/>
                <w:sz w:val="21"/>
              </w:rPr>
            </w:pPr>
            <w:r>
              <w:rPr>
                <w:rFonts w:ascii="Calibri"/>
                <w:w w:val="105"/>
                <w:sz w:val="21"/>
              </w:rPr>
              <w:t>373.6%</w:t>
            </w:r>
          </w:p>
        </w:tc>
        <w:tc>
          <w:tcPr>
            <w:tcW w:w="1100" w:type="dxa"/>
          </w:tcPr>
          <w:p>
            <w:pPr>
              <w:pStyle w:val="TableParagraph"/>
              <w:spacing w:line="253" w:lineRule="exact"/>
              <w:ind w:left="319"/>
              <w:rPr>
                <w:rFonts w:ascii="Calibri"/>
                <w:sz w:val="21"/>
              </w:rPr>
            </w:pPr>
            <w:r>
              <w:rPr>
                <w:rFonts w:ascii="Calibri"/>
                <w:w w:val="105"/>
                <w:sz w:val="21"/>
              </w:rPr>
              <w:t>545,000</w:t>
            </w:r>
          </w:p>
        </w:tc>
        <w:tc>
          <w:tcPr>
            <w:tcW w:w="995" w:type="dxa"/>
          </w:tcPr>
          <w:p>
            <w:pPr>
              <w:pStyle w:val="TableParagraph"/>
              <w:spacing w:line="253" w:lineRule="exact"/>
              <w:ind w:right="49"/>
              <w:jc w:val="right"/>
              <w:rPr>
                <w:rFonts w:ascii="Calibri"/>
                <w:sz w:val="21"/>
              </w:rPr>
            </w:pPr>
            <w:r>
              <w:rPr>
                <w:rFonts w:ascii="Calibri"/>
                <w:sz w:val="21"/>
              </w:rPr>
              <w:t>26.8%</w:t>
            </w:r>
          </w:p>
        </w:tc>
        <w:tc>
          <w:tcPr>
            <w:tcW w:w="1123" w:type="dxa"/>
          </w:tcPr>
          <w:p>
            <w:pPr>
              <w:pStyle w:val="TableParagraph"/>
              <w:spacing w:line="253" w:lineRule="exact"/>
              <w:ind w:right="258"/>
              <w:jc w:val="right"/>
              <w:rPr>
                <w:rFonts w:ascii="Calibri"/>
                <w:sz w:val="21"/>
              </w:rPr>
            </w:pPr>
            <w:r>
              <w:rPr>
                <w:rFonts w:ascii="Calibri"/>
                <w:sz w:val="21"/>
              </w:rPr>
              <w:t>26.8%</w:t>
            </w:r>
          </w:p>
        </w:tc>
      </w:tr>
      <w:tr>
        <w:trPr>
          <w:trHeight w:val="284" w:hRule="atLeast"/>
        </w:trPr>
        <w:tc>
          <w:tcPr>
            <w:tcW w:w="1394" w:type="dxa"/>
          </w:tcPr>
          <w:p>
            <w:pPr>
              <w:pStyle w:val="TableParagraph"/>
              <w:spacing w:line="253" w:lineRule="exact"/>
              <w:ind w:left="363"/>
              <w:rPr>
                <w:rFonts w:ascii="Calibri"/>
                <w:sz w:val="21"/>
              </w:rPr>
            </w:pPr>
            <w:r>
              <w:rPr>
                <w:rFonts w:ascii="Calibri"/>
                <w:w w:val="105"/>
                <w:sz w:val="21"/>
              </w:rPr>
              <w:t>May</w:t>
            </w:r>
          </w:p>
        </w:tc>
        <w:tc>
          <w:tcPr>
            <w:tcW w:w="1035" w:type="dxa"/>
          </w:tcPr>
          <w:p>
            <w:pPr>
              <w:pStyle w:val="TableParagraph"/>
              <w:spacing w:line="253" w:lineRule="exact"/>
              <w:ind w:left="213" w:right="50"/>
              <w:jc w:val="center"/>
              <w:rPr>
                <w:rFonts w:ascii="Calibri"/>
                <w:sz w:val="21"/>
              </w:rPr>
            </w:pPr>
            <w:r>
              <w:rPr>
                <w:rFonts w:ascii="Calibri"/>
                <w:w w:val="105"/>
                <w:sz w:val="21"/>
              </w:rPr>
              <w:t>778,198</w:t>
            </w:r>
          </w:p>
        </w:tc>
        <w:tc>
          <w:tcPr>
            <w:tcW w:w="1034" w:type="dxa"/>
          </w:tcPr>
          <w:p>
            <w:pPr>
              <w:pStyle w:val="TableParagraph"/>
              <w:spacing w:line="253" w:lineRule="exact"/>
              <w:ind w:left="212" w:right="50"/>
              <w:jc w:val="center"/>
              <w:rPr>
                <w:rFonts w:ascii="Calibri"/>
                <w:sz w:val="21"/>
              </w:rPr>
            </w:pPr>
            <w:r>
              <w:rPr>
                <w:rFonts w:ascii="Calibri"/>
                <w:w w:val="105"/>
                <w:sz w:val="21"/>
              </w:rPr>
              <w:t>557,104</w:t>
            </w:r>
          </w:p>
        </w:tc>
        <w:tc>
          <w:tcPr>
            <w:tcW w:w="1034" w:type="dxa"/>
          </w:tcPr>
          <w:p>
            <w:pPr>
              <w:pStyle w:val="TableParagraph"/>
              <w:spacing w:line="253" w:lineRule="exact"/>
              <w:ind w:left="212" w:right="50"/>
              <w:jc w:val="center"/>
              <w:rPr>
                <w:rFonts w:ascii="Calibri"/>
                <w:sz w:val="21"/>
              </w:rPr>
            </w:pPr>
            <w:r>
              <w:rPr>
                <w:rFonts w:ascii="Calibri"/>
                <w:w w:val="105"/>
                <w:sz w:val="21"/>
              </w:rPr>
              <w:t>622,405</w:t>
            </w:r>
          </w:p>
        </w:tc>
        <w:tc>
          <w:tcPr>
            <w:tcW w:w="1086" w:type="dxa"/>
          </w:tcPr>
          <w:p>
            <w:pPr>
              <w:pStyle w:val="TableParagraph"/>
              <w:spacing w:line="253" w:lineRule="exact"/>
              <w:ind w:right="122"/>
              <w:jc w:val="right"/>
              <w:rPr>
                <w:rFonts w:ascii="Calibri"/>
                <w:sz w:val="21"/>
              </w:rPr>
            </w:pPr>
            <w:r>
              <w:rPr>
                <w:rFonts w:ascii="Calibri"/>
                <w:sz w:val="21"/>
              </w:rPr>
              <w:t>884,530</w:t>
            </w:r>
          </w:p>
        </w:tc>
        <w:tc>
          <w:tcPr>
            <w:tcW w:w="825" w:type="dxa"/>
          </w:tcPr>
          <w:p>
            <w:pPr>
              <w:pStyle w:val="TableParagraph"/>
              <w:spacing w:line="253" w:lineRule="exact"/>
              <w:ind w:right="137"/>
              <w:jc w:val="right"/>
              <w:rPr>
                <w:rFonts w:ascii="Calibri"/>
                <w:sz w:val="21"/>
              </w:rPr>
            </w:pPr>
            <w:r>
              <w:rPr>
                <w:rFonts w:ascii="Calibri"/>
                <w:sz w:val="21"/>
              </w:rPr>
              <w:t>42.1%</w:t>
            </w:r>
          </w:p>
        </w:tc>
        <w:tc>
          <w:tcPr>
            <w:tcW w:w="941" w:type="dxa"/>
          </w:tcPr>
          <w:p>
            <w:pPr>
              <w:pStyle w:val="TableParagraph"/>
              <w:spacing w:line="253" w:lineRule="exact"/>
              <w:ind w:left="102" w:right="136"/>
              <w:jc w:val="center"/>
              <w:rPr>
                <w:rFonts w:ascii="Calibri"/>
                <w:sz w:val="21"/>
              </w:rPr>
            </w:pPr>
            <w:r>
              <w:rPr>
                <w:rFonts w:ascii="Calibri"/>
                <w:w w:val="105"/>
                <w:sz w:val="21"/>
              </w:rPr>
              <w:t>266.0%</w:t>
            </w:r>
          </w:p>
        </w:tc>
        <w:tc>
          <w:tcPr>
            <w:tcW w:w="1100" w:type="dxa"/>
          </w:tcPr>
          <w:p>
            <w:pPr>
              <w:pStyle w:val="TableParagraph"/>
              <w:spacing w:line="253" w:lineRule="exact"/>
              <w:ind w:left="320"/>
              <w:rPr>
                <w:rFonts w:ascii="Calibri"/>
                <w:sz w:val="21"/>
              </w:rPr>
            </w:pPr>
            <w:r>
              <w:rPr>
                <w:rFonts w:ascii="Calibri"/>
                <w:w w:val="105"/>
                <w:sz w:val="21"/>
              </w:rPr>
              <w:t>600,000</w:t>
            </w:r>
          </w:p>
        </w:tc>
        <w:tc>
          <w:tcPr>
            <w:tcW w:w="995" w:type="dxa"/>
          </w:tcPr>
          <w:p>
            <w:pPr>
              <w:pStyle w:val="TableParagraph"/>
              <w:spacing w:line="253" w:lineRule="exact"/>
              <w:ind w:right="49"/>
              <w:jc w:val="right"/>
              <w:rPr>
                <w:rFonts w:ascii="Calibri"/>
                <w:sz w:val="21"/>
              </w:rPr>
            </w:pPr>
            <w:r>
              <w:rPr>
                <w:rFonts w:ascii="Calibri"/>
                <w:sz w:val="21"/>
              </w:rPr>
              <w:t>47.4%</w:t>
            </w:r>
          </w:p>
        </w:tc>
        <w:tc>
          <w:tcPr>
            <w:tcW w:w="1123" w:type="dxa"/>
          </w:tcPr>
          <w:p>
            <w:pPr>
              <w:pStyle w:val="TableParagraph"/>
              <w:spacing w:line="253" w:lineRule="exact"/>
              <w:ind w:right="258"/>
              <w:jc w:val="right"/>
              <w:rPr>
                <w:rFonts w:ascii="Calibri"/>
                <w:sz w:val="21"/>
              </w:rPr>
            </w:pPr>
            <w:r>
              <w:rPr>
                <w:rFonts w:ascii="Calibri"/>
                <w:sz w:val="21"/>
              </w:rPr>
              <w:t>37.6%</w:t>
            </w:r>
          </w:p>
        </w:tc>
      </w:tr>
      <w:tr>
        <w:trPr>
          <w:trHeight w:val="284" w:hRule="atLeast"/>
        </w:trPr>
        <w:tc>
          <w:tcPr>
            <w:tcW w:w="1394" w:type="dxa"/>
          </w:tcPr>
          <w:p>
            <w:pPr>
              <w:pStyle w:val="TableParagraph"/>
              <w:spacing w:line="253" w:lineRule="exact"/>
              <w:ind w:left="364"/>
              <w:rPr>
                <w:rFonts w:ascii="Calibri"/>
                <w:sz w:val="21"/>
              </w:rPr>
            </w:pPr>
            <w:r>
              <w:rPr>
                <w:rFonts w:ascii="Calibri"/>
                <w:w w:val="105"/>
                <w:sz w:val="21"/>
              </w:rPr>
              <w:t>June</w:t>
            </w:r>
          </w:p>
        </w:tc>
        <w:tc>
          <w:tcPr>
            <w:tcW w:w="1035" w:type="dxa"/>
          </w:tcPr>
          <w:p>
            <w:pPr>
              <w:pStyle w:val="TableParagraph"/>
              <w:spacing w:line="253" w:lineRule="exact"/>
              <w:ind w:left="214" w:right="50"/>
              <w:jc w:val="center"/>
              <w:rPr>
                <w:rFonts w:ascii="Calibri"/>
                <w:sz w:val="21"/>
              </w:rPr>
            </w:pPr>
            <w:r>
              <w:rPr>
                <w:rFonts w:ascii="Calibri"/>
                <w:w w:val="105"/>
                <w:sz w:val="21"/>
              </w:rPr>
              <w:t>807,832</w:t>
            </w:r>
          </w:p>
        </w:tc>
        <w:tc>
          <w:tcPr>
            <w:tcW w:w="1034" w:type="dxa"/>
          </w:tcPr>
          <w:p>
            <w:pPr>
              <w:pStyle w:val="TableParagraph"/>
              <w:spacing w:line="253" w:lineRule="exact"/>
              <w:ind w:left="213" w:right="50"/>
              <w:jc w:val="center"/>
              <w:rPr>
                <w:rFonts w:ascii="Calibri"/>
                <w:sz w:val="21"/>
              </w:rPr>
            </w:pPr>
            <w:r>
              <w:rPr>
                <w:rFonts w:ascii="Calibri"/>
                <w:w w:val="105"/>
                <w:sz w:val="21"/>
              </w:rPr>
              <w:t>621,109</w:t>
            </w:r>
          </w:p>
        </w:tc>
        <w:tc>
          <w:tcPr>
            <w:tcW w:w="1034" w:type="dxa"/>
          </w:tcPr>
          <w:p>
            <w:pPr>
              <w:pStyle w:val="TableParagraph"/>
              <w:spacing w:line="253" w:lineRule="exact"/>
              <w:ind w:left="213" w:right="50"/>
              <w:jc w:val="center"/>
              <w:rPr>
                <w:rFonts w:ascii="Calibri"/>
                <w:sz w:val="21"/>
              </w:rPr>
            </w:pPr>
            <w:r>
              <w:rPr>
                <w:rFonts w:ascii="Calibri"/>
                <w:w w:val="105"/>
                <w:sz w:val="21"/>
              </w:rPr>
              <w:t>512,679</w:t>
            </w:r>
          </w:p>
        </w:tc>
        <w:tc>
          <w:tcPr>
            <w:tcW w:w="1086" w:type="dxa"/>
          </w:tcPr>
          <w:p>
            <w:pPr>
              <w:pStyle w:val="TableParagraph"/>
              <w:spacing w:line="253" w:lineRule="exact"/>
              <w:ind w:right="122"/>
              <w:jc w:val="right"/>
              <w:rPr>
                <w:rFonts w:ascii="Calibri"/>
                <w:sz w:val="21"/>
              </w:rPr>
            </w:pPr>
            <w:r>
              <w:rPr>
                <w:rFonts w:ascii="Calibri"/>
                <w:sz w:val="21"/>
              </w:rPr>
              <w:t>825,242</w:t>
            </w:r>
          </w:p>
        </w:tc>
        <w:tc>
          <w:tcPr>
            <w:tcW w:w="825" w:type="dxa"/>
          </w:tcPr>
          <w:p>
            <w:pPr>
              <w:pStyle w:val="TableParagraph"/>
              <w:spacing w:line="253" w:lineRule="exact"/>
              <w:ind w:right="137"/>
              <w:jc w:val="right"/>
              <w:rPr>
                <w:rFonts w:ascii="Calibri"/>
                <w:sz w:val="21"/>
              </w:rPr>
            </w:pPr>
            <w:r>
              <w:rPr>
                <w:rFonts w:ascii="Calibri"/>
                <w:sz w:val="21"/>
              </w:rPr>
              <w:t>61.0%</w:t>
            </w:r>
          </w:p>
        </w:tc>
        <w:tc>
          <w:tcPr>
            <w:tcW w:w="941" w:type="dxa"/>
          </w:tcPr>
          <w:p>
            <w:pPr>
              <w:pStyle w:val="TableParagraph"/>
              <w:spacing w:line="253" w:lineRule="exact"/>
              <w:ind w:left="102" w:right="136"/>
              <w:jc w:val="center"/>
              <w:rPr>
                <w:rFonts w:ascii="Calibri"/>
                <w:sz w:val="21"/>
              </w:rPr>
            </w:pPr>
            <w:r>
              <w:rPr>
                <w:rFonts w:ascii="Calibri"/>
                <w:w w:val="105"/>
                <w:sz w:val="21"/>
              </w:rPr>
              <w:t>280.7%</w:t>
            </w:r>
          </w:p>
        </w:tc>
        <w:tc>
          <w:tcPr>
            <w:tcW w:w="1100" w:type="dxa"/>
          </w:tcPr>
          <w:p>
            <w:pPr>
              <w:pStyle w:val="TableParagraph"/>
              <w:spacing w:line="253" w:lineRule="exact"/>
              <w:ind w:left="320"/>
              <w:rPr>
                <w:rFonts w:ascii="Calibri"/>
                <w:sz w:val="21"/>
              </w:rPr>
            </w:pPr>
            <w:r>
              <w:rPr>
                <w:rFonts w:ascii="Calibri"/>
                <w:w w:val="105"/>
                <w:sz w:val="21"/>
              </w:rPr>
              <w:t>625,000</w:t>
            </w:r>
          </w:p>
        </w:tc>
        <w:tc>
          <w:tcPr>
            <w:tcW w:w="995" w:type="dxa"/>
          </w:tcPr>
          <w:p>
            <w:pPr>
              <w:pStyle w:val="TableParagraph"/>
              <w:spacing w:line="253" w:lineRule="exact"/>
              <w:ind w:right="49"/>
              <w:jc w:val="right"/>
              <w:rPr>
                <w:rFonts w:ascii="Calibri"/>
                <w:sz w:val="21"/>
              </w:rPr>
            </w:pPr>
            <w:r>
              <w:rPr>
                <w:rFonts w:ascii="Calibri"/>
                <w:sz w:val="21"/>
              </w:rPr>
              <w:t>32.0%</w:t>
            </w:r>
          </w:p>
        </w:tc>
        <w:tc>
          <w:tcPr>
            <w:tcW w:w="1123" w:type="dxa"/>
          </w:tcPr>
          <w:p>
            <w:pPr>
              <w:pStyle w:val="TableParagraph"/>
              <w:spacing w:line="253" w:lineRule="exact"/>
              <w:ind w:right="257"/>
              <w:jc w:val="right"/>
              <w:rPr>
                <w:rFonts w:ascii="Calibri"/>
                <w:sz w:val="21"/>
              </w:rPr>
            </w:pPr>
            <w:r>
              <w:rPr>
                <w:rFonts w:ascii="Calibri"/>
                <w:sz w:val="21"/>
              </w:rPr>
              <w:t>35.6%</w:t>
            </w:r>
          </w:p>
        </w:tc>
      </w:tr>
      <w:tr>
        <w:trPr>
          <w:trHeight w:val="284" w:hRule="atLeast"/>
        </w:trPr>
        <w:tc>
          <w:tcPr>
            <w:tcW w:w="1394" w:type="dxa"/>
          </w:tcPr>
          <w:p>
            <w:pPr>
              <w:pStyle w:val="TableParagraph"/>
              <w:spacing w:line="253" w:lineRule="exact"/>
              <w:ind w:left="364"/>
              <w:rPr>
                <w:rFonts w:ascii="Calibri"/>
                <w:sz w:val="21"/>
              </w:rPr>
            </w:pPr>
            <w:r>
              <w:rPr>
                <w:rFonts w:ascii="Calibri"/>
                <w:w w:val="105"/>
                <w:sz w:val="21"/>
              </w:rPr>
              <w:t>July</w:t>
            </w:r>
          </w:p>
        </w:tc>
        <w:tc>
          <w:tcPr>
            <w:tcW w:w="1035" w:type="dxa"/>
          </w:tcPr>
          <w:p>
            <w:pPr>
              <w:pStyle w:val="TableParagraph"/>
              <w:spacing w:line="253" w:lineRule="exact"/>
              <w:ind w:left="215" w:right="50"/>
              <w:jc w:val="center"/>
              <w:rPr>
                <w:rFonts w:ascii="Calibri"/>
                <w:sz w:val="21"/>
              </w:rPr>
            </w:pPr>
            <w:r>
              <w:rPr>
                <w:rFonts w:ascii="Calibri"/>
                <w:w w:val="105"/>
                <w:sz w:val="21"/>
              </w:rPr>
              <w:t>852,081</w:t>
            </w:r>
          </w:p>
        </w:tc>
        <w:tc>
          <w:tcPr>
            <w:tcW w:w="1034" w:type="dxa"/>
          </w:tcPr>
          <w:p>
            <w:pPr>
              <w:pStyle w:val="TableParagraph"/>
              <w:spacing w:line="253" w:lineRule="exact"/>
              <w:ind w:left="214" w:right="50"/>
              <w:jc w:val="center"/>
              <w:rPr>
                <w:rFonts w:ascii="Calibri"/>
                <w:sz w:val="21"/>
              </w:rPr>
            </w:pPr>
            <w:r>
              <w:rPr>
                <w:rFonts w:ascii="Calibri"/>
                <w:w w:val="105"/>
                <w:sz w:val="21"/>
              </w:rPr>
              <w:t>651,504</w:t>
            </w:r>
          </w:p>
        </w:tc>
        <w:tc>
          <w:tcPr>
            <w:tcW w:w="1034" w:type="dxa"/>
          </w:tcPr>
          <w:p>
            <w:pPr>
              <w:pStyle w:val="TableParagraph"/>
              <w:spacing w:line="253" w:lineRule="exact"/>
              <w:ind w:left="214" w:right="50"/>
              <w:jc w:val="center"/>
              <w:rPr>
                <w:rFonts w:ascii="Calibri"/>
                <w:sz w:val="21"/>
              </w:rPr>
            </w:pPr>
            <w:r>
              <w:rPr>
                <w:rFonts w:ascii="Calibri"/>
                <w:w w:val="105"/>
                <w:sz w:val="21"/>
              </w:rPr>
              <w:t>878,691</w:t>
            </w:r>
          </w:p>
        </w:tc>
        <w:tc>
          <w:tcPr>
            <w:tcW w:w="1086" w:type="dxa"/>
          </w:tcPr>
          <w:p>
            <w:pPr>
              <w:pStyle w:val="TableParagraph"/>
              <w:spacing w:line="253" w:lineRule="exact"/>
              <w:ind w:right="123"/>
              <w:jc w:val="right"/>
              <w:rPr>
                <w:rFonts w:ascii="Calibri"/>
                <w:sz w:val="21"/>
              </w:rPr>
            </w:pPr>
            <w:r>
              <w:rPr>
                <w:rFonts w:ascii="Calibri"/>
                <w:w w:val="103"/>
                <w:sz w:val="21"/>
              </w:rPr>
              <w:t>0</w:t>
            </w:r>
          </w:p>
        </w:tc>
        <w:tc>
          <w:tcPr>
            <w:tcW w:w="825" w:type="dxa"/>
          </w:tcPr>
          <w:p>
            <w:pPr>
              <w:pStyle w:val="TableParagraph"/>
              <w:rPr>
                <w:rFonts w:ascii="Times New Roman"/>
                <w:sz w:val="20"/>
              </w:rPr>
            </w:pPr>
          </w:p>
        </w:tc>
        <w:tc>
          <w:tcPr>
            <w:tcW w:w="941" w:type="dxa"/>
          </w:tcPr>
          <w:p>
            <w:pPr>
              <w:pStyle w:val="TableParagraph"/>
              <w:rPr>
                <w:rFonts w:ascii="Times New Roman"/>
                <w:sz w:val="20"/>
              </w:rPr>
            </w:pPr>
          </w:p>
        </w:tc>
        <w:tc>
          <w:tcPr>
            <w:tcW w:w="1100" w:type="dxa"/>
          </w:tcPr>
          <w:p>
            <w:pPr>
              <w:pStyle w:val="TableParagraph"/>
              <w:spacing w:line="253" w:lineRule="exact"/>
              <w:ind w:left="320"/>
              <w:rPr>
                <w:rFonts w:ascii="Calibri"/>
                <w:sz w:val="21"/>
              </w:rPr>
            </w:pPr>
            <w:r>
              <w:rPr>
                <w:rFonts w:ascii="Calibri"/>
                <w:w w:val="105"/>
                <w:sz w:val="21"/>
              </w:rPr>
              <w:t>760,000</w:t>
            </w:r>
          </w:p>
        </w:tc>
        <w:tc>
          <w:tcPr>
            <w:tcW w:w="995" w:type="dxa"/>
          </w:tcPr>
          <w:p>
            <w:pPr>
              <w:pStyle w:val="TableParagraph"/>
              <w:rPr>
                <w:rFonts w:ascii="Times New Roman"/>
                <w:sz w:val="20"/>
              </w:rPr>
            </w:pPr>
          </w:p>
        </w:tc>
        <w:tc>
          <w:tcPr>
            <w:tcW w:w="1123" w:type="dxa"/>
          </w:tcPr>
          <w:p>
            <w:pPr>
              <w:pStyle w:val="TableParagraph"/>
              <w:rPr>
                <w:rFonts w:ascii="Times New Roman"/>
                <w:sz w:val="20"/>
              </w:rPr>
            </w:pPr>
          </w:p>
        </w:tc>
      </w:tr>
      <w:tr>
        <w:trPr>
          <w:trHeight w:val="284" w:hRule="atLeast"/>
        </w:trPr>
        <w:tc>
          <w:tcPr>
            <w:tcW w:w="1394" w:type="dxa"/>
          </w:tcPr>
          <w:p>
            <w:pPr>
              <w:pStyle w:val="TableParagraph"/>
              <w:spacing w:line="253" w:lineRule="exact"/>
              <w:ind w:left="364"/>
              <w:rPr>
                <w:rFonts w:ascii="Calibri"/>
                <w:sz w:val="21"/>
              </w:rPr>
            </w:pPr>
            <w:r>
              <w:rPr>
                <w:rFonts w:ascii="Calibri"/>
                <w:w w:val="105"/>
                <w:sz w:val="21"/>
              </w:rPr>
              <w:t>August</w:t>
            </w:r>
          </w:p>
        </w:tc>
        <w:tc>
          <w:tcPr>
            <w:tcW w:w="1035" w:type="dxa"/>
          </w:tcPr>
          <w:p>
            <w:pPr>
              <w:pStyle w:val="TableParagraph"/>
              <w:spacing w:line="253" w:lineRule="exact"/>
              <w:ind w:left="50" w:right="50"/>
              <w:jc w:val="center"/>
              <w:rPr>
                <w:rFonts w:ascii="Calibri"/>
                <w:sz w:val="21"/>
              </w:rPr>
            </w:pPr>
            <w:r>
              <w:rPr>
                <w:rFonts w:ascii="Calibri"/>
                <w:w w:val="105"/>
                <w:sz w:val="21"/>
              </w:rPr>
              <w:t>1,213,405</w:t>
            </w:r>
          </w:p>
        </w:tc>
        <w:tc>
          <w:tcPr>
            <w:tcW w:w="1034" w:type="dxa"/>
          </w:tcPr>
          <w:p>
            <w:pPr>
              <w:pStyle w:val="TableParagraph"/>
              <w:spacing w:line="253" w:lineRule="exact"/>
              <w:ind w:left="214" w:right="50"/>
              <w:jc w:val="center"/>
              <w:rPr>
                <w:rFonts w:ascii="Calibri"/>
                <w:sz w:val="21"/>
              </w:rPr>
            </w:pPr>
            <w:r>
              <w:rPr>
                <w:rFonts w:ascii="Calibri"/>
                <w:w w:val="105"/>
                <w:sz w:val="21"/>
              </w:rPr>
              <w:t>736,644</w:t>
            </w:r>
          </w:p>
        </w:tc>
        <w:tc>
          <w:tcPr>
            <w:tcW w:w="1034" w:type="dxa"/>
          </w:tcPr>
          <w:p>
            <w:pPr>
              <w:pStyle w:val="TableParagraph"/>
              <w:spacing w:line="253" w:lineRule="exact"/>
              <w:ind w:left="214" w:right="50"/>
              <w:jc w:val="center"/>
              <w:rPr>
                <w:rFonts w:ascii="Calibri"/>
                <w:sz w:val="21"/>
              </w:rPr>
            </w:pPr>
            <w:r>
              <w:rPr>
                <w:rFonts w:ascii="Calibri"/>
                <w:w w:val="105"/>
                <w:sz w:val="21"/>
              </w:rPr>
              <w:t>739,495</w:t>
            </w:r>
          </w:p>
        </w:tc>
        <w:tc>
          <w:tcPr>
            <w:tcW w:w="1086" w:type="dxa"/>
          </w:tcPr>
          <w:p>
            <w:pPr>
              <w:pStyle w:val="TableParagraph"/>
              <w:spacing w:line="253" w:lineRule="exact"/>
              <w:ind w:right="123"/>
              <w:jc w:val="right"/>
              <w:rPr>
                <w:rFonts w:ascii="Calibri"/>
                <w:sz w:val="21"/>
              </w:rPr>
            </w:pPr>
            <w:r>
              <w:rPr>
                <w:rFonts w:ascii="Calibri"/>
                <w:w w:val="103"/>
                <w:sz w:val="21"/>
              </w:rPr>
              <w:t>0</w:t>
            </w:r>
          </w:p>
        </w:tc>
        <w:tc>
          <w:tcPr>
            <w:tcW w:w="825" w:type="dxa"/>
          </w:tcPr>
          <w:p>
            <w:pPr>
              <w:pStyle w:val="TableParagraph"/>
              <w:rPr>
                <w:rFonts w:ascii="Times New Roman"/>
                <w:sz w:val="20"/>
              </w:rPr>
            </w:pPr>
          </w:p>
        </w:tc>
        <w:tc>
          <w:tcPr>
            <w:tcW w:w="941" w:type="dxa"/>
          </w:tcPr>
          <w:p>
            <w:pPr>
              <w:pStyle w:val="TableParagraph"/>
              <w:rPr>
                <w:rFonts w:ascii="Times New Roman"/>
                <w:sz w:val="20"/>
              </w:rPr>
            </w:pPr>
          </w:p>
        </w:tc>
        <w:tc>
          <w:tcPr>
            <w:tcW w:w="1100" w:type="dxa"/>
          </w:tcPr>
          <w:p>
            <w:pPr>
              <w:pStyle w:val="TableParagraph"/>
              <w:spacing w:line="253" w:lineRule="exact"/>
              <w:ind w:left="320"/>
              <w:rPr>
                <w:rFonts w:ascii="Calibri"/>
                <w:sz w:val="21"/>
              </w:rPr>
            </w:pPr>
            <w:r>
              <w:rPr>
                <w:rFonts w:ascii="Calibri"/>
                <w:w w:val="105"/>
                <w:sz w:val="21"/>
              </w:rPr>
              <w:t>750,000</w:t>
            </w:r>
          </w:p>
        </w:tc>
        <w:tc>
          <w:tcPr>
            <w:tcW w:w="995" w:type="dxa"/>
          </w:tcPr>
          <w:p>
            <w:pPr>
              <w:pStyle w:val="TableParagraph"/>
              <w:rPr>
                <w:rFonts w:ascii="Times New Roman"/>
                <w:sz w:val="20"/>
              </w:rPr>
            </w:pPr>
          </w:p>
        </w:tc>
        <w:tc>
          <w:tcPr>
            <w:tcW w:w="1123" w:type="dxa"/>
          </w:tcPr>
          <w:p>
            <w:pPr>
              <w:pStyle w:val="TableParagraph"/>
              <w:rPr>
                <w:rFonts w:ascii="Times New Roman"/>
                <w:sz w:val="20"/>
              </w:rPr>
            </w:pPr>
          </w:p>
        </w:tc>
      </w:tr>
      <w:tr>
        <w:trPr>
          <w:trHeight w:val="284" w:hRule="atLeast"/>
        </w:trPr>
        <w:tc>
          <w:tcPr>
            <w:tcW w:w="1394" w:type="dxa"/>
          </w:tcPr>
          <w:p>
            <w:pPr>
              <w:pStyle w:val="TableParagraph"/>
              <w:spacing w:line="253" w:lineRule="exact"/>
              <w:ind w:left="364"/>
              <w:rPr>
                <w:rFonts w:ascii="Calibri"/>
                <w:sz w:val="21"/>
              </w:rPr>
            </w:pPr>
            <w:r>
              <w:rPr>
                <w:rFonts w:ascii="Calibri"/>
                <w:w w:val="105"/>
                <w:sz w:val="21"/>
              </w:rPr>
              <w:t>September</w:t>
            </w:r>
          </w:p>
        </w:tc>
        <w:tc>
          <w:tcPr>
            <w:tcW w:w="1035" w:type="dxa"/>
          </w:tcPr>
          <w:p>
            <w:pPr>
              <w:pStyle w:val="TableParagraph"/>
              <w:spacing w:line="253" w:lineRule="exact"/>
              <w:ind w:left="215" w:right="50"/>
              <w:jc w:val="center"/>
              <w:rPr>
                <w:rFonts w:ascii="Calibri"/>
                <w:sz w:val="21"/>
              </w:rPr>
            </w:pPr>
            <w:r>
              <w:rPr>
                <w:rFonts w:ascii="Calibri"/>
                <w:w w:val="105"/>
                <w:sz w:val="21"/>
              </w:rPr>
              <w:t>755,804</w:t>
            </w:r>
          </w:p>
        </w:tc>
        <w:tc>
          <w:tcPr>
            <w:tcW w:w="1034" w:type="dxa"/>
          </w:tcPr>
          <w:p>
            <w:pPr>
              <w:pStyle w:val="TableParagraph"/>
              <w:spacing w:line="253" w:lineRule="exact"/>
              <w:ind w:left="214" w:right="50"/>
              <w:jc w:val="center"/>
              <w:rPr>
                <w:rFonts w:ascii="Calibri"/>
                <w:sz w:val="21"/>
              </w:rPr>
            </w:pPr>
            <w:r>
              <w:rPr>
                <w:rFonts w:ascii="Calibri"/>
                <w:w w:val="105"/>
                <w:sz w:val="21"/>
              </w:rPr>
              <w:t>643,528</w:t>
            </w:r>
          </w:p>
        </w:tc>
        <w:tc>
          <w:tcPr>
            <w:tcW w:w="1034" w:type="dxa"/>
          </w:tcPr>
          <w:p>
            <w:pPr>
              <w:pStyle w:val="TableParagraph"/>
              <w:spacing w:line="253" w:lineRule="exact"/>
              <w:ind w:left="214" w:right="50"/>
              <w:jc w:val="center"/>
              <w:rPr>
                <w:rFonts w:ascii="Calibri"/>
                <w:sz w:val="21"/>
              </w:rPr>
            </w:pPr>
            <w:r>
              <w:rPr>
                <w:rFonts w:ascii="Calibri"/>
                <w:w w:val="105"/>
                <w:sz w:val="21"/>
              </w:rPr>
              <w:t>668,431</w:t>
            </w:r>
          </w:p>
        </w:tc>
        <w:tc>
          <w:tcPr>
            <w:tcW w:w="1086" w:type="dxa"/>
          </w:tcPr>
          <w:p>
            <w:pPr>
              <w:pStyle w:val="TableParagraph"/>
              <w:spacing w:line="253" w:lineRule="exact"/>
              <w:ind w:right="123"/>
              <w:jc w:val="right"/>
              <w:rPr>
                <w:rFonts w:ascii="Calibri"/>
                <w:sz w:val="21"/>
              </w:rPr>
            </w:pPr>
            <w:r>
              <w:rPr>
                <w:rFonts w:ascii="Calibri"/>
                <w:w w:val="103"/>
                <w:sz w:val="21"/>
              </w:rPr>
              <w:t>0</w:t>
            </w:r>
          </w:p>
        </w:tc>
        <w:tc>
          <w:tcPr>
            <w:tcW w:w="825" w:type="dxa"/>
          </w:tcPr>
          <w:p>
            <w:pPr>
              <w:pStyle w:val="TableParagraph"/>
              <w:rPr>
                <w:rFonts w:ascii="Times New Roman"/>
                <w:sz w:val="20"/>
              </w:rPr>
            </w:pPr>
          </w:p>
        </w:tc>
        <w:tc>
          <w:tcPr>
            <w:tcW w:w="941" w:type="dxa"/>
          </w:tcPr>
          <w:p>
            <w:pPr>
              <w:pStyle w:val="TableParagraph"/>
              <w:rPr>
                <w:rFonts w:ascii="Times New Roman"/>
                <w:sz w:val="20"/>
              </w:rPr>
            </w:pPr>
          </w:p>
        </w:tc>
        <w:tc>
          <w:tcPr>
            <w:tcW w:w="1100" w:type="dxa"/>
          </w:tcPr>
          <w:p>
            <w:pPr>
              <w:pStyle w:val="TableParagraph"/>
              <w:spacing w:line="253" w:lineRule="exact"/>
              <w:ind w:left="321"/>
              <w:rPr>
                <w:rFonts w:ascii="Calibri"/>
                <w:sz w:val="21"/>
              </w:rPr>
            </w:pPr>
            <w:r>
              <w:rPr>
                <w:rFonts w:ascii="Calibri"/>
                <w:w w:val="105"/>
                <w:sz w:val="21"/>
              </w:rPr>
              <w:t>725,000</w:t>
            </w:r>
          </w:p>
        </w:tc>
        <w:tc>
          <w:tcPr>
            <w:tcW w:w="995" w:type="dxa"/>
          </w:tcPr>
          <w:p>
            <w:pPr>
              <w:pStyle w:val="TableParagraph"/>
              <w:rPr>
                <w:rFonts w:ascii="Times New Roman"/>
                <w:sz w:val="20"/>
              </w:rPr>
            </w:pPr>
          </w:p>
        </w:tc>
        <w:tc>
          <w:tcPr>
            <w:tcW w:w="1123" w:type="dxa"/>
          </w:tcPr>
          <w:p>
            <w:pPr>
              <w:pStyle w:val="TableParagraph"/>
              <w:rPr>
                <w:rFonts w:ascii="Times New Roman"/>
                <w:sz w:val="20"/>
              </w:rPr>
            </w:pPr>
          </w:p>
        </w:tc>
      </w:tr>
      <w:tr>
        <w:trPr>
          <w:trHeight w:val="284" w:hRule="atLeast"/>
        </w:trPr>
        <w:tc>
          <w:tcPr>
            <w:tcW w:w="1394" w:type="dxa"/>
          </w:tcPr>
          <w:p>
            <w:pPr>
              <w:pStyle w:val="TableParagraph"/>
              <w:spacing w:line="253" w:lineRule="exact"/>
              <w:ind w:left="365"/>
              <w:rPr>
                <w:rFonts w:ascii="Calibri"/>
                <w:sz w:val="21"/>
              </w:rPr>
            </w:pPr>
            <w:r>
              <w:rPr>
                <w:rFonts w:ascii="Calibri"/>
                <w:w w:val="105"/>
                <w:sz w:val="21"/>
              </w:rPr>
              <w:t>October</w:t>
            </w:r>
          </w:p>
        </w:tc>
        <w:tc>
          <w:tcPr>
            <w:tcW w:w="1035" w:type="dxa"/>
          </w:tcPr>
          <w:p>
            <w:pPr>
              <w:pStyle w:val="TableParagraph"/>
              <w:spacing w:line="253" w:lineRule="exact"/>
              <w:ind w:left="215" w:right="49"/>
              <w:jc w:val="center"/>
              <w:rPr>
                <w:rFonts w:ascii="Calibri"/>
                <w:sz w:val="21"/>
              </w:rPr>
            </w:pPr>
            <w:r>
              <w:rPr>
                <w:rFonts w:ascii="Calibri"/>
                <w:w w:val="105"/>
                <w:sz w:val="21"/>
              </w:rPr>
              <w:t>658,916</w:t>
            </w:r>
          </w:p>
        </w:tc>
        <w:tc>
          <w:tcPr>
            <w:tcW w:w="1034" w:type="dxa"/>
          </w:tcPr>
          <w:p>
            <w:pPr>
              <w:pStyle w:val="TableParagraph"/>
              <w:spacing w:line="253" w:lineRule="exact"/>
              <w:ind w:left="214" w:right="49"/>
              <w:jc w:val="center"/>
              <w:rPr>
                <w:rFonts w:ascii="Calibri"/>
                <w:sz w:val="21"/>
              </w:rPr>
            </w:pPr>
            <w:r>
              <w:rPr>
                <w:rFonts w:ascii="Calibri"/>
                <w:w w:val="105"/>
                <w:sz w:val="21"/>
              </w:rPr>
              <w:t>737,317</w:t>
            </w:r>
          </w:p>
        </w:tc>
        <w:tc>
          <w:tcPr>
            <w:tcW w:w="1034" w:type="dxa"/>
          </w:tcPr>
          <w:p>
            <w:pPr>
              <w:pStyle w:val="TableParagraph"/>
              <w:spacing w:line="253" w:lineRule="exact"/>
              <w:ind w:left="214" w:right="49"/>
              <w:jc w:val="center"/>
              <w:rPr>
                <w:rFonts w:ascii="Calibri"/>
                <w:sz w:val="21"/>
              </w:rPr>
            </w:pPr>
            <w:r>
              <w:rPr>
                <w:rFonts w:ascii="Calibri"/>
                <w:w w:val="105"/>
                <w:sz w:val="21"/>
              </w:rPr>
              <w:t>880,437</w:t>
            </w:r>
          </w:p>
        </w:tc>
        <w:tc>
          <w:tcPr>
            <w:tcW w:w="1086" w:type="dxa"/>
          </w:tcPr>
          <w:p>
            <w:pPr>
              <w:pStyle w:val="TableParagraph"/>
              <w:spacing w:line="253" w:lineRule="exact"/>
              <w:ind w:right="123"/>
              <w:jc w:val="right"/>
              <w:rPr>
                <w:rFonts w:ascii="Calibri"/>
                <w:sz w:val="21"/>
              </w:rPr>
            </w:pPr>
            <w:r>
              <w:rPr>
                <w:rFonts w:ascii="Calibri"/>
                <w:w w:val="103"/>
                <w:sz w:val="21"/>
              </w:rPr>
              <w:t>0</w:t>
            </w:r>
          </w:p>
        </w:tc>
        <w:tc>
          <w:tcPr>
            <w:tcW w:w="825" w:type="dxa"/>
          </w:tcPr>
          <w:p>
            <w:pPr>
              <w:pStyle w:val="TableParagraph"/>
              <w:rPr>
                <w:rFonts w:ascii="Times New Roman"/>
                <w:sz w:val="20"/>
              </w:rPr>
            </w:pPr>
          </w:p>
        </w:tc>
        <w:tc>
          <w:tcPr>
            <w:tcW w:w="941" w:type="dxa"/>
          </w:tcPr>
          <w:p>
            <w:pPr>
              <w:pStyle w:val="TableParagraph"/>
              <w:rPr>
                <w:rFonts w:ascii="Times New Roman"/>
                <w:sz w:val="20"/>
              </w:rPr>
            </w:pPr>
          </w:p>
        </w:tc>
        <w:tc>
          <w:tcPr>
            <w:tcW w:w="1100" w:type="dxa"/>
          </w:tcPr>
          <w:p>
            <w:pPr>
              <w:pStyle w:val="TableParagraph"/>
              <w:spacing w:line="253" w:lineRule="exact"/>
              <w:ind w:left="321"/>
              <w:rPr>
                <w:rFonts w:ascii="Calibri"/>
                <w:sz w:val="21"/>
              </w:rPr>
            </w:pPr>
            <w:r>
              <w:rPr>
                <w:rFonts w:ascii="Calibri"/>
                <w:w w:val="105"/>
                <w:sz w:val="21"/>
              </w:rPr>
              <w:t>775,000</w:t>
            </w:r>
          </w:p>
        </w:tc>
        <w:tc>
          <w:tcPr>
            <w:tcW w:w="995" w:type="dxa"/>
          </w:tcPr>
          <w:p>
            <w:pPr>
              <w:pStyle w:val="TableParagraph"/>
              <w:rPr>
                <w:rFonts w:ascii="Times New Roman"/>
                <w:sz w:val="20"/>
              </w:rPr>
            </w:pPr>
          </w:p>
        </w:tc>
        <w:tc>
          <w:tcPr>
            <w:tcW w:w="1123" w:type="dxa"/>
          </w:tcPr>
          <w:p>
            <w:pPr>
              <w:pStyle w:val="TableParagraph"/>
              <w:rPr>
                <w:rFonts w:ascii="Times New Roman"/>
                <w:sz w:val="20"/>
              </w:rPr>
            </w:pPr>
          </w:p>
        </w:tc>
      </w:tr>
      <w:tr>
        <w:trPr>
          <w:trHeight w:val="284" w:hRule="atLeast"/>
        </w:trPr>
        <w:tc>
          <w:tcPr>
            <w:tcW w:w="1394" w:type="dxa"/>
          </w:tcPr>
          <w:p>
            <w:pPr>
              <w:pStyle w:val="TableParagraph"/>
              <w:spacing w:line="253" w:lineRule="exact"/>
              <w:ind w:left="365"/>
              <w:rPr>
                <w:rFonts w:ascii="Calibri"/>
                <w:sz w:val="21"/>
              </w:rPr>
            </w:pPr>
            <w:r>
              <w:rPr>
                <w:rFonts w:ascii="Calibri"/>
                <w:w w:val="105"/>
                <w:sz w:val="21"/>
              </w:rPr>
              <w:t>November</w:t>
            </w:r>
          </w:p>
        </w:tc>
        <w:tc>
          <w:tcPr>
            <w:tcW w:w="1035" w:type="dxa"/>
          </w:tcPr>
          <w:p>
            <w:pPr>
              <w:pStyle w:val="TableParagraph"/>
              <w:spacing w:line="253" w:lineRule="exact"/>
              <w:ind w:left="215" w:right="49"/>
              <w:jc w:val="center"/>
              <w:rPr>
                <w:rFonts w:ascii="Calibri"/>
                <w:sz w:val="21"/>
              </w:rPr>
            </w:pPr>
            <w:r>
              <w:rPr>
                <w:rFonts w:ascii="Calibri"/>
                <w:w w:val="105"/>
                <w:sz w:val="21"/>
              </w:rPr>
              <w:t>819,898</w:t>
            </w:r>
          </w:p>
        </w:tc>
        <w:tc>
          <w:tcPr>
            <w:tcW w:w="1034" w:type="dxa"/>
          </w:tcPr>
          <w:p>
            <w:pPr>
              <w:pStyle w:val="TableParagraph"/>
              <w:spacing w:line="253" w:lineRule="exact"/>
              <w:ind w:left="214" w:right="49"/>
              <w:jc w:val="center"/>
              <w:rPr>
                <w:rFonts w:ascii="Calibri"/>
                <w:sz w:val="21"/>
              </w:rPr>
            </w:pPr>
            <w:r>
              <w:rPr>
                <w:rFonts w:ascii="Calibri"/>
                <w:w w:val="105"/>
                <w:sz w:val="21"/>
              </w:rPr>
              <w:t>613,698</w:t>
            </w:r>
          </w:p>
        </w:tc>
        <w:tc>
          <w:tcPr>
            <w:tcW w:w="1034" w:type="dxa"/>
          </w:tcPr>
          <w:p>
            <w:pPr>
              <w:pStyle w:val="TableParagraph"/>
              <w:spacing w:line="253" w:lineRule="exact"/>
              <w:ind w:left="214" w:right="49"/>
              <w:jc w:val="center"/>
              <w:rPr>
                <w:rFonts w:ascii="Calibri"/>
                <w:sz w:val="21"/>
              </w:rPr>
            </w:pPr>
            <w:r>
              <w:rPr>
                <w:rFonts w:ascii="Calibri"/>
                <w:w w:val="105"/>
                <w:sz w:val="21"/>
              </w:rPr>
              <w:t>824,214</w:t>
            </w:r>
          </w:p>
        </w:tc>
        <w:tc>
          <w:tcPr>
            <w:tcW w:w="1086" w:type="dxa"/>
          </w:tcPr>
          <w:p>
            <w:pPr>
              <w:pStyle w:val="TableParagraph"/>
              <w:spacing w:line="253" w:lineRule="exact"/>
              <w:ind w:right="122"/>
              <w:jc w:val="right"/>
              <w:rPr>
                <w:rFonts w:ascii="Calibri"/>
                <w:sz w:val="21"/>
              </w:rPr>
            </w:pPr>
            <w:r>
              <w:rPr>
                <w:rFonts w:ascii="Calibri"/>
                <w:w w:val="103"/>
                <w:sz w:val="21"/>
              </w:rPr>
              <w:t>0</w:t>
            </w:r>
          </w:p>
        </w:tc>
        <w:tc>
          <w:tcPr>
            <w:tcW w:w="825" w:type="dxa"/>
          </w:tcPr>
          <w:p>
            <w:pPr>
              <w:pStyle w:val="TableParagraph"/>
              <w:rPr>
                <w:rFonts w:ascii="Times New Roman"/>
                <w:sz w:val="20"/>
              </w:rPr>
            </w:pPr>
          </w:p>
        </w:tc>
        <w:tc>
          <w:tcPr>
            <w:tcW w:w="941" w:type="dxa"/>
          </w:tcPr>
          <w:p>
            <w:pPr>
              <w:pStyle w:val="TableParagraph"/>
              <w:rPr>
                <w:rFonts w:ascii="Times New Roman"/>
                <w:sz w:val="20"/>
              </w:rPr>
            </w:pPr>
          </w:p>
        </w:tc>
        <w:tc>
          <w:tcPr>
            <w:tcW w:w="1100" w:type="dxa"/>
          </w:tcPr>
          <w:p>
            <w:pPr>
              <w:pStyle w:val="TableParagraph"/>
              <w:spacing w:line="253" w:lineRule="exact"/>
              <w:ind w:left="321"/>
              <w:rPr>
                <w:rFonts w:ascii="Calibri"/>
                <w:sz w:val="21"/>
              </w:rPr>
            </w:pPr>
            <w:r>
              <w:rPr>
                <w:rFonts w:ascii="Calibri"/>
                <w:w w:val="105"/>
                <w:sz w:val="21"/>
              </w:rPr>
              <w:t>760,000</w:t>
            </w:r>
          </w:p>
        </w:tc>
        <w:tc>
          <w:tcPr>
            <w:tcW w:w="995" w:type="dxa"/>
          </w:tcPr>
          <w:p>
            <w:pPr>
              <w:pStyle w:val="TableParagraph"/>
              <w:rPr>
                <w:rFonts w:ascii="Times New Roman"/>
                <w:sz w:val="20"/>
              </w:rPr>
            </w:pPr>
          </w:p>
        </w:tc>
        <w:tc>
          <w:tcPr>
            <w:tcW w:w="1123" w:type="dxa"/>
          </w:tcPr>
          <w:p>
            <w:pPr>
              <w:pStyle w:val="TableParagraph"/>
              <w:rPr>
                <w:rFonts w:ascii="Times New Roman"/>
                <w:sz w:val="20"/>
              </w:rPr>
            </w:pPr>
          </w:p>
        </w:tc>
      </w:tr>
      <w:tr>
        <w:trPr>
          <w:trHeight w:val="284" w:hRule="atLeast"/>
        </w:trPr>
        <w:tc>
          <w:tcPr>
            <w:tcW w:w="1394" w:type="dxa"/>
          </w:tcPr>
          <w:p>
            <w:pPr>
              <w:pStyle w:val="TableParagraph"/>
              <w:spacing w:line="253" w:lineRule="exact"/>
              <w:ind w:left="365"/>
              <w:rPr>
                <w:rFonts w:ascii="Calibri"/>
                <w:sz w:val="21"/>
              </w:rPr>
            </w:pPr>
            <w:r>
              <w:rPr>
                <w:rFonts w:ascii="Calibri"/>
                <w:w w:val="105"/>
                <w:sz w:val="21"/>
              </w:rPr>
              <w:t>December</w:t>
            </w:r>
          </w:p>
        </w:tc>
        <w:tc>
          <w:tcPr>
            <w:tcW w:w="1035" w:type="dxa"/>
          </w:tcPr>
          <w:p>
            <w:pPr>
              <w:pStyle w:val="TableParagraph"/>
              <w:spacing w:line="253" w:lineRule="exact"/>
              <w:ind w:left="215" w:right="48"/>
              <w:jc w:val="center"/>
              <w:rPr>
                <w:rFonts w:ascii="Calibri"/>
                <w:sz w:val="21"/>
              </w:rPr>
            </w:pPr>
            <w:r>
              <w:rPr>
                <w:rFonts w:ascii="Calibri"/>
                <w:w w:val="105"/>
                <w:sz w:val="21"/>
              </w:rPr>
              <w:t>567,517</w:t>
            </w:r>
          </w:p>
        </w:tc>
        <w:tc>
          <w:tcPr>
            <w:tcW w:w="1034" w:type="dxa"/>
          </w:tcPr>
          <w:p>
            <w:pPr>
              <w:pStyle w:val="TableParagraph"/>
              <w:spacing w:line="253" w:lineRule="exact"/>
              <w:ind w:left="214" w:right="48"/>
              <w:jc w:val="center"/>
              <w:rPr>
                <w:rFonts w:ascii="Calibri"/>
                <w:sz w:val="21"/>
              </w:rPr>
            </w:pPr>
            <w:r>
              <w:rPr>
                <w:rFonts w:ascii="Calibri"/>
                <w:w w:val="105"/>
                <w:sz w:val="21"/>
              </w:rPr>
              <w:t>640,840</w:t>
            </w:r>
          </w:p>
        </w:tc>
        <w:tc>
          <w:tcPr>
            <w:tcW w:w="1034" w:type="dxa"/>
          </w:tcPr>
          <w:p>
            <w:pPr>
              <w:pStyle w:val="TableParagraph"/>
              <w:spacing w:line="253" w:lineRule="exact"/>
              <w:ind w:left="214" w:right="48"/>
              <w:jc w:val="center"/>
              <w:rPr>
                <w:rFonts w:ascii="Calibri"/>
                <w:sz w:val="21"/>
              </w:rPr>
            </w:pPr>
            <w:r>
              <w:rPr>
                <w:rFonts w:ascii="Calibri"/>
                <w:w w:val="105"/>
                <w:sz w:val="21"/>
              </w:rPr>
              <w:t>704,965</w:t>
            </w:r>
          </w:p>
        </w:tc>
        <w:tc>
          <w:tcPr>
            <w:tcW w:w="1086" w:type="dxa"/>
          </w:tcPr>
          <w:p>
            <w:pPr>
              <w:pStyle w:val="TableParagraph"/>
              <w:spacing w:line="253" w:lineRule="exact"/>
              <w:ind w:right="122"/>
              <w:jc w:val="right"/>
              <w:rPr>
                <w:rFonts w:ascii="Calibri"/>
                <w:sz w:val="21"/>
              </w:rPr>
            </w:pPr>
            <w:r>
              <w:rPr>
                <w:rFonts w:ascii="Calibri"/>
                <w:w w:val="103"/>
                <w:sz w:val="21"/>
              </w:rPr>
              <w:t>0</w:t>
            </w:r>
          </w:p>
        </w:tc>
        <w:tc>
          <w:tcPr>
            <w:tcW w:w="825" w:type="dxa"/>
          </w:tcPr>
          <w:p>
            <w:pPr>
              <w:pStyle w:val="TableParagraph"/>
              <w:rPr>
                <w:rFonts w:ascii="Times New Roman"/>
                <w:sz w:val="20"/>
              </w:rPr>
            </w:pPr>
          </w:p>
        </w:tc>
        <w:tc>
          <w:tcPr>
            <w:tcW w:w="941" w:type="dxa"/>
          </w:tcPr>
          <w:p>
            <w:pPr>
              <w:pStyle w:val="TableParagraph"/>
              <w:rPr>
                <w:rFonts w:ascii="Times New Roman"/>
                <w:sz w:val="20"/>
              </w:rPr>
            </w:pPr>
          </w:p>
        </w:tc>
        <w:tc>
          <w:tcPr>
            <w:tcW w:w="1100" w:type="dxa"/>
          </w:tcPr>
          <w:p>
            <w:pPr>
              <w:pStyle w:val="TableParagraph"/>
              <w:spacing w:line="253" w:lineRule="exact"/>
              <w:ind w:left="321"/>
              <w:rPr>
                <w:rFonts w:ascii="Calibri"/>
                <w:sz w:val="21"/>
              </w:rPr>
            </w:pPr>
            <w:r>
              <w:rPr>
                <w:rFonts w:ascii="Calibri"/>
                <w:w w:val="105"/>
                <w:sz w:val="21"/>
              </w:rPr>
              <w:t>660,000</w:t>
            </w:r>
          </w:p>
        </w:tc>
        <w:tc>
          <w:tcPr>
            <w:tcW w:w="995" w:type="dxa"/>
          </w:tcPr>
          <w:p>
            <w:pPr>
              <w:pStyle w:val="TableParagraph"/>
              <w:rPr>
                <w:rFonts w:ascii="Times New Roman"/>
                <w:sz w:val="20"/>
              </w:rPr>
            </w:pPr>
          </w:p>
        </w:tc>
        <w:tc>
          <w:tcPr>
            <w:tcW w:w="1123" w:type="dxa"/>
          </w:tcPr>
          <w:p>
            <w:pPr>
              <w:pStyle w:val="TableParagraph"/>
              <w:rPr>
                <w:rFonts w:ascii="Times New Roman"/>
                <w:sz w:val="20"/>
              </w:rPr>
            </w:pPr>
          </w:p>
        </w:tc>
      </w:tr>
      <w:tr>
        <w:trPr>
          <w:trHeight w:val="284" w:hRule="atLeast"/>
        </w:trPr>
        <w:tc>
          <w:tcPr>
            <w:tcW w:w="1394" w:type="dxa"/>
          </w:tcPr>
          <w:p>
            <w:pPr>
              <w:pStyle w:val="TableParagraph"/>
              <w:spacing w:line="253" w:lineRule="exact"/>
              <w:ind w:left="365"/>
              <w:rPr>
                <w:rFonts w:ascii="Calibri"/>
                <w:sz w:val="21"/>
              </w:rPr>
            </w:pPr>
            <w:r>
              <w:rPr>
                <w:rFonts w:ascii="Calibri"/>
                <w:w w:val="105"/>
                <w:sz w:val="21"/>
              </w:rPr>
              <w:t>January</w:t>
            </w:r>
          </w:p>
        </w:tc>
        <w:tc>
          <w:tcPr>
            <w:tcW w:w="1035" w:type="dxa"/>
          </w:tcPr>
          <w:p>
            <w:pPr>
              <w:pStyle w:val="TableParagraph"/>
              <w:spacing w:line="253" w:lineRule="exact"/>
              <w:ind w:left="215" w:right="48"/>
              <w:jc w:val="center"/>
              <w:rPr>
                <w:rFonts w:ascii="Calibri"/>
                <w:sz w:val="21"/>
              </w:rPr>
            </w:pPr>
            <w:r>
              <w:rPr>
                <w:rFonts w:ascii="Calibri"/>
                <w:w w:val="105"/>
                <w:sz w:val="21"/>
              </w:rPr>
              <w:t>682,916</w:t>
            </w:r>
          </w:p>
        </w:tc>
        <w:tc>
          <w:tcPr>
            <w:tcW w:w="1034" w:type="dxa"/>
          </w:tcPr>
          <w:p>
            <w:pPr>
              <w:pStyle w:val="TableParagraph"/>
              <w:spacing w:line="253" w:lineRule="exact"/>
              <w:ind w:left="214" w:right="48"/>
              <w:jc w:val="center"/>
              <w:rPr>
                <w:rFonts w:ascii="Calibri"/>
                <w:sz w:val="21"/>
              </w:rPr>
            </w:pPr>
            <w:r>
              <w:rPr>
                <w:rFonts w:ascii="Calibri"/>
                <w:w w:val="105"/>
                <w:sz w:val="21"/>
              </w:rPr>
              <w:t>743,819</w:t>
            </w:r>
          </w:p>
        </w:tc>
        <w:tc>
          <w:tcPr>
            <w:tcW w:w="1034" w:type="dxa"/>
          </w:tcPr>
          <w:p>
            <w:pPr>
              <w:pStyle w:val="TableParagraph"/>
              <w:spacing w:line="253" w:lineRule="exact"/>
              <w:ind w:left="214" w:right="48"/>
              <w:jc w:val="center"/>
              <w:rPr>
                <w:rFonts w:ascii="Calibri"/>
                <w:sz w:val="21"/>
              </w:rPr>
            </w:pPr>
            <w:r>
              <w:rPr>
                <w:rFonts w:ascii="Calibri"/>
                <w:w w:val="105"/>
                <w:sz w:val="21"/>
              </w:rPr>
              <w:t>730,141</w:t>
            </w:r>
          </w:p>
        </w:tc>
        <w:tc>
          <w:tcPr>
            <w:tcW w:w="1086" w:type="dxa"/>
          </w:tcPr>
          <w:p>
            <w:pPr>
              <w:pStyle w:val="TableParagraph"/>
              <w:spacing w:line="253" w:lineRule="exact"/>
              <w:ind w:right="122"/>
              <w:jc w:val="right"/>
              <w:rPr>
                <w:rFonts w:ascii="Calibri"/>
                <w:sz w:val="21"/>
              </w:rPr>
            </w:pPr>
            <w:r>
              <w:rPr>
                <w:rFonts w:ascii="Calibri"/>
                <w:w w:val="103"/>
                <w:sz w:val="21"/>
              </w:rPr>
              <w:t>0</w:t>
            </w:r>
          </w:p>
        </w:tc>
        <w:tc>
          <w:tcPr>
            <w:tcW w:w="825" w:type="dxa"/>
          </w:tcPr>
          <w:p>
            <w:pPr>
              <w:pStyle w:val="TableParagraph"/>
              <w:rPr>
                <w:rFonts w:ascii="Times New Roman"/>
                <w:sz w:val="20"/>
              </w:rPr>
            </w:pPr>
          </w:p>
        </w:tc>
        <w:tc>
          <w:tcPr>
            <w:tcW w:w="941" w:type="dxa"/>
          </w:tcPr>
          <w:p>
            <w:pPr>
              <w:pStyle w:val="TableParagraph"/>
              <w:rPr>
                <w:rFonts w:ascii="Times New Roman"/>
                <w:sz w:val="20"/>
              </w:rPr>
            </w:pPr>
          </w:p>
        </w:tc>
        <w:tc>
          <w:tcPr>
            <w:tcW w:w="1100" w:type="dxa"/>
          </w:tcPr>
          <w:p>
            <w:pPr>
              <w:pStyle w:val="TableParagraph"/>
              <w:spacing w:line="253" w:lineRule="exact"/>
              <w:ind w:left="322"/>
              <w:rPr>
                <w:rFonts w:ascii="Calibri"/>
                <w:sz w:val="21"/>
              </w:rPr>
            </w:pPr>
            <w:r>
              <w:rPr>
                <w:rFonts w:ascii="Calibri"/>
                <w:w w:val="105"/>
                <w:sz w:val="21"/>
              </w:rPr>
              <w:t>630,000</w:t>
            </w:r>
          </w:p>
        </w:tc>
        <w:tc>
          <w:tcPr>
            <w:tcW w:w="995" w:type="dxa"/>
          </w:tcPr>
          <w:p>
            <w:pPr>
              <w:pStyle w:val="TableParagraph"/>
              <w:rPr>
                <w:rFonts w:ascii="Times New Roman"/>
                <w:sz w:val="20"/>
              </w:rPr>
            </w:pPr>
          </w:p>
        </w:tc>
        <w:tc>
          <w:tcPr>
            <w:tcW w:w="1123" w:type="dxa"/>
          </w:tcPr>
          <w:p>
            <w:pPr>
              <w:pStyle w:val="TableParagraph"/>
              <w:rPr>
                <w:rFonts w:ascii="Times New Roman"/>
                <w:sz w:val="20"/>
              </w:rPr>
            </w:pPr>
          </w:p>
        </w:tc>
      </w:tr>
      <w:tr>
        <w:trPr>
          <w:trHeight w:val="284" w:hRule="atLeast"/>
        </w:trPr>
        <w:tc>
          <w:tcPr>
            <w:tcW w:w="1394" w:type="dxa"/>
          </w:tcPr>
          <w:p>
            <w:pPr>
              <w:pStyle w:val="TableParagraph"/>
              <w:spacing w:line="253" w:lineRule="exact"/>
              <w:ind w:left="365"/>
              <w:rPr>
                <w:rFonts w:ascii="Calibri"/>
                <w:sz w:val="21"/>
              </w:rPr>
            </w:pPr>
            <w:r>
              <w:rPr>
                <w:rFonts w:ascii="Calibri"/>
                <w:w w:val="105"/>
                <w:sz w:val="21"/>
              </w:rPr>
              <w:t>February</w:t>
            </w:r>
          </w:p>
        </w:tc>
        <w:tc>
          <w:tcPr>
            <w:tcW w:w="1035" w:type="dxa"/>
          </w:tcPr>
          <w:p>
            <w:pPr>
              <w:pStyle w:val="TableParagraph"/>
              <w:spacing w:line="253" w:lineRule="exact"/>
              <w:ind w:left="215" w:right="48"/>
              <w:jc w:val="center"/>
              <w:rPr>
                <w:rFonts w:ascii="Calibri"/>
                <w:sz w:val="21"/>
              </w:rPr>
            </w:pPr>
            <w:r>
              <w:rPr>
                <w:rFonts w:ascii="Calibri"/>
                <w:w w:val="105"/>
                <w:sz w:val="21"/>
              </w:rPr>
              <w:t>624,144</w:t>
            </w:r>
          </w:p>
        </w:tc>
        <w:tc>
          <w:tcPr>
            <w:tcW w:w="1034" w:type="dxa"/>
          </w:tcPr>
          <w:p>
            <w:pPr>
              <w:pStyle w:val="TableParagraph"/>
              <w:spacing w:line="253" w:lineRule="exact"/>
              <w:ind w:left="214" w:right="48"/>
              <w:jc w:val="center"/>
              <w:rPr>
                <w:rFonts w:ascii="Calibri"/>
                <w:sz w:val="21"/>
              </w:rPr>
            </w:pPr>
            <w:r>
              <w:rPr>
                <w:rFonts w:ascii="Calibri"/>
                <w:w w:val="105"/>
                <w:sz w:val="21"/>
              </w:rPr>
              <w:t>547,438</w:t>
            </w:r>
          </w:p>
        </w:tc>
        <w:tc>
          <w:tcPr>
            <w:tcW w:w="1034" w:type="dxa"/>
          </w:tcPr>
          <w:p>
            <w:pPr>
              <w:pStyle w:val="TableParagraph"/>
              <w:spacing w:line="253" w:lineRule="exact"/>
              <w:ind w:left="214" w:right="48"/>
              <w:jc w:val="center"/>
              <w:rPr>
                <w:rFonts w:ascii="Calibri"/>
                <w:sz w:val="21"/>
              </w:rPr>
            </w:pPr>
            <w:r>
              <w:rPr>
                <w:rFonts w:ascii="Calibri"/>
                <w:w w:val="105"/>
                <w:sz w:val="21"/>
              </w:rPr>
              <w:t>525,142</w:t>
            </w:r>
          </w:p>
        </w:tc>
        <w:tc>
          <w:tcPr>
            <w:tcW w:w="1086" w:type="dxa"/>
          </w:tcPr>
          <w:p>
            <w:pPr>
              <w:pStyle w:val="TableParagraph"/>
              <w:spacing w:line="253" w:lineRule="exact"/>
              <w:ind w:right="122"/>
              <w:jc w:val="right"/>
              <w:rPr>
                <w:rFonts w:ascii="Calibri"/>
                <w:sz w:val="21"/>
              </w:rPr>
            </w:pPr>
            <w:r>
              <w:rPr>
                <w:rFonts w:ascii="Calibri"/>
                <w:w w:val="103"/>
                <w:sz w:val="21"/>
              </w:rPr>
              <w:t>0</w:t>
            </w:r>
          </w:p>
        </w:tc>
        <w:tc>
          <w:tcPr>
            <w:tcW w:w="825" w:type="dxa"/>
          </w:tcPr>
          <w:p>
            <w:pPr>
              <w:pStyle w:val="TableParagraph"/>
              <w:rPr>
                <w:rFonts w:ascii="Times New Roman"/>
                <w:sz w:val="20"/>
              </w:rPr>
            </w:pPr>
          </w:p>
        </w:tc>
        <w:tc>
          <w:tcPr>
            <w:tcW w:w="941" w:type="dxa"/>
          </w:tcPr>
          <w:p>
            <w:pPr>
              <w:pStyle w:val="TableParagraph"/>
              <w:rPr>
                <w:rFonts w:ascii="Times New Roman"/>
                <w:sz w:val="20"/>
              </w:rPr>
            </w:pPr>
          </w:p>
        </w:tc>
        <w:tc>
          <w:tcPr>
            <w:tcW w:w="1100" w:type="dxa"/>
          </w:tcPr>
          <w:p>
            <w:pPr>
              <w:pStyle w:val="TableParagraph"/>
              <w:spacing w:line="253" w:lineRule="exact"/>
              <w:ind w:left="322"/>
              <w:rPr>
                <w:rFonts w:ascii="Calibri"/>
                <w:sz w:val="21"/>
              </w:rPr>
            </w:pPr>
            <w:r>
              <w:rPr>
                <w:rFonts w:ascii="Calibri"/>
                <w:w w:val="105"/>
                <w:sz w:val="21"/>
              </w:rPr>
              <w:t>625,000</w:t>
            </w:r>
          </w:p>
        </w:tc>
        <w:tc>
          <w:tcPr>
            <w:tcW w:w="995" w:type="dxa"/>
          </w:tcPr>
          <w:p>
            <w:pPr>
              <w:pStyle w:val="TableParagraph"/>
              <w:rPr>
                <w:rFonts w:ascii="Times New Roman"/>
                <w:sz w:val="20"/>
              </w:rPr>
            </w:pPr>
          </w:p>
        </w:tc>
        <w:tc>
          <w:tcPr>
            <w:tcW w:w="1123" w:type="dxa"/>
          </w:tcPr>
          <w:p>
            <w:pPr>
              <w:pStyle w:val="TableParagraph"/>
              <w:rPr>
                <w:rFonts w:ascii="Times New Roman"/>
                <w:sz w:val="20"/>
              </w:rPr>
            </w:pPr>
          </w:p>
        </w:tc>
      </w:tr>
      <w:tr>
        <w:trPr>
          <w:trHeight w:val="363" w:hRule="atLeast"/>
        </w:trPr>
        <w:tc>
          <w:tcPr>
            <w:tcW w:w="1394" w:type="dxa"/>
          </w:tcPr>
          <w:p>
            <w:pPr>
              <w:pStyle w:val="TableParagraph"/>
              <w:spacing w:line="253" w:lineRule="exact"/>
              <w:ind w:left="366"/>
              <w:rPr>
                <w:rFonts w:ascii="Calibri"/>
                <w:sz w:val="21"/>
              </w:rPr>
            </w:pPr>
            <w:r>
              <w:rPr>
                <w:rFonts w:ascii="Calibri"/>
                <w:w w:val="105"/>
                <w:sz w:val="21"/>
              </w:rPr>
              <w:t>March</w:t>
            </w:r>
          </w:p>
        </w:tc>
        <w:tc>
          <w:tcPr>
            <w:tcW w:w="1035" w:type="dxa"/>
          </w:tcPr>
          <w:p>
            <w:pPr>
              <w:pStyle w:val="TableParagraph"/>
              <w:spacing w:line="253" w:lineRule="exact"/>
              <w:ind w:left="215" w:right="47"/>
              <w:jc w:val="center"/>
              <w:rPr>
                <w:rFonts w:ascii="Calibri"/>
                <w:sz w:val="21"/>
              </w:rPr>
            </w:pPr>
            <w:r>
              <w:rPr>
                <w:rFonts w:ascii="Calibri"/>
                <w:w w:val="105"/>
                <w:sz w:val="21"/>
              </w:rPr>
              <w:t>734,415</w:t>
            </w:r>
          </w:p>
        </w:tc>
        <w:tc>
          <w:tcPr>
            <w:tcW w:w="1034" w:type="dxa"/>
          </w:tcPr>
          <w:p>
            <w:pPr>
              <w:pStyle w:val="TableParagraph"/>
              <w:spacing w:line="253" w:lineRule="exact"/>
              <w:ind w:left="214" w:right="47"/>
              <w:jc w:val="center"/>
              <w:rPr>
                <w:rFonts w:ascii="Calibri"/>
                <w:sz w:val="21"/>
              </w:rPr>
            </w:pPr>
            <w:r>
              <w:rPr>
                <w:rFonts w:ascii="Calibri"/>
                <w:w w:val="105"/>
                <w:sz w:val="21"/>
              </w:rPr>
              <w:t>425,398</w:t>
            </w:r>
          </w:p>
        </w:tc>
        <w:tc>
          <w:tcPr>
            <w:tcW w:w="1034" w:type="dxa"/>
          </w:tcPr>
          <w:p>
            <w:pPr>
              <w:pStyle w:val="TableParagraph"/>
              <w:spacing w:line="253" w:lineRule="exact"/>
              <w:ind w:left="214" w:right="47"/>
              <w:jc w:val="center"/>
              <w:rPr>
                <w:rFonts w:ascii="Calibri"/>
                <w:sz w:val="21"/>
              </w:rPr>
            </w:pPr>
            <w:r>
              <w:rPr>
                <w:rFonts w:ascii="Calibri"/>
                <w:w w:val="105"/>
                <w:sz w:val="21"/>
              </w:rPr>
              <w:t>636,968</w:t>
            </w:r>
          </w:p>
        </w:tc>
        <w:tc>
          <w:tcPr>
            <w:tcW w:w="1086" w:type="dxa"/>
          </w:tcPr>
          <w:p>
            <w:pPr>
              <w:pStyle w:val="TableParagraph"/>
              <w:spacing w:line="253" w:lineRule="exact"/>
              <w:ind w:right="122"/>
              <w:jc w:val="right"/>
              <w:rPr>
                <w:rFonts w:ascii="Calibri"/>
                <w:sz w:val="21"/>
              </w:rPr>
            </w:pPr>
            <w:r>
              <w:rPr>
                <w:rFonts w:ascii="Calibri"/>
                <w:w w:val="103"/>
                <w:sz w:val="21"/>
              </w:rPr>
              <w:t>0</w:t>
            </w:r>
          </w:p>
        </w:tc>
        <w:tc>
          <w:tcPr>
            <w:tcW w:w="825" w:type="dxa"/>
          </w:tcPr>
          <w:p>
            <w:pPr>
              <w:pStyle w:val="TableParagraph"/>
              <w:rPr>
                <w:rFonts w:ascii="Times New Roman"/>
                <w:sz w:val="20"/>
              </w:rPr>
            </w:pPr>
          </w:p>
        </w:tc>
        <w:tc>
          <w:tcPr>
            <w:tcW w:w="941" w:type="dxa"/>
          </w:tcPr>
          <w:p>
            <w:pPr>
              <w:pStyle w:val="TableParagraph"/>
              <w:rPr>
                <w:rFonts w:ascii="Times New Roman"/>
                <w:sz w:val="20"/>
              </w:rPr>
            </w:pPr>
          </w:p>
        </w:tc>
        <w:tc>
          <w:tcPr>
            <w:tcW w:w="1100" w:type="dxa"/>
          </w:tcPr>
          <w:p>
            <w:pPr>
              <w:pStyle w:val="TableParagraph"/>
              <w:spacing w:line="253" w:lineRule="exact"/>
              <w:ind w:left="322"/>
              <w:rPr>
                <w:rFonts w:ascii="Calibri"/>
                <w:sz w:val="21"/>
              </w:rPr>
            </w:pPr>
            <w:r>
              <w:rPr>
                <w:rFonts w:ascii="Calibri"/>
                <w:w w:val="105"/>
                <w:sz w:val="21"/>
              </w:rPr>
              <w:t>635,000</w:t>
            </w:r>
          </w:p>
        </w:tc>
        <w:tc>
          <w:tcPr>
            <w:tcW w:w="995" w:type="dxa"/>
          </w:tcPr>
          <w:p>
            <w:pPr>
              <w:pStyle w:val="TableParagraph"/>
              <w:rPr>
                <w:rFonts w:ascii="Times New Roman"/>
                <w:sz w:val="20"/>
              </w:rPr>
            </w:pPr>
          </w:p>
        </w:tc>
        <w:tc>
          <w:tcPr>
            <w:tcW w:w="1123" w:type="dxa"/>
          </w:tcPr>
          <w:p>
            <w:pPr>
              <w:pStyle w:val="TableParagraph"/>
              <w:rPr>
                <w:rFonts w:ascii="Times New Roman"/>
                <w:sz w:val="20"/>
              </w:rPr>
            </w:pPr>
          </w:p>
        </w:tc>
      </w:tr>
      <w:tr>
        <w:trPr>
          <w:trHeight w:val="218" w:hRule="atLeast"/>
        </w:trPr>
        <w:tc>
          <w:tcPr>
            <w:tcW w:w="2429" w:type="dxa"/>
            <w:gridSpan w:val="2"/>
          </w:tcPr>
          <w:p>
            <w:pPr>
              <w:pStyle w:val="TableParagraph"/>
              <w:spacing w:line="198" w:lineRule="exact"/>
              <w:ind w:left="845"/>
              <w:rPr>
                <w:rFonts w:ascii="Calibri"/>
                <w:sz w:val="21"/>
              </w:rPr>
            </w:pPr>
            <w:r>
              <w:rPr>
                <w:rFonts w:ascii="Calibri"/>
                <w:b/>
                <w:w w:val="105"/>
                <w:sz w:val="21"/>
              </w:rPr>
              <w:t>Totals </w:t>
            </w:r>
            <w:r>
              <w:rPr>
                <w:rFonts w:ascii="Calibri"/>
                <w:w w:val="105"/>
                <w:sz w:val="21"/>
                <w:u w:val="double"/>
              </w:rPr>
              <w:t>9,394,307</w:t>
            </w:r>
          </w:p>
        </w:tc>
        <w:tc>
          <w:tcPr>
            <w:tcW w:w="1034" w:type="dxa"/>
          </w:tcPr>
          <w:p>
            <w:pPr>
              <w:pStyle w:val="TableParagraph"/>
              <w:spacing w:line="198" w:lineRule="exact"/>
              <w:ind w:left="49" w:right="50"/>
              <w:jc w:val="center"/>
              <w:rPr>
                <w:rFonts w:ascii="Calibri"/>
                <w:sz w:val="21"/>
              </w:rPr>
            </w:pPr>
            <w:r>
              <w:rPr>
                <w:rFonts w:ascii="Calibri"/>
                <w:w w:val="105"/>
                <w:sz w:val="21"/>
                <w:u w:val="double"/>
              </w:rPr>
              <w:t>7,680,275</w:t>
            </w:r>
          </w:p>
        </w:tc>
        <w:tc>
          <w:tcPr>
            <w:tcW w:w="1034" w:type="dxa"/>
          </w:tcPr>
          <w:p>
            <w:pPr>
              <w:pStyle w:val="TableParagraph"/>
              <w:spacing w:line="198" w:lineRule="exact"/>
              <w:ind w:left="49" w:right="50"/>
              <w:jc w:val="center"/>
              <w:rPr>
                <w:rFonts w:ascii="Calibri"/>
                <w:sz w:val="21"/>
              </w:rPr>
            </w:pPr>
            <w:r>
              <w:rPr>
                <w:rFonts w:ascii="Calibri"/>
                <w:w w:val="105"/>
                <w:sz w:val="21"/>
                <w:u w:val="double"/>
              </w:rPr>
              <w:t>8,260,794</w:t>
            </w:r>
          </w:p>
        </w:tc>
        <w:tc>
          <w:tcPr>
            <w:tcW w:w="1086" w:type="dxa"/>
          </w:tcPr>
          <w:p>
            <w:pPr>
              <w:pStyle w:val="TableParagraph"/>
              <w:spacing w:line="198" w:lineRule="exact"/>
              <w:ind w:right="123"/>
              <w:jc w:val="right"/>
              <w:rPr>
                <w:rFonts w:ascii="Calibri"/>
                <w:sz w:val="21"/>
              </w:rPr>
            </w:pPr>
            <w:r>
              <w:rPr>
                <w:rFonts w:ascii="Calibri"/>
                <w:sz w:val="21"/>
                <w:u w:val="double"/>
              </w:rPr>
              <w:t>2,400,657</w:t>
            </w:r>
          </w:p>
        </w:tc>
        <w:tc>
          <w:tcPr>
            <w:tcW w:w="4984" w:type="dxa"/>
            <w:gridSpan w:val="5"/>
          </w:tcPr>
          <w:p>
            <w:pPr>
              <w:pStyle w:val="TableParagraph"/>
              <w:spacing w:line="198" w:lineRule="exact"/>
              <w:ind w:left="1901" w:right="2150"/>
              <w:jc w:val="center"/>
              <w:rPr>
                <w:rFonts w:ascii="Calibri"/>
                <w:sz w:val="21"/>
              </w:rPr>
            </w:pPr>
            <w:r>
              <w:rPr>
                <w:rFonts w:ascii="Calibri"/>
                <w:w w:val="105"/>
                <w:sz w:val="21"/>
                <w:u w:val="double"/>
              </w:rPr>
              <w:t>8,090,000</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after="0"/>
        <w:rPr>
          <w:sz w:val="25"/>
        </w:rPr>
      </w:pPr>
    </w:p>
    <w:tbl>
      <w:tblPr>
        <w:tblW w:w="0" w:type="auto"/>
        <w:jc w:val="left"/>
        <w:tblInd w:w="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7"/>
        <w:gridCol w:w="731"/>
        <w:gridCol w:w="985"/>
        <w:gridCol w:w="1137"/>
        <w:gridCol w:w="1067"/>
        <w:gridCol w:w="787"/>
      </w:tblGrid>
      <w:tr>
        <w:trPr>
          <w:trHeight w:val="251" w:hRule="atLeast"/>
        </w:trPr>
        <w:tc>
          <w:tcPr>
            <w:tcW w:w="1207" w:type="dxa"/>
          </w:tcPr>
          <w:p>
            <w:pPr>
              <w:pStyle w:val="TableParagraph"/>
              <w:spacing w:line="219" w:lineRule="exact"/>
              <w:ind w:left="50"/>
              <w:rPr>
                <w:rFonts w:ascii="Calibri"/>
                <w:sz w:val="21"/>
              </w:rPr>
            </w:pPr>
            <w:r>
              <w:rPr>
                <w:rFonts w:ascii="Calibri"/>
                <w:w w:val="105"/>
                <w:sz w:val="21"/>
              </w:rPr>
              <w:t>Onondaga</w:t>
            </w:r>
          </w:p>
        </w:tc>
        <w:tc>
          <w:tcPr>
            <w:tcW w:w="1716" w:type="dxa"/>
            <w:gridSpan w:val="2"/>
          </w:tcPr>
          <w:p>
            <w:pPr>
              <w:pStyle w:val="TableParagraph"/>
              <w:spacing w:line="219" w:lineRule="exact"/>
              <w:ind w:left="941"/>
              <w:rPr>
                <w:rFonts w:ascii="Calibri"/>
                <w:sz w:val="21"/>
              </w:rPr>
            </w:pPr>
            <w:r>
              <w:rPr>
                <w:rFonts w:ascii="Calibri"/>
                <w:w w:val="105"/>
                <w:sz w:val="21"/>
              </w:rPr>
              <w:t>548,008</w:t>
            </w:r>
          </w:p>
        </w:tc>
        <w:tc>
          <w:tcPr>
            <w:tcW w:w="1137" w:type="dxa"/>
          </w:tcPr>
          <w:p>
            <w:pPr>
              <w:pStyle w:val="TableParagraph"/>
              <w:spacing w:line="219" w:lineRule="exact"/>
              <w:ind w:right="149"/>
              <w:jc w:val="right"/>
              <w:rPr>
                <w:rFonts w:ascii="Calibri"/>
                <w:sz w:val="21"/>
              </w:rPr>
            </w:pPr>
            <w:r>
              <w:rPr>
                <w:rFonts w:ascii="Calibri"/>
                <w:sz w:val="21"/>
              </w:rPr>
              <w:t>282,552</w:t>
            </w:r>
          </w:p>
        </w:tc>
        <w:tc>
          <w:tcPr>
            <w:tcW w:w="1067" w:type="dxa"/>
          </w:tcPr>
          <w:p>
            <w:pPr>
              <w:pStyle w:val="TableParagraph"/>
              <w:spacing w:line="219" w:lineRule="exact"/>
              <w:ind w:left="72" w:right="98"/>
              <w:jc w:val="center"/>
              <w:rPr>
                <w:rFonts w:ascii="Calibri"/>
                <w:sz w:val="21"/>
              </w:rPr>
            </w:pPr>
            <w:r>
              <w:rPr>
                <w:rFonts w:ascii="Calibri"/>
                <w:w w:val="105"/>
                <w:sz w:val="21"/>
              </w:rPr>
              <w:t>265,456</w:t>
            </w:r>
          </w:p>
        </w:tc>
        <w:tc>
          <w:tcPr>
            <w:tcW w:w="787" w:type="dxa"/>
          </w:tcPr>
          <w:p>
            <w:pPr>
              <w:pStyle w:val="TableParagraph"/>
              <w:spacing w:line="219" w:lineRule="exact"/>
              <w:ind w:left="160"/>
              <w:rPr>
                <w:rFonts w:ascii="Calibri"/>
                <w:sz w:val="21"/>
              </w:rPr>
            </w:pPr>
            <w:r>
              <w:rPr>
                <w:rFonts w:ascii="Calibri"/>
                <w:w w:val="105"/>
                <w:sz w:val="21"/>
              </w:rPr>
              <w:t>94%</w:t>
            </w:r>
          </w:p>
        </w:tc>
      </w:tr>
      <w:tr>
        <w:trPr>
          <w:trHeight w:val="284" w:hRule="atLeast"/>
        </w:trPr>
        <w:tc>
          <w:tcPr>
            <w:tcW w:w="1207" w:type="dxa"/>
          </w:tcPr>
          <w:p>
            <w:pPr>
              <w:pStyle w:val="TableParagraph"/>
              <w:spacing w:line="253" w:lineRule="exact"/>
              <w:ind w:left="50"/>
              <w:rPr>
                <w:rFonts w:ascii="Calibri"/>
                <w:sz w:val="21"/>
              </w:rPr>
            </w:pPr>
            <w:r>
              <w:rPr>
                <w:rFonts w:ascii="Calibri"/>
                <w:w w:val="105"/>
                <w:sz w:val="21"/>
              </w:rPr>
              <w:t>Oswego</w:t>
            </w:r>
          </w:p>
        </w:tc>
        <w:tc>
          <w:tcPr>
            <w:tcW w:w="1716" w:type="dxa"/>
            <w:gridSpan w:val="2"/>
          </w:tcPr>
          <w:p>
            <w:pPr>
              <w:pStyle w:val="TableParagraph"/>
              <w:spacing w:line="253" w:lineRule="exact"/>
              <w:ind w:left="1053"/>
              <w:rPr>
                <w:rFonts w:ascii="Calibri"/>
                <w:sz w:val="21"/>
              </w:rPr>
            </w:pPr>
            <w:r>
              <w:rPr>
                <w:rFonts w:ascii="Calibri"/>
                <w:w w:val="105"/>
                <w:sz w:val="21"/>
              </w:rPr>
              <w:t>72,718</w:t>
            </w:r>
          </w:p>
        </w:tc>
        <w:tc>
          <w:tcPr>
            <w:tcW w:w="1137" w:type="dxa"/>
          </w:tcPr>
          <w:p>
            <w:pPr>
              <w:pStyle w:val="TableParagraph"/>
              <w:spacing w:line="253" w:lineRule="exact"/>
              <w:ind w:right="149"/>
              <w:jc w:val="right"/>
              <w:rPr>
                <w:rFonts w:ascii="Calibri"/>
                <w:sz w:val="21"/>
              </w:rPr>
            </w:pPr>
            <w:r>
              <w:rPr>
                <w:rFonts w:ascii="Calibri"/>
                <w:sz w:val="21"/>
              </w:rPr>
              <w:t>49,177</w:t>
            </w:r>
          </w:p>
        </w:tc>
        <w:tc>
          <w:tcPr>
            <w:tcW w:w="1067" w:type="dxa"/>
          </w:tcPr>
          <w:p>
            <w:pPr>
              <w:pStyle w:val="TableParagraph"/>
              <w:spacing w:line="253" w:lineRule="exact"/>
              <w:ind w:left="137" w:right="54"/>
              <w:jc w:val="center"/>
              <w:rPr>
                <w:rFonts w:ascii="Calibri"/>
                <w:sz w:val="21"/>
              </w:rPr>
            </w:pPr>
            <w:r>
              <w:rPr>
                <w:rFonts w:ascii="Calibri"/>
                <w:w w:val="105"/>
                <w:sz w:val="21"/>
              </w:rPr>
              <w:t>23,541</w:t>
            </w:r>
          </w:p>
        </w:tc>
        <w:tc>
          <w:tcPr>
            <w:tcW w:w="787" w:type="dxa"/>
          </w:tcPr>
          <w:p>
            <w:pPr>
              <w:pStyle w:val="TableParagraph"/>
              <w:spacing w:line="253" w:lineRule="exact"/>
              <w:ind w:left="160"/>
              <w:rPr>
                <w:rFonts w:ascii="Calibri"/>
                <w:sz w:val="21"/>
              </w:rPr>
            </w:pPr>
            <w:r>
              <w:rPr>
                <w:rFonts w:ascii="Calibri"/>
                <w:w w:val="105"/>
                <w:sz w:val="21"/>
              </w:rPr>
              <w:t>48%</w:t>
            </w:r>
          </w:p>
        </w:tc>
      </w:tr>
      <w:tr>
        <w:trPr>
          <w:trHeight w:val="251" w:hRule="atLeast"/>
        </w:trPr>
        <w:tc>
          <w:tcPr>
            <w:tcW w:w="1207" w:type="dxa"/>
          </w:tcPr>
          <w:p>
            <w:pPr>
              <w:pStyle w:val="TableParagraph"/>
              <w:spacing w:line="231" w:lineRule="exact"/>
              <w:ind w:left="50"/>
              <w:rPr>
                <w:rFonts w:ascii="Calibri"/>
                <w:sz w:val="21"/>
              </w:rPr>
            </w:pPr>
            <w:r>
              <w:rPr>
                <w:rFonts w:ascii="Calibri"/>
                <w:w w:val="105"/>
                <w:sz w:val="21"/>
              </w:rPr>
              <w:t>Cayuga</w:t>
            </w:r>
          </w:p>
        </w:tc>
        <w:tc>
          <w:tcPr>
            <w:tcW w:w="1716" w:type="dxa"/>
            <w:gridSpan w:val="2"/>
          </w:tcPr>
          <w:p>
            <w:pPr>
              <w:pStyle w:val="TableParagraph"/>
              <w:spacing w:line="231" w:lineRule="exact"/>
              <w:ind w:left="1053"/>
              <w:rPr>
                <w:rFonts w:ascii="Calibri"/>
                <w:sz w:val="21"/>
              </w:rPr>
            </w:pPr>
            <w:r>
              <w:rPr>
                <w:rFonts w:ascii="Calibri"/>
                <w:w w:val="105"/>
                <w:sz w:val="21"/>
              </w:rPr>
              <w:t>52,832</w:t>
            </w:r>
          </w:p>
        </w:tc>
        <w:tc>
          <w:tcPr>
            <w:tcW w:w="1137" w:type="dxa"/>
          </w:tcPr>
          <w:p>
            <w:pPr>
              <w:pStyle w:val="TableParagraph"/>
              <w:spacing w:line="231" w:lineRule="exact"/>
              <w:ind w:right="149"/>
              <w:jc w:val="right"/>
              <w:rPr>
                <w:rFonts w:ascii="Calibri"/>
                <w:sz w:val="21"/>
              </w:rPr>
            </w:pPr>
            <w:r>
              <w:rPr>
                <w:rFonts w:ascii="Calibri"/>
                <w:sz w:val="21"/>
              </w:rPr>
              <w:t>38,559</w:t>
            </w:r>
          </w:p>
        </w:tc>
        <w:tc>
          <w:tcPr>
            <w:tcW w:w="1067" w:type="dxa"/>
          </w:tcPr>
          <w:p>
            <w:pPr>
              <w:pStyle w:val="TableParagraph"/>
              <w:spacing w:line="231" w:lineRule="exact"/>
              <w:ind w:left="137" w:right="54"/>
              <w:jc w:val="center"/>
              <w:rPr>
                <w:rFonts w:ascii="Calibri"/>
                <w:sz w:val="21"/>
              </w:rPr>
            </w:pPr>
            <w:r>
              <w:rPr>
                <w:rFonts w:ascii="Calibri"/>
                <w:w w:val="105"/>
                <w:sz w:val="21"/>
              </w:rPr>
              <w:t>14,273</w:t>
            </w:r>
          </w:p>
        </w:tc>
        <w:tc>
          <w:tcPr>
            <w:tcW w:w="787" w:type="dxa"/>
          </w:tcPr>
          <w:p>
            <w:pPr>
              <w:pStyle w:val="TableParagraph"/>
              <w:spacing w:line="231" w:lineRule="exact"/>
              <w:ind w:left="160"/>
              <w:rPr>
                <w:rFonts w:ascii="Calibri"/>
                <w:sz w:val="21"/>
              </w:rPr>
            </w:pPr>
            <w:r>
              <w:rPr>
                <w:rFonts w:ascii="Calibri"/>
                <w:w w:val="105"/>
                <w:sz w:val="21"/>
              </w:rPr>
              <w:t>37%</w:t>
            </w:r>
          </w:p>
        </w:tc>
      </w:tr>
      <w:tr>
        <w:trPr>
          <w:trHeight w:val="284" w:hRule="atLeast"/>
        </w:trPr>
        <w:tc>
          <w:tcPr>
            <w:tcW w:w="1207" w:type="dxa"/>
          </w:tcPr>
          <w:p>
            <w:pPr>
              <w:pStyle w:val="TableParagraph"/>
              <w:spacing w:line="234" w:lineRule="exact" w:before="30"/>
              <w:ind w:left="50"/>
              <w:rPr>
                <w:rFonts w:ascii="Calibri"/>
                <w:sz w:val="21"/>
              </w:rPr>
            </w:pPr>
            <w:r>
              <w:rPr>
                <w:rFonts w:ascii="Calibri"/>
                <w:w w:val="105"/>
                <w:sz w:val="21"/>
              </w:rPr>
              <w:t>Cortland</w:t>
            </w:r>
          </w:p>
        </w:tc>
        <w:tc>
          <w:tcPr>
            <w:tcW w:w="4707" w:type="dxa"/>
            <w:gridSpan w:val="5"/>
          </w:tcPr>
          <w:p>
            <w:pPr>
              <w:pStyle w:val="TableParagraph"/>
              <w:tabs>
                <w:tab w:pos="2409" w:val="left" w:leader="none"/>
                <w:tab w:pos="3121" w:val="left" w:leader="none"/>
              </w:tabs>
              <w:spacing w:line="234" w:lineRule="exact" w:before="30"/>
              <w:ind w:left="1053"/>
              <w:rPr>
                <w:rFonts w:ascii="Calibri"/>
                <w:sz w:val="21"/>
              </w:rPr>
            </w:pPr>
            <w:r>
              <w:rPr>
                <w:rFonts w:ascii="Calibri"/>
                <w:w w:val="105"/>
                <w:sz w:val="21"/>
              </w:rPr>
              <w:t>26,684</w:t>
              <w:tab/>
              <w:t>-</w:t>
              <w:tab/>
              <w:t>26,684</w:t>
            </w:r>
          </w:p>
        </w:tc>
      </w:tr>
      <w:tr>
        <w:trPr>
          <w:trHeight w:val="289" w:hRule="atLeast"/>
        </w:trPr>
        <w:tc>
          <w:tcPr>
            <w:tcW w:w="1207" w:type="dxa"/>
          </w:tcPr>
          <w:p>
            <w:pPr>
              <w:pStyle w:val="TableParagraph"/>
              <w:spacing w:line="239" w:lineRule="exact" w:before="30"/>
              <w:ind w:left="50"/>
              <w:rPr>
                <w:rFonts w:ascii="Calibri"/>
                <w:sz w:val="21"/>
              </w:rPr>
            </w:pPr>
            <w:r>
              <w:rPr>
                <w:rFonts w:ascii="Calibri"/>
                <w:w w:val="105"/>
                <w:sz w:val="21"/>
              </w:rPr>
              <w:t>Oneida</w:t>
            </w:r>
          </w:p>
        </w:tc>
        <w:tc>
          <w:tcPr>
            <w:tcW w:w="731" w:type="dxa"/>
          </w:tcPr>
          <w:p>
            <w:pPr>
              <w:pStyle w:val="TableParagraph"/>
              <w:rPr>
                <w:rFonts w:ascii="Times New Roman"/>
                <w:sz w:val="20"/>
              </w:rPr>
            </w:pPr>
          </w:p>
        </w:tc>
        <w:tc>
          <w:tcPr>
            <w:tcW w:w="985" w:type="dxa"/>
            <w:tcBorders>
              <w:bottom w:val="single" w:sz="4" w:space="0" w:color="000000"/>
            </w:tcBorders>
          </w:tcPr>
          <w:p>
            <w:pPr>
              <w:pStyle w:val="TableParagraph"/>
              <w:spacing w:line="239" w:lineRule="exact" w:before="30"/>
              <w:ind w:right="46"/>
              <w:jc w:val="right"/>
              <w:rPr>
                <w:rFonts w:ascii="Calibri"/>
                <w:sz w:val="21"/>
              </w:rPr>
            </w:pPr>
            <w:r>
              <w:rPr>
                <w:rFonts w:ascii="Calibri"/>
                <w:sz w:val="21"/>
              </w:rPr>
              <w:t>125,000</w:t>
            </w:r>
          </w:p>
        </w:tc>
        <w:tc>
          <w:tcPr>
            <w:tcW w:w="1137" w:type="dxa"/>
            <w:tcBorders>
              <w:bottom w:val="single" w:sz="4" w:space="0" w:color="C0C0C0"/>
            </w:tcBorders>
          </w:tcPr>
          <w:p>
            <w:pPr>
              <w:pStyle w:val="TableParagraph"/>
              <w:spacing w:line="239" w:lineRule="exact" w:before="30"/>
              <w:ind w:right="150"/>
              <w:jc w:val="right"/>
              <w:rPr>
                <w:rFonts w:ascii="Calibri"/>
                <w:sz w:val="21"/>
              </w:rPr>
            </w:pPr>
            <w:r>
              <w:rPr>
                <w:rFonts w:ascii="Calibri"/>
                <w:sz w:val="21"/>
              </w:rPr>
              <w:t>142,390</w:t>
            </w:r>
          </w:p>
        </w:tc>
        <w:tc>
          <w:tcPr>
            <w:tcW w:w="1067" w:type="dxa"/>
            <w:tcBorders>
              <w:bottom w:val="single" w:sz="4" w:space="0" w:color="C0C0C0"/>
            </w:tcBorders>
          </w:tcPr>
          <w:p>
            <w:pPr>
              <w:pStyle w:val="TableParagraph"/>
              <w:spacing w:line="239" w:lineRule="exact" w:before="30"/>
              <w:ind w:left="137" w:right="54"/>
              <w:jc w:val="center"/>
              <w:rPr>
                <w:rFonts w:ascii="Calibri"/>
                <w:sz w:val="21"/>
              </w:rPr>
            </w:pPr>
            <w:r>
              <w:rPr>
                <w:rFonts w:ascii="Calibri"/>
                <w:w w:val="105"/>
                <w:sz w:val="21"/>
              </w:rPr>
              <w:t>(17,390)</w:t>
            </w:r>
          </w:p>
        </w:tc>
        <w:tc>
          <w:tcPr>
            <w:tcW w:w="787" w:type="dxa"/>
            <w:tcBorders>
              <w:bottom w:val="single" w:sz="4" w:space="0" w:color="C0C0C0"/>
            </w:tcBorders>
          </w:tcPr>
          <w:p>
            <w:pPr>
              <w:pStyle w:val="TableParagraph"/>
              <w:spacing w:line="239" w:lineRule="exact" w:before="30"/>
              <w:ind w:left="129"/>
              <w:rPr>
                <w:rFonts w:ascii="Calibri"/>
                <w:sz w:val="21"/>
              </w:rPr>
            </w:pPr>
            <w:r>
              <w:rPr>
                <w:rFonts w:ascii="Calibri"/>
                <w:w w:val="105"/>
                <w:sz w:val="21"/>
              </w:rPr>
              <w:t>-12%</w:t>
            </w:r>
          </w:p>
        </w:tc>
      </w:tr>
      <w:tr>
        <w:trPr>
          <w:trHeight w:val="272" w:hRule="atLeast"/>
        </w:trPr>
        <w:tc>
          <w:tcPr>
            <w:tcW w:w="1207" w:type="dxa"/>
          </w:tcPr>
          <w:p>
            <w:pPr>
              <w:pStyle w:val="TableParagraph"/>
              <w:rPr>
                <w:rFonts w:ascii="Times New Roman"/>
                <w:sz w:val="20"/>
              </w:rPr>
            </w:pPr>
          </w:p>
        </w:tc>
        <w:tc>
          <w:tcPr>
            <w:tcW w:w="731" w:type="dxa"/>
          </w:tcPr>
          <w:p>
            <w:pPr>
              <w:pStyle w:val="TableParagraph"/>
              <w:spacing w:line="237" w:lineRule="exact" w:before="15"/>
              <w:ind w:left="251"/>
              <w:rPr>
                <w:rFonts w:ascii="Calibri"/>
                <w:sz w:val="21"/>
              </w:rPr>
            </w:pPr>
            <w:r>
              <w:rPr>
                <w:rFonts w:ascii="Calibri"/>
                <w:w w:val="105"/>
                <w:sz w:val="21"/>
              </w:rPr>
              <w:t>Total</w:t>
            </w:r>
          </w:p>
        </w:tc>
        <w:tc>
          <w:tcPr>
            <w:tcW w:w="985" w:type="dxa"/>
            <w:tcBorders>
              <w:top w:val="single" w:sz="4" w:space="0" w:color="000000"/>
              <w:bottom w:val="double" w:sz="1" w:space="0" w:color="000000"/>
            </w:tcBorders>
          </w:tcPr>
          <w:p>
            <w:pPr>
              <w:pStyle w:val="TableParagraph"/>
              <w:spacing w:line="237" w:lineRule="exact" w:before="15"/>
              <w:ind w:right="47"/>
              <w:jc w:val="right"/>
              <w:rPr>
                <w:rFonts w:ascii="Calibri"/>
                <w:sz w:val="21"/>
              </w:rPr>
            </w:pPr>
            <w:r>
              <w:rPr>
                <w:rFonts w:ascii="Calibri"/>
                <w:sz w:val="21"/>
              </w:rPr>
              <w:t>825,242</w:t>
            </w:r>
          </w:p>
        </w:tc>
        <w:tc>
          <w:tcPr>
            <w:tcW w:w="1137" w:type="dxa"/>
            <w:tcBorders>
              <w:top w:val="single" w:sz="4" w:space="0" w:color="C0C0C0"/>
              <w:bottom w:val="double" w:sz="1" w:space="0" w:color="C0C0C0"/>
            </w:tcBorders>
          </w:tcPr>
          <w:p>
            <w:pPr>
              <w:pStyle w:val="TableParagraph"/>
              <w:spacing w:line="237" w:lineRule="exact" w:before="15"/>
              <w:ind w:right="150"/>
              <w:jc w:val="right"/>
              <w:rPr>
                <w:rFonts w:ascii="Calibri"/>
                <w:sz w:val="21"/>
              </w:rPr>
            </w:pPr>
            <w:r>
              <w:rPr>
                <w:rFonts w:ascii="Calibri"/>
                <w:sz w:val="21"/>
              </w:rPr>
              <w:t>512,679</w:t>
            </w:r>
          </w:p>
        </w:tc>
        <w:tc>
          <w:tcPr>
            <w:tcW w:w="1067" w:type="dxa"/>
            <w:tcBorders>
              <w:top w:val="single" w:sz="4" w:space="0" w:color="C0C0C0"/>
              <w:bottom w:val="double" w:sz="1" w:space="0" w:color="C0C0C0"/>
            </w:tcBorders>
          </w:tcPr>
          <w:p>
            <w:pPr>
              <w:pStyle w:val="TableParagraph"/>
              <w:spacing w:line="237" w:lineRule="exact" w:before="15"/>
              <w:ind w:left="71" w:right="98"/>
              <w:jc w:val="center"/>
              <w:rPr>
                <w:rFonts w:ascii="Calibri"/>
                <w:sz w:val="21"/>
              </w:rPr>
            </w:pPr>
            <w:r>
              <w:rPr>
                <w:rFonts w:ascii="Calibri"/>
                <w:w w:val="105"/>
                <w:sz w:val="21"/>
              </w:rPr>
              <w:t>312,564</w:t>
            </w:r>
          </w:p>
        </w:tc>
        <w:tc>
          <w:tcPr>
            <w:tcW w:w="787" w:type="dxa"/>
            <w:tcBorders>
              <w:top w:val="single" w:sz="4" w:space="0" w:color="C0C0C0"/>
              <w:bottom w:val="double" w:sz="1" w:space="0" w:color="C0C0C0"/>
            </w:tcBorders>
          </w:tcPr>
          <w:p>
            <w:pPr>
              <w:pStyle w:val="TableParagraph"/>
              <w:spacing w:line="237" w:lineRule="exact" w:before="15"/>
              <w:ind w:left="122"/>
              <w:rPr>
                <w:rFonts w:ascii="Calibri"/>
                <w:sz w:val="21"/>
              </w:rPr>
            </w:pPr>
            <w:r>
              <w:rPr>
                <w:rFonts w:ascii="Calibri"/>
                <w:w w:val="105"/>
                <w:sz w:val="21"/>
              </w:rPr>
              <w:t>0.61</w:t>
            </w:r>
          </w:p>
        </w:tc>
      </w:tr>
    </w:tbl>
    <w:p>
      <w:pPr>
        <w:spacing w:after="0" w:line="237" w:lineRule="exact"/>
        <w:rPr>
          <w:rFonts w:ascii="Calibri"/>
          <w:sz w:val="21"/>
        </w:rPr>
        <w:sectPr>
          <w:pgSz w:w="12240" w:h="15840"/>
          <w:pgMar w:header="790" w:footer="1255" w:top="1240" w:bottom="1440" w:left="560" w:right="560"/>
        </w:sectPr>
      </w:pPr>
    </w:p>
    <w:p>
      <w:pPr>
        <w:spacing w:line="240" w:lineRule="auto" w:before="2"/>
        <w:rPr>
          <w:sz w:val="12"/>
        </w:rPr>
      </w:pPr>
    </w:p>
    <w:p>
      <w:pPr>
        <w:spacing w:before="45"/>
        <w:ind w:left="160" w:right="0" w:firstLine="0"/>
        <w:jc w:val="left"/>
        <w:rPr>
          <w:sz w:val="28"/>
        </w:rPr>
      </w:pPr>
      <w:r>
        <w:rPr>
          <w:color w:val="000099"/>
          <w:sz w:val="28"/>
        </w:rPr>
        <w:t>STATEMENT OF CASH FLOW</w:t>
      </w:r>
    </w:p>
    <w:p>
      <w:pPr>
        <w:spacing w:before="48"/>
        <w:ind w:left="3229" w:right="3227" w:firstLine="0"/>
        <w:jc w:val="center"/>
        <w:rPr>
          <w:sz w:val="22"/>
        </w:rPr>
      </w:pPr>
      <w:r>
        <w:rPr>
          <w:sz w:val="22"/>
        </w:rPr>
        <w:t>Central New York Regional Transportation Authority Statement of Cash Flow</w:t>
      </w:r>
    </w:p>
    <w:p>
      <w:pPr>
        <w:spacing w:line="266" w:lineRule="exact" w:before="0"/>
        <w:ind w:left="3227" w:right="3227" w:firstLine="0"/>
        <w:jc w:val="center"/>
        <w:rPr>
          <w:sz w:val="22"/>
        </w:rPr>
      </w:pPr>
      <w:r>
        <w:rPr>
          <w:sz w:val="22"/>
        </w:rPr>
        <w:t>As of 06/30/2025</w:t>
      </w:r>
    </w:p>
    <w:p>
      <w:pPr>
        <w:spacing w:line="171" w:lineRule="exact" w:before="0"/>
        <w:ind w:left="3226" w:right="3227" w:firstLine="0"/>
        <w:jc w:val="center"/>
        <w:rPr>
          <w:sz w:val="14"/>
        </w:rPr>
      </w:pPr>
      <w:r>
        <w:rPr>
          <w:sz w:val="14"/>
        </w:rPr>
        <w:t>(In Whole Numbers)</w:t>
      </w:r>
    </w:p>
    <w:p>
      <w:pPr>
        <w:spacing w:line="240" w:lineRule="auto" w:before="3"/>
        <w:rPr>
          <w:sz w:val="16"/>
        </w:rPr>
      </w:pPr>
    </w:p>
    <w:p>
      <w:pPr>
        <w:spacing w:before="0"/>
        <w:ind w:left="247" w:right="0" w:firstLine="0"/>
        <w:jc w:val="left"/>
        <w:rPr>
          <w:b/>
          <w:sz w:val="21"/>
        </w:rPr>
      </w:pPr>
      <w:r>
        <w:rPr>
          <w:b/>
          <w:w w:val="105"/>
          <w:sz w:val="21"/>
        </w:rPr>
        <w:t>Cash Flows From Operating Activities:</w:t>
      </w:r>
    </w:p>
    <w:p>
      <w:pPr>
        <w:spacing w:line="240" w:lineRule="auto" w:before="4"/>
        <w:rPr>
          <w:b/>
          <w:sz w:val="5"/>
        </w:rPr>
      </w:pPr>
    </w:p>
    <w:tbl>
      <w:tblPr>
        <w:tblW w:w="0" w:type="auto"/>
        <w:jc w:val="left"/>
        <w:tblInd w:w="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21"/>
        <w:gridCol w:w="2418"/>
      </w:tblGrid>
      <w:tr>
        <w:trPr>
          <w:trHeight w:val="250" w:hRule="atLeast"/>
        </w:trPr>
        <w:tc>
          <w:tcPr>
            <w:tcW w:w="5621" w:type="dxa"/>
          </w:tcPr>
          <w:p>
            <w:pPr>
              <w:pStyle w:val="TableParagraph"/>
              <w:spacing w:line="219" w:lineRule="exact"/>
              <w:ind w:left="50"/>
              <w:rPr>
                <w:rFonts w:ascii="Calibri"/>
                <w:sz w:val="21"/>
              </w:rPr>
            </w:pPr>
            <w:r>
              <w:rPr>
                <w:rFonts w:ascii="Calibri"/>
                <w:w w:val="105"/>
                <w:sz w:val="21"/>
              </w:rPr>
              <w:t>Operating Receipts from Fares, Contract Bill &amp; Misc Items</w:t>
            </w:r>
          </w:p>
        </w:tc>
        <w:tc>
          <w:tcPr>
            <w:tcW w:w="2418" w:type="dxa"/>
          </w:tcPr>
          <w:p>
            <w:pPr>
              <w:pStyle w:val="TableParagraph"/>
              <w:tabs>
                <w:tab w:pos="914" w:val="left" w:leader="none"/>
              </w:tabs>
              <w:spacing w:line="219" w:lineRule="exact"/>
              <w:ind w:right="117"/>
              <w:jc w:val="right"/>
              <w:rPr>
                <w:rFonts w:ascii="Calibri"/>
                <w:sz w:val="21"/>
              </w:rPr>
            </w:pPr>
            <w:r>
              <w:rPr>
                <w:rFonts w:ascii="Calibri"/>
                <w:w w:val="105"/>
                <w:sz w:val="21"/>
              </w:rPr>
              <w:t>$</w:t>
              <w:tab/>
            </w:r>
            <w:r>
              <w:rPr>
                <w:rFonts w:ascii="Calibri"/>
                <w:sz w:val="21"/>
              </w:rPr>
              <w:t>4,182,775</w:t>
            </w:r>
          </w:p>
        </w:tc>
      </w:tr>
      <w:tr>
        <w:trPr>
          <w:trHeight w:val="284" w:hRule="atLeast"/>
        </w:trPr>
        <w:tc>
          <w:tcPr>
            <w:tcW w:w="5621" w:type="dxa"/>
          </w:tcPr>
          <w:p>
            <w:pPr>
              <w:pStyle w:val="TableParagraph"/>
              <w:spacing w:line="253" w:lineRule="exact"/>
              <w:ind w:left="50"/>
              <w:rPr>
                <w:rFonts w:ascii="Calibri"/>
                <w:sz w:val="21"/>
              </w:rPr>
            </w:pPr>
            <w:r>
              <w:rPr>
                <w:rFonts w:ascii="Calibri"/>
                <w:w w:val="105"/>
                <w:sz w:val="21"/>
              </w:rPr>
              <w:t>Mortgage Tax Receipts</w:t>
            </w:r>
          </w:p>
        </w:tc>
        <w:tc>
          <w:tcPr>
            <w:tcW w:w="2418" w:type="dxa"/>
          </w:tcPr>
          <w:p>
            <w:pPr>
              <w:pStyle w:val="TableParagraph"/>
              <w:spacing w:line="253" w:lineRule="exact"/>
              <w:ind w:right="117"/>
              <w:jc w:val="right"/>
              <w:rPr>
                <w:rFonts w:ascii="Calibri"/>
                <w:sz w:val="21"/>
              </w:rPr>
            </w:pPr>
            <w:r>
              <w:rPr>
                <w:rFonts w:ascii="Calibri"/>
                <w:sz w:val="21"/>
              </w:rPr>
              <w:t>2,027,135</w:t>
            </w:r>
          </w:p>
        </w:tc>
      </w:tr>
      <w:tr>
        <w:trPr>
          <w:trHeight w:val="284" w:hRule="atLeast"/>
        </w:trPr>
        <w:tc>
          <w:tcPr>
            <w:tcW w:w="5621" w:type="dxa"/>
          </w:tcPr>
          <w:p>
            <w:pPr>
              <w:pStyle w:val="TableParagraph"/>
              <w:spacing w:line="253" w:lineRule="exact"/>
              <w:ind w:left="50"/>
              <w:rPr>
                <w:rFonts w:ascii="Calibri"/>
                <w:sz w:val="21"/>
              </w:rPr>
            </w:pPr>
            <w:r>
              <w:rPr>
                <w:rFonts w:ascii="Calibri"/>
                <w:w w:val="105"/>
                <w:sz w:val="21"/>
              </w:rPr>
              <w:t>State Operating Assistance</w:t>
            </w:r>
          </w:p>
        </w:tc>
        <w:tc>
          <w:tcPr>
            <w:tcW w:w="2418" w:type="dxa"/>
          </w:tcPr>
          <w:p>
            <w:pPr>
              <w:pStyle w:val="TableParagraph"/>
              <w:spacing w:line="253" w:lineRule="exact"/>
              <w:ind w:right="117"/>
              <w:jc w:val="right"/>
              <w:rPr>
                <w:rFonts w:ascii="Calibri"/>
                <w:sz w:val="21"/>
              </w:rPr>
            </w:pPr>
            <w:r>
              <w:rPr>
                <w:rFonts w:ascii="Calibri"/>
                <w:sz w:val="21"/>
              </w:rPr>
              <w:t>14,292,875</w:t>
            </w:r>
          </w:p>
        </w:tc>
      </w:tr>
      <w:tr>
        <w:trPr>
          <w:trHeight w:val="284" w:hRule="atLeast"/>
        </w:trPr>
        <w:tc>
          <w:tcPr>
            <w:tcW w:w="5621" w:type="dxa"/>
          </w:tcPr>
          <w:p>
            <w:pPr>
              <w:pStyle w:val="TableParagraph"/>
              <w:spacing w:line="253" w:lineRule="exact"/>
              <w:ind w:left="50"/>
              <w:rPr>
                <w:rFonts w:ascii="Calibri"/>
                <w:sz w:val="21"/>
              </w:rPr>
            </w:pPr>
            <w:r>
              <w:rPr>
                <w:rFonts w:ascii="Calibri"/>
                <w:w w:val="105"/>
                <w:sz w:val="21"/>
              </w:rPr>
              <w:t>Payments to Vendors &amp; Bank Fees</w:t>
            </w:r>
          </w:p>
        </w:tc>
        <w:tc>
          <w:tcPr>
            <w:tcW w:w="2418" w:type="dxa"/>
          </w:tcPr>
          <w:p>
            <w:pPr>
              <w:pStyle w:val="TableParagraph"/>
              <w:spacing w:line="253" w:lineRule="exact"/>
              <w:ind w:right="48"/>
              <w:jc w:val="right"/>
              <w:rPr>
                <w:rFonts w:ascii="Calibri"/>
                <w:sz w:val="21"/>
              </w:rPr>
            </w:pPr>
            <w:r>
              <w:rPr>
                <w:rFonts w:ascii="Calibri"/>
                <w:sz w:val="21"/>
              </w:rPr>
              <w:t>(11,483,160)</w:t>
            </w:r>
          </w:p>
        </w:tc>
      </w:tr>
      <w:tr>
        <w:trPr>
          <w:trHeight w:val="284" w:hRule="atLeast"/>
        </w:trPr>
        <w:tc>
          <w:tcPr>
            <w:tcW w:w="5621" w:type="dxa"/>
          </w:tcPr>
          <w:p>
            <w:pPr>
              <w:pStyle w:val="TableParagraph"/>
              <w:spacing w:line="253" w:lineRule="exact"/>
              <w:ind w:left="50"/>
              <w:rPr>
                <w:rFonts w:ascii="Calibri"/>
                <w:sz w:val="21"/>
              </w:rPr>
            </w:pPr>
            <w:r>
              <w:rPr>
                <w:rFonts w:ascii="Calibri"/>
                <w:w w:val="105"/>
                <w:sz w:val="21"/>
              </w:rPr>
              <w:t>Payments for Employee Benefits</w:t>
            </w:r>
          </w:p>
        </w:tc>
        <w:tc>
          <w:tcPr>
            <w:tcW w:w="2418" w:type="dxa"/>
          </w:tcPr>
          <w:p>
            <w:pPr>
              <w:pStyle w:val="TableParagraph"/>
              <w:spacing w:line="253" w:lineRule="exact"/>
              <w:ind w:right="48"/>
              <w:jc w:val="right"/>
              <w:rPr>
                <w:rFonts w:ascii="Calibri"/>
                <w:sz w:val="21"/>
              </w:rPr>
            </w:pPr>
            <w:r>
              <w:rPr>
                <w:rFonts w:ascii="Calibri"/>
                <w:sz w:val="21"/>
              </w:rPr>
              <w:t>(2,986,692)</w:t>
            </w:r>
          </w:p>
        </w:tc>
      </w:tr>
      <w:tr>
        <w:trPr>
          <w:trHeight w:val="284" w:hRule="atLeast"/>
        </w:trPr>
        <w:tc>
          <w:tcPr>
            <w:tcW w:w="5621" w:type="dxa"/>
          </w:tcPr>
          <w:p>
            <w:pPr>
              <w:pStyle w:val="TableParagraph"/>
              <w:spacing w:line="253" w:lineRule="exact"/>
              <w:ind w:left="50"/>
              <w:rPr>
                <w:rFonts w:ascii="Calibri"/>
                <w:sz w:val="21"/>
              </w:rPr>
            </w:pPr>
            <w:r>
              <w:rPr>
                <w:rFonts w:ascii="Calibri"/>
                <w:w w:val="105"/>
                <w:sz w:val="21"/>
              </w:rPr>
              <w:t>Payments of Payroll Related Wages &amp; Liabilities</w:t>
            </w:r>
          </w:p>
        </w:tc>
        <w:tc>
          <w:tcPr>
            <w:tcW w:w="2418" w:type="dxa"/>
          </w:tcPr>
          <w:p>
            <w:pPr>
              <w:pStyle w:val="TableParagraph"/>
              <w:tabs>
                <w:tab w:pos="839" w:val="left" w:leader="none"/>
              </w:tabs>
              <w:spacing w:line="253" w:lineRule="exact"/>
              <w:ind w:right="48"/>
              <w:jc w:val="right"/>
              <w:rPr>
                <w:rFonts w:ascii="Calibri"/>
                <w:sz w:val="21"/>
              </w:rPr>
            </w:pPr>
            <w:r>
              <w:rPr>
                <w:rFonts w:ascii="Calibri"/>
                <w:w w:val="103"/>
                <w:sz w:val="21"/>
                <w:u w:val="double"/>
              </w:rPr>
              <w:t> </w:t>
            </w:r>
            <w:r>
              <w:rPr>
                <w:rFonts w:ascii="Calibri"/>
                <w:sz w:val="21"/>
                <w:u w:val="double"/>
              </w:rPr>
              <w:tab/>
              <w:t>(10,134,915)</w:t>
            </w:r>
          </w:p>
        </w:tc>
      </w:tr>
      <w:tr>
        <w:trPr>
          <w:trHeight w:val="250" w:hRule="atLeast"/>
        </w:trPr>
        <w:tc>
          <w:tcPr>
            <w:tcW w:w="5621" w:type="dxa"/>
          </w:tcPr>
          <w:p>
            <w:pPr>
              <w:pStyle w:val="TableParagraph"/>
              <w:spacing w:line="231" w:lineRule="exact"/>
              <w:ind w:left="311"/>
              <w:rPr>
                <w:rFonts w:ascii="Calibri"/>
                <w:b/>
                <w:sz w:val="21"/>
              </w:rPr>
            </w:pPr>
            <w:r>
              <w:rPr>
                <w:rFonts w:ascii="Calibri"/>
                <w:b/>
                <w:w w:val="105"/>
                <w:sz w:val="21"/>
              </w:rPr>
              <w:t>Net Cash Provided by (Utilized in) Operating Activities</w:t>
            </w:r>
          </w:p>
        </w:tc>
        <w:tc>
          <w:tcPr>
            <w:tcW w:w="2418" w:type="dxa"/>
          </w:tcPr>
          <w:p>
            <w:pPr>
              <w:pStyle w:val="TableParagraph"/>
              <w:tabs>
                <w:tab w:pos="951" w:val="left" w:leader="none"/>
              </w:tabs>
              <w:spacing w:line="231" w:lineRule="exact"/>
              <w:ind w:right="47"/>
              <w:jc w:val="right"/>
              <w:rPr>
                <w:rFonts w:ascii="Calibri"/>
                <w:b/>
                <w:sz w:val="21"/>
              </w:rPr>
            </w:pPr>
            <w:r>
              <w:rPr>
                <w:rFonts w:ascii="Calibri"/>
                <w:b/>
                <w:w w:val="103"/>
                <w:sz w:val="21"/>
                <w:u w:val="double"/>
              </w:rPr>
              <w:t> </w:t>
            </w:r>
            <w:r>
              <w:rPr>
                <w:rFonts w:ascii="Calibri"/>
                <w:b/>
                <w:spacing w:val="8"/>
                <w:sz w:val="21"/>
                <w:u w:val="double"/>
              </w:rPr>
              <w:t> </w:t>
            </w:r>
            <w:r>
              <w:rPr>
                <w:rFonts w:ascii="Calibri"/>
                <w:b/>
                <w:w w:val="105"/>
                <w:sz w:val="21"/>
                <w:u w:val="double"/>
              </w:rPr>
              <w:t>$</w:t>
              <w:tab/>
            </w:r>
            <w:r>
              <w:rPr>
                <w:rFonts w:ascii="Calibri"/>
                <w:b/>
                <w:sz w:val="21"/>
                <w:u w:val="double"/>
              </w:rPr>
              <w:t>(4,101,981)</w:t>
            </w:r>
          </w:p>
        </w:tc>
      </w:tr>
    </w:tbl>
    <w:p>
      <w:pPr>
        <w:spacing w:line="240" w:lineRule="auto" w:before="8"/>
        <w:rPr>
          <w:b/>
          <w:sz w:val="16"/>
        </w:rPr>
      </w:pPr>
    </w:p>
    <w:p>
      <w:pPr>
        <w:spacing w:before="0"/>
        <w:ind w:left="247" w:right="0" w:firstLine="0"/>
        <w:jc w:val="left"/>
        <w:rPr>
          <w:b/>
          <w:sz w:val="21"/>
        </w:rPr>
      </w:pPr>
      <w:r>
        <w:rPr>
          <w:b/>
          <w:w w:val="105"/>
          <w:sz w:val="21"/>
        </w:rPr>
        <w:t>Cash Flows From Capital Activities:</w:t>
      </w:r>
    </w:p>
    <w:p>
      <w:pPr>
        <w:tabs>
          <w:tab w:pos="8267" w:val="left" w:leader="none"/>
        </w:tabs>
        <w:spacing w:before="28"/>
        <w:ind w:left="509" w:right="0" w:firstLine="0"/>
        <w:jc w:val="left"/>
        <w:rPr>
          <w:sz w:val="21"/>
        </w:rPr>
      </w:pPr>
      <w:r>
        <w:rPr>
          <w:w w:val="105"/>
          <w:sz w:val="21"/>
        </w:rPr>
        <w:t>Federal</w:t>
      </w:r>
      <w:r>
        <w:rPr>
          <w:spacing w:val="-7"/>
          <w:w w:val="105"/>
          <w:sz w:val="21"/>
        </w:rPr>
        <w:t> </w:t>
      </w:r>
      <w:r>
        <w:rPr>
          <w:w w:val="105"/>
          <w:sz w:val="21"/>
        </w:rPr>
        <w:t>&amp;</w:t>
      </w:r>
      <w:r>
        <w:rPr>
          <w:spacing w:val="-8"/>
          <w:w w:val="105"/>
          <w:sz w:val="21"/>
        </w:rPr>
        <w:t> </w:t>
      </w:r>
      <w:r>
        <w:rPr>
          <w:w w:val="105"/>
          <w:sz w:val="21"/>
        </w:rPr>
        <w:t>State</w:t>
      </w:r>
      <w:r>
        <w:rPr>
          <w:spacing w:val="-12"/>
          <w:w w:val="105"/>
          <w:sz w:val="21"/>
        </w:rPr>
        <w:t> </w:t>
      </w:r>
      <w:r>
        <w:rPr>
          <w:w w:val="105"/>
          <w:sz w:val="21"/>
        </w:rPr>
        <w:t>Grants</w:t>
      </w:r>
      <w:r>
        <w:rPr>
          <w:spacing w:val="-11"/>
          <w:w w:val="105"/>
          <w:sz w:val="21"/>
        </w:rPr>
        <w:t> </w:t>
      </w:r>
      <w:r>
        <w:rPr>
          <w:w w:val="105"/>
          <w:sz w:val="21"/>
        </w:rPr>
        <w:t>Proceeds</w:t>
      </w:r>
      <w:r>
        <w:rPr>
          <w:spacing w:val="-11"/>
          <w:w w:val="105"/>
          <w:sz w:val="21"/>
        </w:rPr>
        <w:t> </w:t>
      </w:r>
      <w:r>
        <w:rPr>
          <w:w w:val="105"/>
          <w:sz w:val="21"/>
        </w:rPr>
        <w:t>for</w:t>
      </w:r>
      <w:r>
        <w:rPr>
          <w:spacing w:val="-9"/>
          <w:w w:val="105"/>
          <w:sz w:val="21"/>
        </w:rPr>
        <w:t> </w:t>
      </w:r>
      <w:r>
        <w:rPr>
          <w:w w:val="105"/>
          <w:sz w:val="21"/>
        </w:rPr>
        <w:t>Capital</w:t>
      </w:r>
      <w:r>
        <w:rPr>
          <w:spacing w:val="-7"/>
          <w:w w:val="105"/>
          <w:sz w:val="21"/>
        </w:rPr>
        <w:t> </w:t>
      </w:r>
      <w:r>
        <w:rPr>
          <w:w w:val="105"/>
          <w:sz w:val="21"/>
        </w:rPr>
        <w:t>Additions</w:t>
        <w:tab/>
        <w:t>0</w:t>
      </w:r>
    </w:p>
    <w:p>
      <w:pPr>
        <w:tabs>
          <w:tab w:pos="6468" w:val="left" w:leader="none"/>
          <w:tab w:pos="7375" w:val="left" w:leader="none"/>
          <w:tab w:pos="7420" w:val="left" w:leader="none"/>
        </w:tabs>
        <w:spacing w:line="266" w:lineRule="auto" w:before="28"/>
        <w:ind w:left="509" w:right="2672" w:firstLine="0"/>
        <w:jc w:val="left"/>
        <w:rPr>
          <w:sz w:val="21"/>
        </w:rPr>
      </w:pPr>
      <w:r>
        <w:rPr>
          <w:w w:val="105"/>
          <w:sz w:val="21"/>
        </w:rPr>
        <w:t>Proceeds</w:t>
      </w:r>
      <w:r>
        <w:rPr>
          <w:spacing w:val="-16"/>
          <w:w w:val="105"/>
          <w:sz w:val="21"/>
        </w:rPr>
        <w:t> </w:t>
      </w:r>
      <w:r>
        <w:rPr>
          <w:w w:val="105"/>
          <w:sz w:val="21"/>
        </w:rPr>
        <w:t>from</w:t>
      </w:r>
      <w:r>
        <w:rPr>
          <w:spacing w:val="-14"/>
          <w:w w:val="105"/>
          <w:sz w:val="21"/>
        </w:rPr>
        <w:t> </w:t>
      </w:r>
      <w:r>
        <w:rPr>
          <w:w w:val="105"/>
          <w:sz w:val="21"/>
        </w:rPr>
        <w:t>Federal</w:t>
      </w:r>
      <w:r>
        <w:rPr>
          <w:spacing w:val="-12"/>
          <w:w w:val="105"/>
          <w:sz w:val="21"/>
        </w:rPr>
        <w:t> </w:t>
      </w:r>
      <w:r>
        <w:rPr>
          <w:w w:val="105"/>
          <w:sz w:val="21"/>
        </w:rPr>
        <w:t>Operating</w:t>
      </w:r>
      <w:r>
        <w:rPr>
          <w:spacing w:val="-12"/>
          <w:w w:val="105"/>
          <w:sz w:val="21"/>
        </w:rPr>
        <w:t> </w:t>
      </w:r>
      <w:r>
        <w:rPr>
          <w:w w:val="105"/>
          <w:sz w:val="21"/>
        </w:rPr>
        <w:t>Assistance</w:t>
        <w:tab/>
        <w:tab/>
        <w:t>11,396,891 Purchases of</w:t>
      </w:r>
      <w:r>
        <w:rPr>
          <w:spacing w:val="-18"/>
          <w:w w:val="105"/>
          <w:sz w:val="21"/>
        </w:rPr>
        <w:t> </w:t>
      </w:r>
      <w:r>
        <w:rPr>
          <w:w w:val="105"/>
          <w:sz w:val="21"/>
        </w:rPr>
        <w:t>Capital</w:t>
      </w:r>
      <w:r>
        <w:rPr>
          <w:spacing w:val="-7"/>
          <w:w w:val="105"/>
          <w:sz w:val="21"/>
        </w:rPr>
        <w:t> </w:t>
      </w:r>
      <w:r>
        <w:rPr>
          <w:w w:val="105"/>
          <w:sz w:val="21"/>
        </w:rPr>
        <w:t>Assets</w:t>
        <w:tab/>
      </w:r>
      <w:r>
        <w:rPr>
          <w:w w:val="105"/>
          <w:sz w:val="21"/>
          <w:u w:val="double"/>
        </w:rPr>
        <w:t> </w:t>
        <w:tab/>
        <w:tab/>
      </w:r>
      <w:r>
        <w:rPr>
          <w:sz w:val="21"/>
          <w:u w:val="double"/>
        </w:rPr>
        <w:t>(6,118,328)</w:t>
      </w:r>
    </w:p>
    <w:p>
      <w:pPr>
        <w:tabs>
          <w:tab w:pos="6468" w:val="left" w:leader="none"/>
          <w:tab w:pos="7487" w:val="left" w:leader="none"/>
        </w:tabs>
        <w:spacing w:before="0"/>
        <w:ind w:left="771" w:right="0" w:firstLine="0"/>
        <w:jc w:val="left"/>
        <w:rPr>
          <w:b/>
          <w:sz w:val="21"/>
        </w:rPr>
      </w:pPr>
      <w:r>
        <w:rPr>
          <w:b/>
          <w:w w:val="105"/>
          <w:sz w:val="21"/>
        </w:rPr>
        <w:t>Net Cash Provided by (Utilized in)</w:t>
      </w:r>
      <w:r>
        <w:rPr>
          <w:b/>
          <w:spacing w:val="-15"/>
          <w:w w:val="105"/>
          <w:sz w:val="21"/>
        </w:rPr>
        <w:t> </w:t>
      </w:r>
      <w:r>
        <w:rPr>
          <w:b/>
          <w:w w:val="105"/>
          <w:sz w:val="21"/>
        </w:rPr>
        <w:t>Capital</w:t>
      </w:r>
      <w:r>
        <w:rPr>
          <w:b/>
          <w:spacing w:val="-4"/>
          <w:w w:val="105"/>
          <w:sz w:val="21"/>
        </w:rPr>
        <w:t> </w:t>
      </w:r>
      <w:r>
        <w:rPr>
          <w:b/>
          <w:w w:val="105"/>
          <w:sz w:val="21"/>
        </w:rPr>
        <w:t>Activities</w:t>
        <w:tab/>
      </w:r>
      <w:r>
        <w:rPr>
          <w:b/>
          <w:w w:val="105"/>
          <w:sz w:val="21"/>
          <w:u w:val="double"/>
        </w:rPr>
        <w:t> $</w:t>
        <w:tab/>
        <w:t>5,278,</w:t>
      </w:r>
      <w:r>
        <w:rPr>
          <w:b/>
          <w:w w:val="105"/>
          <w:sz w:val="21"/>
          <w:u w:val="single"/>
        </w:rPr>
        <w:t>56</w:t>
      </w:r>
      <w:r>
        <w:rPr>
          <w:b/>
          <w:w w:val="105"/>
          <w:sz w:val="21"/>
        </w:rPr>
        <w:t>3</w:t>
      </w:r>
      <w:r>
        <w:rPr>
          <w:b/>
          <w:spacing w:val="12"/>
          <w:sz w:val="21"/>
        </w:rPr>
        <w:t> </w:t>
      </w:r>
    </w:p>
    <w:p>
      <w:pPr>
        <w:spacing w:line="240" w:lineRule="auto" w:before="11"/>
        <w:rPr>
          <w:b/>
          <w:sz w:val="11"/>
        </w:rPr>
      </w:pPr>
      <w:r>
        <w:rPr/>
        <w:pict>
          <v:group style="position:absolute;margin-left:351.413849pt;margin-top:9.244902pt;width:100.85pt;height:.4pt;mso-position-horizontal-relative:page;mso-position-vertical-relative:paragraph;z-index:-251461632;mso-wrap-distance-left:0;mso-wrap-distance-right:0" coordorigin="7028,185" coordsize="2017,8">
            <v:line style="position:absolute" from="7028,185" to="9045,185" stroked="true" strokeweight="0pt" strokecolor="#000000">
              <v:stroke dashstyle="solid"/>
            </v:line>
            <v:line style="position:absolute" from="7028,189" to="9045,189" stroked="true" strokeweight=".37457pt" strokecolor="#000000">
              <v:stroke dashstyle="solid"/>
            </v:line>
            <w10:wrap type="topAndBottom"/>
          </v:group>
        </w:pict>
      </w:r>
    </w:p>
    <w:p>
      <w:pPr>
        <w:tabs>
          <w:tab w:pos="6468" w:val="left" w:leader="none"/>
          <w:tab w:pos="7487" w:val="left" w:leader="none"/>
        </w:tabs>
        <w:spacing w:line="244" w:lineRule="exact" w:before="0" w:after="19"/>
        <w:ind w:left="247" w:right="0" w:firstLine="0"/>
        <w:jc w:val="left"/>
        <w:rPr>
          <w:b/>
          <w:sz w:val="21"/>
        </w:rPr>
      </w:pPr>
      <w:r>
        <w:rPr>
          <w:b/>
          <w:w w:val="105"/>
          <w:sz w:val="21"/>
        </w:rPr>
        <w:t>Net Change in Cash from Operating &amp;</w:t>
      </w:r>
      <w:r>
        <w:rPr>
          <w:b/>
          <w:spacing w:val="-25"/>
          <w:w w:val="105"/>
          <w:sz w:val="21"/>
        </w:rPr>
        <w:t> </w:t>
      </w:r>
      <w:r>
        <w:rPr>
          <w:b/>
          <w:w w:val="105"/>
          <w:sz w:val="21"/>
        </w:rPr>
        <w:t>Capital</w:t>
      </w:r>
      <w:r>
        <w:rPr>
          <w:b/>
          <w:spacing w:val="-5"/>
          <w:w w:val="105"/>
          <w:sz w:val="21"/>
        </w:rPr>
        <w:t> </w:t>
      </w:r>
      <w:r>
        <w:rPr>
          <w:b/>
          <w:w w:val="105"/>
          <w:sz w:val="21"/>
        </w:rPr>
        <w:t>Activities</w:t>
        <w:tab/>
      </w:r>
      <w:r>
        <w:rPr>
          <w:b/>
          <w:w w:val="105"/>
          <w:sz w:val="21"/>
          <w:u w:val="double"/>
        </w:rPr>
        <w:t> $</w:t>
        <w:tab/>
        <w:t>1,176,</w:t>
      </w:r>
      <w:r>
        <w:rPr>
          <w:b/>
          <w:w w:val="105"/>
          <w:sz w:val="21"/>
          <w:u w:val="single"/>
        </w:rPr>
        <w:t>58</w:t>
      </w:r>
      <w:r>
        <w:rPr>
          <w:b/>
          <w:w w:val="105"/>
          <w:sz w:val="21"/>
        </w:rPr>
        <w:t>1</w:t>
      </w:r>
      <w:r>
        <w:rPr>
          <w:b/>
          <w:spacing w:val="12"/>
          <w:sz w:val="21"/>
        </w:rPr>
        <w:t> </w:t>
      </w:r>
    </w:p>
    <w:p>
      <w:pPr>
        <w:spacing w:line="20" w:lineRule="exact"/>
        <w:ind w:left="6464" w:right="0" w:firstLine="0"/>
        <w:rPr>
          <w:sz w:val="2"/>
        </w:rPr>
      </w:pPr>
      <w:r>
        <w:rPr>
          <w:sz w:val="2"/>
        </w:rPr>
        <w:pict>
          <v:group style="width:100.85pt;height:.4pt;mso-position-horizontal-relative:char;mso-position-vertical-relative:line" coordorigin="0,0" coordsize="2017,8">
            <v:line style="position:absolute" from="0,0" to="2016,0" stroked="true" strokeweight="0pt" strokecolor="#000000">
              <v:stroke dashstyle="solid"/>
            </v:line>
            <v:line style="position:absolute" from="0,4" to="2016,4" stroked="true" strokeweight=".37457pt" strokecolor="#000000">
              <v:stroke dashstyle="solid"/>
            </v:line>
          </v:group>
        </w:pict>
      </w:r>
      <w:r>
        <w:rPr>
          <w:sz w:val="2"/>
        </w:rPr>
      </w:r>
    </w:p>
    <w:p>
      <w:pPr>
        <w:spacing w:line="240" w:lineRule="auto" w:before="8"/>
        <w:rPr>
          <w:b/>
          <w:sz w:val="8"/>
        </w:rPr>
      </w:pPr>
      <w:r>
        <w:rPr/>
        <w:pict>
          <v:group style="position:absolute;margin-left:351.413849pt;margin-top:7.252881pt;width:100.85pt;height:.4pt;mso-position-horizontal-relative:page;mso-position-vertical-relative:paragraph;z-index:-251459584;mso-wrap-distance-left:0;mso-wrap-distance-right:0" coordorigin="7028,145" coordsize="2017,8">
            <v:line style="position:absolute" from="7028,145" to="9045,145" stroked="true" strokeweight="0pt" strokecolor="#000000">
              <v:stroke dashstyle="solid"/>
            </v:line>
            <v:line style="position:absolute" from="7028,149" to="9045,149" stroked="true" strokeweight=".37457pt" strokecolor="#000000">
              <v:stroke dashstyle="solid"/>
            </v:line>
            <w10:wrap type="topAndBottom"/>
          </v:group>
        </w:pict>
      </w:r>
    </w:p>
    <w:p>
      <w:pPr>
        <w:tabs>
          <w:tab w:pos="6468" w:val="left" w:leader="none"/>
          <w:tab w:pos="7375" w:val="left" w:leader="none"/>
        </w:tabs>
        <w:spacing w:line="244" w:lineRule="exact" w:before="0"/>
        <w:ind w:left="247" w:right="0" w:firstLine="0"/>
        <w:jc w:val="left"/>
        <w:rPr>
          <w:b/>
          <w:sz w:val="21"/>
        </w:rPr>
      </w:pPr>
      <w:r>
        <w:rPr>
          <w:b/>
          <w:w w:val="105"/>
          <w:sz w:val="21"/>
        </w:rPr>
        <w:t>General Fund Cash Balances - Beginning</w:t>
      </w:r>
      <w:r>
        <w:rPr>
          <w:b/>
          <w:spacing w:val="-11"/>
          <w:w w:val="105"/>
          <w:sz w:val="21"/>
        </w:rPr>
        <w:t> </w:t>
      </w:r>
      <w:r>
        <w:rPr>
          <w:b/>
          <w:w w:val="105"/>
          <w:sz w:val="21"/>
        </w:rPr>
        <w:t>of</w:t>
      </w:r>
      <w:r>
        <w:rPr>
          <w:b/>
          <w:spacing w:val="-5"/>
          <w:w w:val="105"/>
          <w:sz w:val="21"/>
        </w:rPr>
        <w:t> </w:t>
      </w:r>
      <w:r>
        <w:rPr>
          <w:b/>
          <w:w w:val="105"/>
          <w:sz w:val="21"/>
        </w:rPr>
        <w:t>Period</w:t>
        <w:tab/>
      </w:r>
      <w:r>
        <w:rPr>
          <w:b/>
          <w:w w:val="105"/>
          <w:sz w:val="21"/>
          <w:u w:val="double"/>
        </w:rPr>
        <w:t> $</w:t>
        <w:tab/>
        <w:t>15,812,</w:t>
      </w:r>
      <w:r>
        <w:rPr>
          <w:b/>
          <w:w w:val="105"/>
          <w:sz w:val="21"/>
          <w:u w:val="single"/>
        </w:rPr>
        <w:t>74</w:t>
      </w:r>
      <w:r>
        <w:rPr>
          <w:b/>
          <w:w w:val="105"/>
          <w:sz w:val="21"/>
        </w:rPr>
        <w:t>9</w:t>
      </w:r>
      <w:r>
        <w:rPr>
          <w:b/>
          <w:spacing w:val="12"/>
          <w:sz w:val="21"/>
        </w:rPr>
        <w:t> </w:t>
      </w:r>
    </w:p>
    <w:p>
      <w:pPr>
        <w:spacing w:line="240" w:lineRule="auto" w:before="3"/>
        <w:rPr>
          <w:b/>
          <w:sz w:val="11"/>
        </w:rPr>
      </w:pPr>
      <w:r>
        <w:rPr/>
        <w:pict>
          <v:group style="position:absolute;margin-left:351.413849pt;margin-top:8.833229pt;width:100.85pt;height:.4pt;mso-position-horizontal-relative:page;mso-position-vertical-relative:paragraph;z-index:-251458560;mso-wrap-distance-left:0;mso-wrap-distance-right:0" coordorigin="7028,177" coordsize="2017,8">
            <v:line style="position:absolute" from="7028,177" to="9045,177" stroked="true" strokeweight="0pt" strokecolor="#000000">
              <v:stroke dashstyle="solid"/>
            </v:line>
            <v:line style="position:absolute" from="7028,180" to="9045,180" stroked="true" strokeweight=".37457pt" strokecolor="#000000">
              <v:stroke dashstyle="solid"/>
            </v:line>
            <w10:wrap type="topAndBottom"/>
          </v:group>
        </w:pict>
      </w:r>
    </w:p>
    <w:p>
      <w:pPr>
        <w:tabs>
          <w:tab w:pos="6468" w:val="left" w:leader="none"/>
          <w:tab w:pos="7375" w:val="left" w:leader="none"/>
        </w:tabs>
        <w:spacing w:line="243" w:lineRule="exact" w:before="0" w:after="19"/>
        <w:ind w:left="247" w:right="0" w:firstLine="0"/>
        <w:jc w:val="left"/>
        <w:rPr>
          <w:b/>
          <w:sz w:val="21"/>
        </w:rPr>
      </w:pPr>
      <w:r>
        <w:rPr>
          <w:b/>
          <w:w w:val="105"/>
          <w:sz w:val="21"/>
        </w:rPr>
        <w:t>General Fund Cash Balances - End</w:t>
      </w:r>
      <w:r>
        <w:rPr>
          <w:b/>
          <w:spacing w:val="-8"/>
          <w:w w:val="105"/>
          <w:sz w:val="21"/>
        </w:rPr>
        <w:t> </w:t>
      </w:r>
      <w:r>
        <w:rPr>
          <w:b/>
          <w:w w:val="105"/>
          <w:sz w:val="21"/>
        </w:rPr>
        <w:t>of</w:t>
      </w:r>
      <w:r>
        <w:rPr>
          <w:b/>
          <w:spacing w:val="-5"/>
          <w:w w:val="105"/>
          <w:sz w:val="21"/>
        </w:rPr>
        <w:t> </w:t>
      </w:r>
      <w:r>
        <w:rPr>
          <w:b/>
          <w:w w:val="105"/>
          <w:sz w:val="21"/>
        </w:rPr>
        <w:t>Period*</w:t>
        <w:tab/>
      </w:r>
      <w:r>
        <w:rPr>
          <w:b/>
          <w:w w:val="105"/>
          <w:sz w:val="21"/>
          <w:u w:val="double"/>
        </w:rPr>
        <w:t> $</w:t>
        <w:tab/>
        <w:t>16,989,</w:t>
      </w:r>
      <w:r>
        <w:rPr>
          <w:b/>
          <w:w w:val="105"/>
          <w:sz w:val="21"/>
          <w:u w:val="single"/>
        </w:rPr>
        <w:t>33</w:t>
      </w:r>
      <w:r>
        <w:rPr>
          <w:b/>
          <w:w w:val="105"/>
          <w:sz w:val="21"/>
        </w:rPr>
        <w:t>0</w:t>
      </w:r>
      <w:r>
        <w:rPr>
          <w:b/>
          <w:spacing w:val="12"/>
          <w:sz w:val="21"/>
        </w:rPr>
        <w:t> </w:t>
      </w:r>
    </w:p>
    <w:p>
      <w:pPr>
        <w:spacing w:line="20" w:lineRule="exact"/>
        <w:ind w:left="6464" w:right="0" w:firstLine="0"/>
        <w:rPr>
          <w:sz w:val="2"/>
        </w:rPr>
      </w:pPr>
      <w:r>
        <w:rPr>
          <w:sz w:val="2"/>
        </w:rPr>
        <w:pict>
          <v:group style="width:100.85pt;height:.4pt;mso-position-horizontal-relative:char;mso-position-vertical-relative:line" coordorigin="0,0" coordsize="2017,8">
            <v:line style="position:absolute" from="0,0" to="2016,0" stroked="true" strokeweight="0pt" strokecolor="#000000">
              <v:stroke dashstyle="solid"/>
            </v:line>
            <v:line style="position:absolute" from="0,4" to="2016,4" stroked="true" strokeweight=".37457pt" strokecolor="#000000">
              <v:stroke dashstyle="solid"/>
            </v:line>
          </v:group>
        </w:pict>
      </w:r>
      <w:r>
        <w:rPr>
          <w:sz w:val="2"/>
        </w:rPr>
      </w:r>
    </w:p>
    <w:p>
      <w:pPr>
        <w:spacing w:line="240" w:lineRule="auto" w:before="8"/>
        <w:rPr>
          <w:b/>
          <w:sz w:val="8"/>
        </w:rPr>
      </w:pPr>
    </w:p>
    <w:p>
      <w:pPr>
        <w:spacing w:before="63"/>
        <w:ind w:left="247" w:right="0" w:firstLine="0"/>
        <w:jc w:val="left"/>
        <w:rPr>
          <w:b/>
          <w:sz w:val="21"/>
        </w:rPr>
      </w:pPr>
      <w:r>
        <w:rPr>
          <w:b/>
          <w:w w:val="105"/>
          <w:sz w:val="21"/>
        </w:rPr>
        <w:t>Reserve Funds:</w:t>
      </w:r>
    </w:p>
    <w:p>
      <w:pPr>
        <w:tabs>
          <w:tab w:pos="7877" w:val="left" w:leader="none"/>
        </w:tabs>
        <w:spacing w:before="28"/>
        <w:ind w:left="561" w:right="0" w:firstLine="0"/>
        <w:jc w:val="left"/>
        <w:rPr>
          <w:sz w:val="21"/>
        </w:rPr>
      </w:pPr>
      <w:r>
        <w:rPr>
          <w:w w:val="105"/>
          <w:sz w:val="21"/>
        </w:rPr>
        <w:t>Insurance</w:t>
      </w:r>
      <w:r>
        <w:rPr>
          <w:spacing w:val="-15"/>
          <w:w w:val="105"/>
          <w:sz w:val="21"/>
        </w:rPr>
        <w:t> </w:t>
      </w:r>
      <w:r>
        <w:rPr>
          <w:w w:val="105"/>
          <w:sz w:val="21"/>
        </w:rPr>
        <w:t>Reserve</w:t>
        <w:tab/>
        <w:t>2,851</w:t>
      </w:r>
    </w:p>
    <w:p>
      <w:pPr>
        <w:tabs>
          <w:tab w:pos="7487" w:val="left" w:leader="none"/>
        </w:tabs>
        <w:spacing w:before="28"/>
        <w:ind w:left="561" w:right="0" w:firstLine="0"/>
        <w:jc w:val="left"/>
        <w:rPr>
          <w:sz w:val="21"/>
        </w:rPr>
      </w:pPr>
      <w:r>
        <w:rPr>
          <w:w w:val="105"/>
          <w:sz w:val="21"/>
        </w:rPr>
        <w:t>Health</w:t>
      </w:r>
      <w:r>
        <w:rPr>
          <w:spacing w:val="-13"/>
          <w:w w:val="105"/>
          <w:sz w:val="21"/>
        </w:rPr>
        <w:t> </w:t>
      </w:r>
      <w:r>
        <w:rPr>
          <w:w w:val="105"/>
          <w:sz w:val="21"/>
        </w:rPr>
        <w:t>Insurance</w:t>
      </w:r>
      <w:r>
        <w:rPr>
          <w:spacing w:val="-14"/>
          <w:w w:val="105"/>
          <w:sz w:val="21"/>
        </w:rPr>
        <w:t> </w:t>
      </w:r>
      <w:r>
        <w:rPr>
          <w:w w:val="105"/>
          <w:sz w:val="21"/>
        </w:rPr>
        <w:t>Reserve</w:t>
        <w:tab/>
        <w:t>3,215,668</w:t>
      </w:r>
    </w:p>
    <w:p>
      <w:pPr>
        <w:tabs>
          <w:tab w:pos="7652" w:val="left" w:leader="none"/>
        </w:tabs>
        <w:spacing w:before="29"/>
        <w:ind w:left="561" w:right="0" w:firstLine="0"/>
        <w:jc w:val="left"/>
        <w:rPr>
          <w:sz w:val="21"/>
        </w:rPr>
      </w:pPr>
      <w:r>
        <w:rPr>
          <w:w w:val="105"/>
          <w:sz w:val="21"/>
        </w:rPr>
        <w:t>Capital</w:t>
      </w:r>
      <w:r>
        <w:rPr>
          <w:spacing w:val="-7"/>
          <w:w w:val="105"/>
          <w:sz w:val="21"/>
        </w:rPr>
        <w:t> </w:t>
      </w:r>
      <w:r>
        <w:rPr>
          <w:w w:val="105"/>
          <w:sz w:val="21"/>
        </w:rPr>
        <w:t>Reserve</w:t>
      </w:r>
      <w:r>
        <w:rPr>
          <w:spacing w:val="-11"/>
          <w:w w:val="105"/>
          <w:sz w:val="21"/>
        </w:rPr>
        <w:t> </w:t>
      </w:r>
      <w:r>
        <w:rPr>
          <w:w w:val="105"/>
          <w:sz w:val="21"/>
        </w:rPr>
        <w:t>Fund</w:t>
        <w:tab/>
        <w:t>830,210</w:t>
      </w:r>
    </w:p>
    <w:p>
      <w:pPr>
        <w:tabs>
          <w:tab w:pos="7764" w:val="left" w:leader="none"/>
        </w:tabs>
        <w:spacing w:before="28"/>
        <w:ind w:left="561" w:right="0" w:firstLine="0"/>
        <w:jc w:val="left"/>
        <w:rPr>
          <w:sz w:val="21"/>
        </w:rPr>
      </w:pPr>
      <w:r>
        <w:rPr>
          <w:w w:val="105"/>
          <w:sz w:val="21"/>
        </w:rPr>
        <w:t>Paratransit</w:t>
      </w:r>
      <w:r>
        <w:rPr>
          <w:spacing w:val="-8"/>
          <w:w w:val="105"/>
          <w:sz w:val="21"/>
        </w:rPr>
        <w:t> </w:t>
      </w:r>
      <w:r>
        <w:rPr>
          <w:w w:val="105"/>
          <w:sz w:val="21"/>
        </w:rPr>
        <w:t>Reserve</w:t>
        <w:tab/>
        <w:t>90,914</w:t>
      </w:r>
    </w:p>
    <w:p>
      <w:pPr>
        <w:tabs>
          <w:tab w:pos="6468" w:val="left" w:leader="none"/>
          <w:tab w:pos="7375" w:val="left" w:leader="none"/>
        </w:tabs>
        <w:spacing w:before="28"/>
        <w:ind w:left="561" w:right="0" w:firstLine="0"/>
        <w:jc w:val="left"/>
        <w:rPr>
          <w:sz w:val="21"/>
        </w:rPr>
      </w:pPr>
      <w:r>
        <w:rPr>
          <w:w w:val="105"/>
          <w:sz w:val="21"/>
        </w:rPr>
        <w:t>Invested</w:t>
      </w:r>
      <w:r>
        <w:rPr>
          <w:spacing w:val="-14"/>
          <w:w w:val="105"/>
          <w:sz w:val="21"/>
        </w:rPr>
        <w:t> </w:t>
      </w:r>
      <w:r>
        <w:rPr>
          <w:w w:val="105"/>
          <w:sz w:val="21"/>
        </w:rPr>
        <w:t>Reserve</w:t>
      </w:r>
      <w:r>
        <w:rPr>
          <w:spacing w:val="-15"/>
          <w:w w:val="105"/>
          <w:sz w:val="21"/>
        </w:rPr>
        <w:t> </w:t>
      </w:r>
      <w:r>
        <w:rPr>
          <w:w w:val="105"/>
          <w:sz w:val="21"/>
        </w:rPr>
        <w:t>Funds</w:t>
        <w:tab/>
      </w:r>
      <w:r>
        <w:rPr>
          <w:w w:val="105"/>
          <w:sz w:val="21"/>
          <w:u w:val="double"/>
        </w:rPr>
        <w:t> </w:t>
        <w:tab/>
        <w:t>17,499,</w:t>
      </w:r>
      <w:r>
        <w:rPr>
          <w:w w:val="105"/>
          <w:sz w:val="21"/>
          <w:u w:val="single"/>
        </w:rPr>
        <w:t>32</w:t>
      </w:r>
      <w:r>
        <w:rPr>
          <w:w w:val="105"/>
          <w:sz w:val="21"/>
        </w:rPr>
        <w:t>2</w:t>
      </w:r>
      <w:r>
        <w:rPr>
          <w:spacing w:val="12"/>
          <w:sz w:val="21"/>
        </w:rPr>
        <w:t> </w:t>
      </w:r>
    </w:p>
    <w:p>
      <w:pPr>
        <w:tabs>
          <w:tab w:pos="6468" w:val="left" w:leader="none"/>
          <w:tab w:pos="7375" w:val="left" w:leader="none"/>
        </w:tabs>
        <w:spacing w:before="28"/>
        <w:ind w:left="876" w:right="0" w:firstLine="0"/>
        <w:jc w:val="left"/>
        <w:rPr>
          <w:b/>
          <w:sz w:val="21"/>
        </w:rPr>
      </w:pPr>
      <w:r>
        <w:rPr>
          <w:b/>
          <w:w w:val="105"/>
          <w:sz w:val="21"/>
        </w:rPr>
        <w:t>Reserve Funds</w:t>
      </w:r>
      <w:r>
        <w:rPr>
          <w:b/>
          <w:spacing w:val="2"/>
          <w:w w:val="105"/>
          <w:sz w:val="21"/>
        </w:rPr>
        <w:t> </w:t>
      </w:r>
      <w:r>
        <w:rPr>
          <w:b/>
          <w:w w:val="105"/>
          <w:sz w:val="21"/>
        </w:rPr>
        <w:t>Total</w:t>
        <w:tab/>
      </w:r>
      <w:r>
        <w:rPr>
          <w:b/>
          <w:w w:val="105"/>
          <w:sz w:val="21"/>
          <w:u w:val="double"/>
        </w:rPr>
        <w:t> $</w:t>
        <w:tab/>
        <w:t>21,638,</w:t>
      </w:r>
      <w:r>
        <w:rPr>
          <w:b/>
          <w:w w:val="105"/>
          <w:sz w:val="21"/>
          <w:u w:val="single"/>
        </w:rPr>
        <w:t>96</w:t>
      </w:r>
      <w:r>
        <w:rPr>
          <w:b/>
          <w:w w:val="105"/>
          <w:sz w:val="21"/>
        </w:rPr>
        <w:t>5</w:t>
      </w:r>
      <w:r>
        <w:rPr>
          <w:b/>
          <w:spacing w:val="12"/>
          <w:sz w:val="21"/>
        </w:rPr>
        <w:t> </w:t>
      </w:r>
    </w:p>
    <w:p>
      <w:pPr>
        <w:spacing w:line="240" w:lineRule="auto" w:before="4"/>
        <w:rPr>
          <w:b/>
          <w:sz w:val="11"/>
        </w:rPr>
      </w:pPr>
      <w:r>
        <w:rPr/>
        <w:pict>
          <v:group style="position:absolute;margin-left:351.413849pt;margin-top:8.89972pt;width:100.85pt;height:.4pt;mso-position-horizontal-relative:page;mso-position-vertical-relative:paragraph;z-index:-251456512;mso-wrap-distance-left:0;mso-wrap-distance-right:0" coordorigin="7028,178" coordsize="2017,8">
            <v:line style="position:absolute" from="7028,178" to="9045,178" stroked="true" strokeweight="0pt" strokecolor="#000000">
              <v:stroke dashstyle="solid"/>
            </v:line>
            <v:line style="position:absolute" from="7028,182" to="9045,182" stroked="true" strokeweight=".37457pt" strokecolor="#000000">
              <v:stroke dashstyle="solid"/>
            </v:line>
            <w10:wrap type="topAndBottom"/>
          </v:group>
        </w:pict>
      </w:r>
    </w:p>
    <w:p>
      <w:pPr>
        <w:tabs>
          <w:tab w:pos="6468" w:val="left" w:leader="none"/>
          <w:tab w:pos="7375" w:val="left" w:leader="none"/>
        </w:tabs>
        <w:spacing w:line="243" w:lineRule="exact" w:before="0" w:after="19"/>
        <w:ind w:left="247" w:right="0" w:firstLine="0"/>
        <w:jc w:val="left"/>
        <w:rPr>
          <w:b/>
          <w:sz w:val="21"/>
        </w:rPr>
      </w:pPr>
      <w:r>
        <w:rPr>
          <w:b/>
          <w:w w:val="105"/>
          <w:sz w:val="21"/>
        </w:rPr>
        <w:t>Total Cash All Sources - End</w:t>
      </w:r>
      <w:r>
        <w:rPr>
          <w:b/>
          <w:spacing w:val="-2"/>
          <w:w w:val="105"/>
          <w:sz w:val="21"/>
        </w:rPr>
        <w:t> </w:t>
      </w:r>
      <w:r>
        <w:rPr>
          <w:b/>
          <w:w w:val="105"/>
          <w:sz w:val="21"/>
        </w:rPr>
        <w:t>of</w:t>
      </w:r>
      <w:r>
        <w:rPr>
          <w:b/>
          <w:spacing w:val="-4"/>
          <w:w w:val="105"/>
          <w:sz w:val="21"/>
        </w:rPr>
        <w:t> </w:t>
      </w:r>
      <w:r>
        <w:rPr>
          <w:b/>
          <w:w w:val="105"/>
          <w:sz w:val="21"/>
        </w:rPr>
        <w:t>Period:</w:t>
        <w:tab/>
      </w:r>
      <w:r>
        <w:rPr>
          <w:b/>
          <w:w w:val="105"/>
          <w:sz w:val="21"/>
          <w:u w:val="double"/>
        </w:rPr>
        <w:t> $</w:t>
        <w:tab/>
        <w:t>38,628,</w:t>
      </w:r>
      <w:r>
        <w:rPr>
          <w:b/>
          <w:w w:val="105"/>
          <w:sz w:val="21"/>
          <w:u w:val="single"/>
        </w:rPr>
        <w:t>29</w:t>
      </w:r>
      <w:r>
        <w:rPr>
          <w:b/>
          <w:w w:val="105"/>
          <w:sz w:val="21"/>
        </w:rPr>
        <w:t>5</w:t>
      </w:r>
      <w:r>
        <w:rPr>
          <w:b/>
          <w:spacing w:val="12"/>
          <w:sz w:val="21"/>
        </w:rPr>
        <w:t> </w:t>
      </w:r>
    </w:p>
    <w:p>
      <w:pPr>
        <w:spacing w:line="20" w:lineRule="exact"/>
        <w:ind w:left="6464" w:right="0" w:firstLine="0"/>
        <w:rPr>
          <w:sz w:val="2"/>
        </w:rPr>
      </w:pPr>
      <w:r>
        <w:rPr>
          <w:sz w:val="2"/>
        </w:rPr>
        <w:pict>
          <v:group style="width:100.85pt;height:.4pt;mso-position-horizontal-relative:char;mso-position-vertical-relative:line" coordorigin="0,0" coordsize="2017,8">
            <v:line style="position:absolute" from="0,0" to="2016,0" stroked="true" strokeweight="0pt" strokecolor="#000000">
              <v:stroke dashstyle="solid"/>
            </v:line>
            <v:line style="position:absolute" from="0,4" to="2016,4" stroked="true" strokeweight=".37457pt" strokecolor="#000000">
              <v:stroke dashstyle="solid"/>
            </v:line>
          </v:group>
        </w:pict>
      </w:r>
      <w:r>
        <w:rPr>
          <w:sz w:val="2"/>
        </w:rPr>
      </w:r>
    </w:p>
    <w:p>
      <w:pPr>
        <w:spacing w:line="240" w:lineRule="auto" w:before="10"/>
        <w:rPr>
          <w:b/>
          <w:sz w:val="9"/>
        </w:rPr>
      </w:pPr>
    </w:p>
    <w:p>
      <w:pPr>
        <w:spacing w:before="63"/>
        <w:ind w:left="239" w:right="0" w:firstLine="0"/>
        <w:jc w:val="left"/>
        <w:rPr>
          <w:b/>
          <w:sz w:val="18"/>
        </w:rPr>
      </w:pPr>
      <w:r>
        <w:rPr>
          <w:b/>
          <w:sz w:val="18"/>
        </w:rPr>
        <w:t>*General Fund Cash Includes General Disbursing and Money Market Accounts Only</w:t>
      </w:r>
    </w:p>
    <w:p>
      <w:pPr>
        <w:spacing w:after="0"/>
        <w:jc w:val="left"/>
        <w:rPr>
          <w:sz w:val="18"/>
        </w:rPr>
        <w:sectPr>
          <w:pgSz w:w="12240" w:h="15840"/>
          <w:pgMar w:header="790" w:footer="1255" w:top="1240" w:bottom="1440" w:left="560" w:right="560"/>
        </w:sectPr>
      </w:pPr>
    </w:p>
    <w:p>
      <w:pPr>
        <w:spacing w:line="240" w:lineRule="auto" w:before="5"/>
        <w:rPr>
          <w:b/>
          <w:sz w:val="12"/>
        </w:rPr>
      </w:pPr>
    </w:p>
    <w:p>
      <w:pPr>
        <w:spacing w:before="44"/>
        <w:ind w:left="160" w:right="0" w:firstLine="0"/>
        <w:jc w:val="left"/>
        <w:rPr>
          <w:sz w:val="28"/>
        </w:rPr>
      </w:pPr>
      <w:r>
        <w:rPr>
          <w:color w:val="000099"/>
          <w:sz w:val="28"/>
        </w:rPr>
        <w:t>PROCUREMENT</w:t>
      </w:r>
    </w:p>
    <w:p>
      <w:pPr>
        <w:spacing w:line="240" w:lineRule="auto" w:before="2"/>
        <w:rPr>
          <w:sz w:val="29"/>
        </w:rPr>
      </w:pPr>
    </w:p>
    <w:p>
      <w:pPr>
        <w:pStyle w:val="BodyText"/>
        <w:ind w:left="160"/>
        <w:rPr>
          <w:rFonts w:ascii="Calibri"/>
        </w:rPr>
      </w:pPr>
      <w:r>
        <w:rPr>
          <w:rFonts w:ascii="Calibri"/>
          <w:color w:val="000099"/>
        </w:rPr>
        <w:t>ACTIVE PROCUREMENTS</w:t>
      </w:r>
    </w:p>
    <w:p>
      <w:pPr>
        <w:spacing w:line="276" w:lineRule="auto" w:before="45"/>
        <w:ind w:left="879" w:right="4814" w:hanging="540"/>
        <w:jc w:val="left"/>
        <w:rPr>
          <w:sz w:val="22"/>
        </w:rPr>
      </w:pPr>
      <w:r>
        <w:rPr>
          <w:sz w:val="22"/>
        </w:rPr>
        <w:t>The following open contracts actively moving through the process: Real Time Signage</w:t>
      </w:r>
    </w:p>
    <w:p>
      <w:pPr>
        <w:spacing w:line="276" w:lineRule="auto" w:before="0"/>
        <w:ind w:left="879" w:right="6054" w:firstLine="0"/>
        <w:jc w:val="left"/>
        <w:rPr>
          <w:sz w:val="22"/>
        </w:rPr>
      </w:pPr>
      <w:r>
        <w:rPr>
          <w:sz w:val="22"/>
        </w:rPr>
        <w:t>Bus Shelter and Parking Lot Janitorial Services Specialized Transportation- Minivan Services A TPA for Prescription Services</w:t>
      </w:r>
    </w:p>
    <w:p>
      <w:pPr>
        <w:spacing w:line="268" w:lineRule="exact" w:before="0"/>
        <w:ind w:left="879" w:right="0" w:firstLine="0"/>
        <w:jc w:val="left"/>
        <w:rPr>
          <w:sz w:val="22"/>
        </w:rPr>
      </w:pPr>
      <w:r>
        <w:rPr>
          <w:sz w:val="22"/>
        </w:rPr>
        <w:t>Public Relations</w:t>
      </w:r>
    </w:p>
    <w:p>
      <w:pPr>
        <w:spacing w:line="276" w:lineRule="auto" w:before="40"/>
        <w:ind w:left="879" w:right="6834" w:firstLine="0"/>
        <w:jc w:val="left"/>
        <w:rPr>
          <w:sz w:val="22"/>
        </w:rPr>
      </w:pPr>
      <w:r>
        <w:rPr>
          <w:sz w:val="22"/>
        </w:rPr>
        <w:t>Exhaust Extraction System Installation Term Design and Engineering Gasoline- Bulk Delivery</w:t>
      </w:r>
    </w:p>
    <w:p>
      <w:pPr>
        <w:spacing w:line="240" w:lineRule="auto" w:before="5"/>
        <w:rPr>
          <w:sz w:val="25"/>
        </w:rPr>
      </w:pPr>
    </w:p>
    <w:p>
      <w:pPr>
        <w:pStyle w:val="BodyText"/>
        <w:ind w:left="160"/>
        <w:rPr>
          <w:rFonts w:ascii="Calibri"/>
        </w:rPr>
      </w:pPr>
      <w:r>
        <w:rPr>
          <w:rFonts w:ascii="Calibri"/>
          <w:color w:val="000099"/>
        </w:rPr>
        <w:t>FUTURE PROCUREMENTS</w:t>
      </w:r>
    </w:p>
    <w:p>
      <w:pPr>
        <w:spacing w:before="43"/>
        <w:ind w:left="340" w:right="0" w:firstLine="0"/>
        <w:jc w:val="left"/>
        <w:rPr>
          <w:sz w:val="22"/>
        </w:rPr>
      </w:pPr>
      <w:r>
        <w:rPr>
          <w:sz w:val="22"/>
        </w:rPr>
        <w:t>Items requiring future board action:</w:t>
      </w:r>
    </w:p>
    <w:p>
      <w:pPr>
        <w:spacing w:before="41"/>
        <w:ind w:left="519" w:right="0" w:firstLine="0"/>
        <w:jc w:val="left"/>
        <w:rPr>
          <w:sz w:val="22"/>
        </w:rPr>
      </w:pPr>
      <w:r>
        <w:rPr>
          <w:sz w:val="22"/>
        </w:rPr>
        <w:t>Within 2 months:</w:t>
      </w:r>
    </w:p>
    <w:p>
      <w:pPr>
        <w:spacing w:line="276" w:lineRule="auto" w:before="39"/>
        <w:ind w:left="879" w:right="7678" w:firstLine="0"/>
        <w:jc w:val="left"/>
        <w:rPr>
          <w:sz w:val="22"/>
        </w:rPr>
      </w:pPr>
      <w:r>
        <w:rPr>
          <w:sz w:val="22"/>
        </w:rPr>
        <w:t>TPA for Prescription Services Gasoline- Bulk Delivery</w:t>
      </w:r>
    </w:p>
    <w:p>
      <w:pPr>
        <w:spacing w:before="1"/>
        <w:ind w:left="879" w:right="0" w:firstLine="0"/>
        <w:jc w:val="left"/>
        <w:rPr>
          <w:sz w:val="22"/>
        </w:rPr>
      </w:pPr>
      <w:r>
        <w:rPr>
          <w:sz w:val="22"/>
        </w:rPr>
        <w:t>Real Time Signage</w:t>
      </w:r>
    </w:p>
    <w:p>
      <w:pPr>
        <w:spacing w:line="240" w:lineRule="auto" w:before="6"/>
        <w:rPr>
          <w:sz w:val="28"/>
        </w:rPr>
      </w:pPr>
    </w:p>
    <w:p>
      <w:pPr>
        <w:spacing w:before="1"/>
        <w:ind w:left="519" w:right="0" w:firstLine="0"/>
        <w:jc w:val="left"/>
        <w:rPr>
          <w:sz w:val="22"/>
        </w:rPr>
      </w:pPr>
      <w:r>
        <w:rPr>
          <w:sz w:val="22"/>
        </w:rPr>
        <w:t>Within 6 months:</w:t>
      </w:r>
    </w:p>
    <w:p>
      <w:pPr>
        <w:spacing w:line="276" w:lineRule="auto" w:before="41"/>
        <w:ind w:left="879" w:right="6140" w:firstLine="0"/>
        <w:jc w:val="left"/>
        <w:rPr>
          <w:sz w:val="22"/>
        </w:rPr>
      </w:pPr>
      <w:r>
        <w:rPr>
          <w:sz w:val="22"/>
        </w:rPr>
        <w:t>Bus Shelter and Parking Lot Janitorial Services Public Relations</w:t>
      </w:r>
    </w:p>
    <w:p>
      <w:pPr>
        <w:spacing w:line="268" w:lineRule="exact" w:before="0"/>
        <w:ind w:left="879" w:right="0" w:firstLine="0"/>
        <w:jc w:val="left"/>
        <w:rPr>
          <w:sz w:val="22"/>
        </w:rPr>
      </w:pPr>
      <w:r>
        <w:rPr>
          <w:sz w:val="22"/>
        </w:rPr>
        <w:t>Term Design and Engineering</w:t>
      </w:r>
    </w:p>
    <w:p>
      <w:pPr>
        <w:pStyle w:val="BodyText"/>
        <w:spacing w:line="672" w:lineRule="exact" w:before="42"/>
        <w:ind w:left="160" w:right="7921"/>
        <w:rPr>
          <w:rFonts w:ascii="Calibri"/>
        </w:rPr>
      </w:pPr>
      <w:r>
        <w:rPr>
          <w:rFonts w:ascii="Calibri"/>
          <w:color w:val="000099"/>
        </w:rPr>
        <w:t>REVENUE SERVICE CONTRACTS LEASE REVENUE CONTRACTS</w:t>
      </w:r>
    </w:p>
    <w:p>
      <w:pPr>
        <w:spacing w:line="244" w:lineRule="exact" w:before="0"/>
        <w:ind w:left="340" w:right="0" w:firstLine="0"/>
        <w:jc w:val="left"/>
        <w:rPr>
          <w:sz w:val="22"/>
        </w:rPr>
      </w:pPr>
      <w:r>
        <w:rPr>
          <w:sz w:val="22"/>
        </w:rPr>
        <w:t>RTC Unoccupied Space Agreement (Previously Dunkin Donuts)</w:t>
      </w:r>
    </w:p>
    <w:p>
      <w:pPr>
        <w:spacing w:line="240" w:lineRule="auto" w:before="6"/>
        <w:rPr>
          <w:sz w:val="28"/>
        </w:rPr>
      </w:pPr>
    </w:p>
    <w:p>
      <w:pPr>
        <w:pStyle w:val="BodyText"/>
        <w:ind w:left="160"/>
        <w:rPr>
          <w:rFonts w:ascii="Calibri"/>
        </w:rPr>
      </w:pPr>
      <w:r>
        <w:rPr>
          <w:rFonts w:ascii="Calibri"/>
          <w:color w:val="000099"/>
        </w:rPr>
        <w:t>LEASE AGREEMENTS</w:t>
      </w:r>
    </w:p>
    <w:p>
      <w:pPr>
        <w:spacing w:after="0"/>
        <w:rPr>
          <w:rFonts w:ascii="Calibri"/>
        </w:rPr>
        <w:sectPr>
          <w:pgSz w:w="12240" w:h="15840"/>
          <w:pgMar w:header="790" w:footer="1255" w:top="1240" w:bottom="1440" w:left="560" w:right="560"/>
        </w:sectPr>
      </w:pPr>
    </w:p>
    <w:p>
      <w:pPr>
        <w:spacing w:line="240" w:lineRule="auto" w:before="2"/>
        <w:rPr>
          <w:sz w:val="12"/>
        </w:rPr>
      </w:pPr>
    </w:p>
    <w:p>
      <w:pPr>
        <w:spacing w:before="45"/>
        <w:ind w:left="160" w:right="0" w:firstLine="0"/>
        <w:jc w:val="left"/>
        <w:rPr>
          <w:sz w:val="28"/>
        </w:rPr>
      </w:pPr>
      <w:r>
        <w:rPr>
          <w:color w:val="000099"/>
          <w:sz w:val="28"/>
        </w:rPr>
        <w:t>CAPITAL PROGRAMS</w:t>
      </w:r>
    </w:p>
    <w:p>
      <w:pPr>
        <w:pStyle w:val="BodyText"/>
        <w:spacing w:before="195"/>
        <w:ind w:left="160"/>
        <w:rPr>
          <w:rFonts w:ascii="Calibri"/>
        </w:rPr>
      </w:pPr>
      <w:r>
        <w:rPr>
          <w:rFonts w:ascii="Calibri"/>
          <w:color w:val="000099"/>
        </w:rPr>
        <w:t>FEDERAL GRANT FUNDING</w:t>
      </w:r>
    </w:p>
    <w:p>
      <w:pPr>
        <w:spacing w:before="146"/>
        <w:ind w:left="340" w:right="0" w:firstLine="0"/>
        <w:jc w:val="left"/>
        <w:rPr>
          <w:sz w:val="22"/>
        </w:rPr>
      </w:pPr>
      <w:r>
        <w:rPr>
          <w:color w:val="000099"/>
          <w:sz w:val="22"/>
        </w:rPr>
        <w:t>NEW OPPORTUNITIES</w:t>
      </w:r>
    </w:p>
    <w:p>
      <w:pPr>
        <w:spacing w:line="412" w:lineRule="auto" w:before="195"/>
        <w:ind w:left="340" w:right="7889" w:firstLine="0"/>
        <w:jc w:val="left"/>
        <w:rPr>
          <w:sz w:val="22"/>
        </w:rPr>
      </w:pPr>
      <w:r>
        <w:rPr>
          <w:sz w:val="22"/>
        </w:rPr>
        <w:t>No new opportunities currently. </w:t>
      </w:r>
      <w:r>
        <w:rPr>
          <w:color w:val="000099"/>
          <w:sz w:val="22"/>
        </w:rPr>
        <w:t>PENDING APPLICATIONS</w:t>
      </w:r>
    </w:p>
    <w:p>
      <w:pPr>
        <w:spacing w:line="223" w:lineRule="exact" w:before="0"/>
        <w:ind w:left="340" w:right="0" w:firstLine="0"/>
        <w:jc w:val="both"/>
        <w:rPr>
          <w:sz w:val="22"/>
        </w:rPr>
      </w:pPr>
      <w:r>
        <w:rPr>
          <w:color w:val="000099"/>
          <w:sz w:val="22"/>
        </w:rPr>
        <w:t>Low or No Emission Grant Program and the Grants for Buses and Bus Facilities Competitive Program</w:t>
      </w:r>
      <w:r>
        <w:rPr>
          <w:sz w:val="22"/>
        </w:rPr>
        <w:t>, FTA’s FY2025</w:t>
      </w:r>
    </w:p>
    <w:p>
      <w:pPr>
        <w:spacing w:before="0"/>
        <w:ind w:left="340" w:right="0" w:firstLine="0"/>
        <w:jc w:val="both"/>
        <w:rPr>
          <w:sz w:val="22"/>
        </w:rPr>
      </w:pPr>
      <w:r>
        <w:rPr>
          <w:sz w:val="22"/>
        </w:rPr>
        <w:t>solicitation for projects to be funded through Section 5339(c) are underway. Applications are under review.</w:t>
      </w:r>
    </w:p>
    <w:p>
      <w:pPr>
        <w:spacing w:before="195"/>
        <w:ind w:left="340" w:right="156" w:firstLine="0"/>
        <w:jc w:val="both"/>
        <w:rPr>
          <w:sz w:val="22"/>
        </w:rPr>
      </w:pPr>
      <w:r>
        <w:rPr>
          <w:color w:val="000099"/>
          <w:sz w:val="22"/>
        </w:rPr>
        <w:t>Section 5307 and 5339 Grant Programs Applications: </w:t>
      </w:r>
      <w:r>
        <w:rPr>
          <w:sz w:val="22"/>
        </w:rPr>
        <w:t>The federal fiscal year 2025 draft applications are under review. They include operating and capital assistance for various projects totaling approximately $16 million in federal funds.</w:t>
      </w:r>
    </w:p>
    <w:p>
      <w:pPr>
        <w:spacing w:before="197"/>
        <w:ind w:left="340" w:right="0" w:firstLine="0"/>
        <w:jc w:val="left"/>
        <w:rPr>
          <w:sz w:val="22"/>
        </w:rPr>
      </w:pPr>
      <w:r>
        <w:rPr>
          <w:color w:val="000099"/>
          <w:sz w:val="22"/>
        </w:rPr>
        <w:t>AWARDED</w:t>
      </w:r>
      <w:r>
        <w:rPr>
          <w:color w:val="000099"/>
          <w:spacing w:val="-5"/>
          <w:sz w:val="22"/>
        </w:rPr>
        <w:t> </w:t>
      </w:r>
      <w:r>
        <w:rPr>
          <w:color w:val="000099"/>
          <w:sz w:val="22"/>
        </w:rPr>
        <w:t>APPLICATIONS</w:t>
      </w:r>
    </w:p>
    <w:p>
      <w:pPr>
        <w:spacing w:before="195"/>
        <w:ind w:left="347" w:right="0" w:firstLine="0"/>
        <w:jc w:val="both"/>
        <w:rPr>
          <w:sz w:val="22"/>
        </w:rPr>
      </w:pPr>
      <w:r>
        <w:rPr>
          <w:sz w:val="22"/>
        </w:rPr>
        <w:t>No new awards</w:t>
      </w:r>
      <w:r>
        <w:rPr>
          <w:spacing w:val="-9"/>
          <w:sz w:val="22"/>
        </w:rPr>
        <w:t> </w:t>
      </w:r>
      <w:r>
        <w:rPr>
          <w:sz w:val="22"/>
        </w:rPr>
        <w:t>currently.</w:t>
      </w:r>
    </w:p>
    <w:p>
      <w:pPr>
        <w:pStyle w:val="BodyText"/>
        <w:spacing w:before="194"/>
        <w:ind w:left="142" w:right="8602"/>
        <w:jc w:val="center"/>
        <w:rPr>
          <w:rFonts w:ascii="Calibri"/>
        </w:rPr>
      </w:pPr>
      <w:r>
        <w:rPr>
          <w:rFonts w:ascii="Calibri"/>
          <w:color w:val="000099"/>
        </w:rPr>
        <w:t>STATE GRANT FUNDING</w:t>
      </w:r>
    </w:p>
    <w:p>
      <w:pPr>
        <w:spacing w:before="146"/>
        <w:ind w:left="116" w:right="8602" w:firstLine="0"/>
        <w:jc w:val="center"/>
        <w:rPr>
          <w:sz w:val="22"/>
        </w:rPr>
      </w:pPr>
      <w:r>
        <w:rPr>
          <w:color w:val="000099"/>
          <w:sz w:val="22"/>
        </w:rPr>
        <w:t>NEW OPPORTUNITIES</w:t>
      </w:r>
    </w:p>
    <w:p>
      <w:pPr>
        <w:spacing w:line="412" w:lineRule="auto" w:before="197"/>
        <w:ind w:left="340" w:right="7882" w:firstLine="7"/>
        <w:jc w:val="left"/>
        <w:rPr>
          <w:sz w:val="22"/>
        </w:rPr>
      </w:pPr>
      <w:r>
        <w:rPr>
          <w:sz w:val="22"/>
        </w:rPr>
        <w:t>No new opportunities currently. </w:t>
      </w:r>
      <w:r>
        <w:rPr>
          <w:color w:val="000099"/>
          <w:sz w:val="22"/>
        </w:rPr>
        <w:t>PENDING APPLICATIONS</w:t>
      </w:r>
    </w:p>
    <w:p>
      <w:pPr>
        <w:spacing w:before="3"/>
        <w:ind w:left="340" w:right="154" w:firstLine="0"/>
        <w:jc w:val="both"/>
        <w:rPr>
          <w:sz w:val="22"/>
        </w:rPr>
      </w:pPr>
      <w:r>
        <w:rPr>
          <w:color w:val="000099"/>
          <w:sz w:val="22"/>
        </w:rPr>
        <w:t>Section 5311 Grant Program Applications</w:t>
      </w:r>
      <w:r>
        <w:rPr>
          <w:sz w:val="22"/>
        </w:rPr>
        <w:t>: New York State’s 2024-2025 solicitation for projects to be funded via FTA Section 5311 Formula Grants for Rural Areas are underway. Applications are under review.</w:t>
      </w:r>
    </w:p>
    <w:p>
      <w:pPr>
        <w:spacing w:before="195"/>
        <w:ind w:left="340" w:right="154" w:firstLine="0"/>
        <w:jc w:val="both"/>
        <w:rPr>
          <w:sz w:val="22"/>
        </w:rPr>
      </w:pPr>
      <w:r>
        <w:rPr>
          <w:color w:val="000099"/>
          <w:sz w:val="22"/>
        </w:rPr>
        <w:t>Supplemental</w:t>
      </w:r>
      <w:r>
        <w:rPr>
          <w:color w:val="000099"/>
          <w:spacing w:val="-10"/>
          <w:sz w:val="22"/>
        </w:rPr>
        <w:t> </w:t>
      </w:r>
      <w:r>
        <w:rPr>
          <w:color w:val="000099"/>
          <w:sz w:val="22"/>
        </w:rPr>
        <w:t>Funds</w:t>
      </w:r>
      <w:r>
        <w:rPr>
          <w:color w:val="000099"/>
          <w:spacing w:val="-7"/>
          <w:sz w:val="22"/>
        </w:rPr>
        <w:t> </w:t>
      </w:r>
      <w:r>
        <w:rPr>
          <w:color w:val="000099"/>
          <w:sz w:val="22"/>
        </w:rPr>
        <w:t>for</w:t>
      </w:r>
      <w:r>
        <w:rPr>
          <w:color w:val="000099"/>
          <w:spacing w:val="-10"/>
          <w:sz w:val="22"/>
        </w:rPr>
        <w:t> </w:t>
      </w:r>
      <w:r>
        <w:rPr>
          <w:color w:val="000099"/>
          <w:sz w:val="22"/>
        </w:rPr>
        <w:t>the</w:t>
      </w:r>
      <w:r>
        <w:rPr>
          <w:color w:val="000099"/>
          <w:spacing w:val="-6"/>
          <w:sz w:val="22"/>
        </w:rPr>
        <w:t> </w:t>
      </w:r>
      <w:r>
        <w:rPr>
          <w:color w:val="000099"/>
          <w:sz w:val="22"/>
        </w:rPr>
        <w:t>Innovative</w:t>
      </w:r>
      <w:r>
        <w:rPr>
          <w:color w:val="000099"/>
          <w:spacing w:val="-9"/>
          <w:sz w:val="22"/>
        </w:rPr>
        <w:t> </w:t>
      </w:r>
      <w:r>
        <w:rPr>
          <w:color w:val="000099"/>
          <w:sz w:val="22"/>
        </w:rPr>
        <w:t>Mobility</w:t>
      </w:r>
      <w:r>
        <w:rPr>
          <w:color w:val="000099"/>
          <w:spacing w:val="-6"/>
          <w:sz w:val="22"/>
        </w:rPr>
        <w:t> </w:t>
      </w:r>
      <w:r>
        <w:rPr>
          <w:color w:val="000099"/>
          <w:sz w:val="22"/>
        </w:rPr>
        <w:t>Initiative</w:t>
      </w:r>
      <w:r>
        <w:rPr>
          <w:sz w:val="22"/>
        </w:rPr>
        <w:t>:</w:t>
      </w:r>
      <w:r>
        <w:rPr>
          <w:spacing w:val="-10"/>
          <w:sz w:val="22"/>
        </w:rPr>
        <w:t> </w:t>
      </w:r>
      <w:r>
        <w:rPr>
          <w:sz w:val="22"/>
        </w:rPr>
        <w:t>$9.1</w:t>
      </w:r>
      <w:r>
        <w:rPr>
          <w:spacing w:val="-9"/>
          <w:sz w:val="22"/>
        </w:rPr>
        <w:t> </w:t>
      </w:r>
      <w:r>
        <w:rPr>
          <w:sz w:val="22"/>
        </w:rPr>
        <w:t>million</w:t>
      </w:r>
      <w:r>
        <w:rPr>
          <w:spacing w:val="-12"/>
          <w:sz w:val="22"/>
        </w:rPr>
        <w:t> </w:t>
      </w:r>
      <w:r>
        <w:rPr>
          <w:sz w:val="22"/>
        </w:rPr>
        <w:t>of</w:t>
      </w:r>
      <w:r>
        <w:rPr>
          <w:spacing w:val="-7"/>
          <w:sz w:val="22"/>
        </w:rPr>
        <w:t> </w:t>
      </w:r>
      <w:r>
        <w:rPr>
          <w:sz w:val="22"/>
        </w:rPr>
        <w:t>state-dedicated</w:t>
      </w:r>
      <w:r>
        <w:rPr>
          <w:spacing w:val="-8"/>
          <w:sz w:val="22"/>
        </w:rPr>
        <w:t> </w:t>
      </w:r>
      <w:r>
        <w:rPr>
          <w:sz w:val="22"/>
        </w:rPr>
        <w:t>funds</w:t>
      </w:r>
      <w:r>
        <w:rPr>
          <w:spacing w:val="-9"/>
          <w:sz w:val="22"/>
        </w:rPr>
        <w:t> </w:t>
      </w:r>
      <w:r>
        <w:rPr>
          <w:sz w:val="22"/>
        </w:rPr>
        <w:t>from</w:t>
      </w:r>
      <w:r>
        <w:rPr>
          <w:spacing w:val="-9"/>
          <w:sz w:val="22"/>
        </w:rPr>
        <w:t> </w:t>
      </w:r>
      <w:r>
        <w:rPr>
          <w:sz w:val="22"/>
        </w:rPr>
        <w:t>the</w:t>
      </w:r>
      <w:r>
        <w:rPr>
          <w:spacing w:val="-8"/>
          <w:sz w:val="22"/>
        </w:rPr>
        <w:t> </w:t>
      </w:r>
      <w:r>
        <w:rPr>
          <w:sz w:val="22"/>
        </w:rPr>
        <w:t>federal</w:t>
      </w:r>
      <w:r>
        <w:rPr>
          <w:spacing w:val="-7"/>
          <w:sz w:val="22"/>
        </w:rPr>
        <w:t> </w:t>
      </w:r>
      <w:r>
        <w:rPr>
          <w:sz w:val="22"/>
        </w:rPr>
        <w:t>Carbon Reduction Program (CRP) for </w:t>
      </w:r>
      <w:r>
        <w:rPr>
          <w:i/>
          <w:sz w:val="22"/>
        </w:rPr>
        <w:t>capital expenditures </w:t>
      </w:r>
      <w:r>
        <w:rPr>
          <w:sz w:val="22"/>
        </w:rPr>
        <w:t>to support innovative On-Demand transit services. Plans are under review.</w:t>
      </w:r>
    </w:p>
    <w:p>
      <w:pPr>
        <w:spacing w:before="195"/>
        <w:ind w:left="339" w:right="156" w:firstLine="0"/>
        <w:jc w:val="both"/>
        <w:rPr>
          <w:sz w:val="22"/>
        </w:rPr>
      </w:pPr>
      <w:r>
        <w:rPr>
          <w:color w:val="000099"/>
          <w:sz w:val="22"/>
        </w:rPr>
        <w:t>Zero-Emission Transit Transition Program (ZETT) Application</w:t>
      </w:r>
      <w:r>
        <w:rPr>
          <w:sz w:val="22"/>
        </w:rPr>
        <w:t>, $17.5 million of funding to be administered by New York State DOT. Applications are under review.</w:t>
      </w:r>
    </w:p>
    <w:p>
      <w:pPr>
        <w:spacing w:before="197"/>
        <w:ind w:left="340" w:right="0" w:firstLine="0"/>
        <w:jc w:val="left"/>
        <w:rPr>
          <w:sz w:val="22"/>
        </w:rPr>
      </w:pPr>
      <w:r>
        <w:rPr>
          <w:color w:val="000099"/>
          <w:sz w:val="22"/>
        </w:rPr>
        <w:t>AWARDED</w:t>
      </w:r>
      <w:r>
        <w:rPr>
          <w:color w:val="000099"/>
          <w:spacing w:val="-5"/>
          <w:sz w:val="22"/>
        </w:rPr>
        <w:t> </w:t>
      </w:r>
      <w:r>
        <w:rPr>
          <w:color w:val="000099"/>
          <w:sz w:val="22"/>
        </w:rPr>
        <w:t>APPLICATIONS</w:t>
      </w:r>
    </w:p>
    <w:p>
      <w:pPr>
        <w:spacing w:before="195"/>
        <w:ind w:left="347" w:right="0" w:firstLine="0"/>
        <w:jc w:val="both"/>
        <w:rPr>
          <w:sz w:val="22"/>
        </w:rPr>
      </w:pPr>
      <w:r>
        <w:rPr>
          <w:sz w:val="22"/>
        </w:rPr>
        <w:t>No new awards</w:t>
      </w:r>
      <w:r>
        <w:rPr>
          <w:spacing w:val="-8"/>
          <w:sz w:val="22"/>
        </w:rPr>
        <w:t> </w:t>
      </w:r>
      <w:r>
        <w:rPr>
          <w:sz w:val="22"/>
        </w:rPr>
        <w:t>currently.</w:t>
      </w:r>
    </w:p>
    <w:p>
      <w:pPr>
        <w:spacing w:before="195"/>
        <w:ind w:left="160" w:right="0" w:firstLine="0"/>
        <w:jc w:val="left"/>
        <w:rPr>
          <w:sz w:val="28"/>
        </w:rPr>
      </w:pPr>
      <w:r>
        <w:rPr>
          <w:color w:val="000099"/>
          <w:sz w:val="28"/>
        </w:rPr>
        <w:t>CAPITAL PLANNING</w:t>
      </w:r>
    </w:p>
    <w:p>
      <w:pPr>
        <w:spacing w:line="240" w:lineRule="auto" w:before="1"/>
        <w:ind w:left="430" w:right="362" w:firstLine="0"/>
        <w:jc w:val="left"/>
        <w:rPr>
          <w:sz w:val="22"/>
        </w:rPr>
      </w:pPr>
      <w:r>
        <w:rPr>
          <w:sz w:val="22"/>
        </w:rPr>
        <w:t>The Central New York Regional Transportation Authority’s (CNYRTA) Capital Planning Committee continues to meet regularly to evaluate the Authority’s capital needs and to plan for both short and long-term improvements in alignment with the Capital Improvement Plan (CIP).</w:t>
      </w:r>
    </w:p>
    <w:p>
      <w:pPr>
        <w:spacing w:line="240" w:lineRule="auto" w:before="10"/>
        <w:rPr>
          <w:sz w:val="21"/>
        </w:rPr>
      </w:pPr>
    </w:p>
    <w:p>
      <w:pPr>
        <w:spacing w:before="1"/>
        <w:ind w:left="430" w:right="0" w:firstLine="0"/>
        <w:jc w:val="both"/>
        <w:rPr>
          <w:sz w:val="22"/>
        </w:rPr>
      </w:pPr>
      <w:r>
        <w:rPr>
          <w:sz w:val="22"/>
        </w:rPr>
        <w:t>Below are highlights of key projects currently in the execution phase:</w:t>
      </w:r>
    </w:p>
    <w:p>
      <w:pPr>
        <w:pStyle w:val="ListParagraph"/>
        <w:numPr>
          <w:ilvl w:val="0"/>
          <w:numId w:val="9"/>
        </w:numPr>
        <w:tabs>
          <w:tab w:pos="1151" w:val="left" w:leader="none"/>
          <w:tab w:pos="1152" w:val="left" w:leader="none"/>
        </w:tabs>
        <w:spacing w:line="240" w:lineRule="auto" w:before="0" w:after="0"/>
        <w:ind w:left="1151" w:right="0" w:hanging="361"/>
        <w:jc w:val="left"/>
        <w:rPr>
          <w:sz w:val="22"/>
        </w:rPr>
      </w:pPr>
      <w:r>
        <w:rPr>
          <w:sz w:val="22"/>
        </w:rPr>
        <w:t>Bus Rapid Transit (BRT)</w:t>
      </w:r>
      <w:r>
        <w:rPr>
          <w:spacing w:val="-6"/>
          <w:sz w:val="22"/>
        </w:rPr>
        <w:t> </w:t>
      </w:r>
      <w:r>
        <w:rPr>
          <w:sz w:val="22"/>
        </w:rPr>
        <w:t>Planning</w:t>
      </w:r>
    </w:p>
    <w:p>
      <w:pPr>
        <w:pStyle w:val="ListParagraph"/>
        <w:numPr>
          <w:ilvl w:val="0"/>
          <w:numId w:val="9"/>
        </w:numPr>
        <w:tabs>
          <w:tab w:pos="1151" w:val="left" w:leader="none"/>
          <w:tab w:pos="1152" w:val="left" w:leader="none"/>
        </w:tabs>
        <w:spacing w:line="279" w:lineRule="exact" w:before="1" w:after="0"/>
        <w:ind w:left="1151" w:right="0" w:hanging="361"/>
        <w:jc w:val="left"/>
        <w:rPr>
          <w:sz w:val="22"/>
        </w:rPr>
      </w:pPr>
      <w:r>
        <w:rPr>
          <w:sz w:val="22"/>
        </w:rPr>
        <w:t>Compressed Natural Gas (CNG) Electrical Service</w:t>
      </w:r>
      <w:r>
        <w:rPr>
          <w:spacing w:val="-6"/>
          <w:sz w:val="22"/>
        </w:rPr>
        <w:t> </w:t>
      </w:r>
      <w:r>
        <w:rPr>
          <w:sz w:val="22"/>
        </w:rPr>
        <w:t>Upgrade</w:t>
      </w:r>
    </w:p>
    <w:p>
      <w:pPr>
        <w:pStyle w:val="ListParagraph"/>
        <w:numPr>
          <w:ilvl w:val="0"/>
          <w:numId w:val="9"/>
        </w:numPr>
        <w:tabs>
          <w:tab w:pos="1151" w:val="left" w:leader="none"/>
          <w:tab w:pos="1152" w:val="left" w:leader="none"/>
        </w:tabs>
        <w:spacing w:line="279" w:lineRule="exact" w:before="0" w:after="0"/>
        <w:ind w:left="1151" w:right="0" w:hanging="361"/>
        <w:jc w:val="left"/>
        <w:rPr>
          <w:sz w:val="22"/>
        </w:rPr>
      </w:pPr>
      <w:r>
        <w:rPr>
          <w:sz w:val="22"/>
        </w:rPr>
        <w:t>CNG Facility</w:t>
      </w:r>
      <w:r>
        <w:rPr>
          <w:spacing w:val="-2"/>
          <w:sz w:val="22"/>
        </w:rPr>
        <w:t> </w:t>
      </w:r>
      <w:r>
        <w:rPr>
          <w:sz w:val="22"/>
        </w:rPr>
        <w:t>Upgrades</w:t>
      </w:r>
    </w:p>
    <w:p>
      <w:pPr>
        <w:pStyle w:val="ListParagraph"/>
        <w:numPr>
          <w:ilvl w:val="0"/>
          <w:numId w:val="9"/>
        </w:numPr>
        <w:tabs>
          <w:tab w:pos="1151" w:val="left" w:leader="none"/>
          <w:tab w:pos="1152" w:val="left" w:leader="none"/>
        </w:tabs>
        <w:spacing w:line="240" w:lineRule="auto" w:before="0" w:after="0"/>
        <w:ind w:left="1151" w:right="0" w:hanging="361"/>
        <w:jc w:val="left"/>
        <w:rPr>
          <w:sz w:val="22"/>
        </w:rPr>
      </w:pPr>
      <w:r>
        <w:rPr>
          <w:sz w:val="22"/>
        </w:rPr>
        <w:t>Oneida Facility Consolidation</w:t>
      </w:r>
      <w:r>
        <w:rPr>
          <w:spacing w:val="-1"/>
          <w:sz w:val="22"/>
        </w:rPr>
        <w:t> </w:t>
      </w:r>
      <w:r>
        <w:rPr>
          <w:sz w:val="22"/>
        </w:rPr>
        <w:t>Planning</w:t>
      </w:r>
    </w:p>
    <w:p>
      <w:pPr>
        <w:pStyle w:val="ListParagraph"/>
        <w:numPr>
          <w:ilvl w:val="0"/>
          <w:numId w:val="9"/>
        </w:numPr>
        <w:tabs>
          <w:tab w:pos="1151" w:val="left" w:leader="none"/>
          <w:tab w:pos="1152" w:val="left" w:leader="none"/>
        </w:tabs>
        <w:spacing w:line="240" w:lineRule="auto" w:before="1" w:after="0"/>
        <w:ind w:left="1151" w:right="0" w:hanging="361"/>
        <w:jc w:val="left"/>
        <w:rPr>
          <w:sz w:val="22"/>
        </w:rPr>
      </w:pPr>
      <w:r>
        <w:rPr/>
        <w:drawing>
          <wp:anchor distT="0" distB="0" distL="0" distR="0" allowOverlap="1" layoutInCell="1" locked="0" behindDoc="1" simplePos="0" relativeHeight="236479488">
            <wp:simplePos x="0" y="0"/>
            <wp:positionH relativeFrom="page">
              <wp:posOffset>2457767</wp:posOffset>
            </wp:positionH>
            <wp:positionV relativeFrom="paragraph">
              <wp:posOffset>130250</wp:posOffset>
            </wp:positionV>
            <wp:extent cx="2856153" cy="865502"/>
            <wp:effectExtent l="0" t="0" r="0" b="0"/>
            <wp:wrapNone/>
            <wp:docPr id="109" name="image50.png"/>
            <wp:cNvGraphicFramePr>
              <a:graphicFrameLocks noChangeAspect="1"/>
            </wp:cNvGraphicFramePr>
            <a:graphic>
              <a:graphicData uri="http://schemas.openxmlformats.org/drawingml/2006/picture">
                <pic:pic>
                  <pic:nvPicPr>
                    <pic:cNvPr id="110" name="image50.png"/>
                    <pic:cNvPicPr/>
                  </pic:nvPicPr>
                  <pic:blipFill>
                    <a:blip r:embed="rId145" cstate="print"/>
                    <a:stretch>
                      <a:fillRect/>
                    </a:stretch>
                  </pic:blipFill>
                  <pic:spPr>
                    <a:xfrm>
                      <a:off x="0" y="0"/>
                      <a:ext cx="2856153" cy="865502"/>
                    </a:xfrm>
                    <a:prstGeom prst="rect">
                      <a:avLst/>
                    </a:prstGeom>
                  </pic:spPr>
                </pic:pic>
              </a:graphicData>
            </a:graphic>
          </wp:anchor>
        </w:drawing>
      </w:r>
      <w:r>
        <w:rPr>
          <w:sz w:val="22"/>
        </w:rPr>
        <w:t>Various Building Improvements and Technology</w:t>
      </w:r>
      <w:r>
        <w:rPr>
          <w:spacing w:val="-4"/>
          <w:sz w:val="22"/>
        </w:rPr>
        <w:t> </w:t>
      </w:r>
      <w:r>
        <w:rPr>
          <w:sz w:val="22"/>
        </w:rPr>
        <w:t>Upgrades</w:t>
      </w:r>
    </w:p>
    <w:p>
      <w:pPr>
        <w:spacing w:after="0" w:line="240" w:lineRule="auto"/>
        <w:jc w:val="left"/>
        <w:rPr>
          <w:sz w:val="22"/>
        </w:rPr>
        <w:sectPr>
          <w:headerReference w:type="default" r:id="rId160"/>
          <w:footerReference w:type="default" r:id="rId161"/>
          <w:pgSz w:w="12240" w:h="15840"/>
          <w:pgMar w:header="790" w:footer="0" w:top="1240" w:bottom="0" w:left="560" w:right="560"/>
          <w:pgNumType w:start="13"/>
        </w:sectPr>
      </w:pPr>
    </w:p>
    <w:p>
      <w:pPr>
        <w:spacing w:line="240" w:lineRule="auto" w:before="2"/>
        <w:rPr>
          <w:sz w:val="12"/>
        </w:rPr>
      </w:pPr>
    </w:p>
    <w:p>
      <w:pPr>
        <w:spacing w:before="45"/>
        <w:ind w:left="160" w:right="0" w:firstLine="0"/>
        <w:jc w:val="left"/>
        <w:rPr>
          <w:sz w:val="28"/>
        </w:rPr>
      </w:pPr>
      <w:r>
        <w:rPr>
          <w:color w:val="000099"/>
          <w:sz w:val="28"/>
        </w:rPr>
        <w:t>MOTION</w:t>
      </w:r>
    </w:p>
    <w:p>
      <w:pPr>
        <w:spacing w:line="240" w:lineRule="auto" w:before="3"/>
        <w:rPr>
          <w:sz w:val="17"/>
        </w:rPr>
      </w:pPr>
    </w:p>
    <w:p>
      <w:pPr>
        <w:spacing w:before="56"/>
        <w:ind w:left="3186" w:right="3185" w:firstLine="856"/>
        <w:jc w:val="left"/>
        <w:rPr>
          <w:sz w:val="22"/>
        </w:rPr>
      </w:pPr>
      <w:r>
        <w:rPr>
          <w:sz w:val="22"/>
        </w:rPr>
        <w:t>Intermodal Transportation Center Property, Liability &amp; Garagekeeper Liability</w:t>
      </w:r>
      <w:r>
        <w:rPr>
          <w:spacing w:val="-23"/>
          <w:sz w:val="22"/>
        </w:rPr>
        <w:t> </w:t>
      </w:r>
      <w:r>
        <w:rPr>
          <w:sz w:val="22"/>
        </w:rPr>
        <w:t>Insurance</w:t>
      </w:r>
    </w:p>
    <w:p>
      <w:pPr>
        <w:spacing w:line="240" w:lineRule="auto" w:before="1"/>
        <w:rPr>
          <w:sz w:val="22"/>
        </w:rPr>
      </w:pPr>
    </w:p>
    <w:p>
      <w:pPr>
        <w:spacing w:before="0"/>
        <w:ind w:left="160" w:right="0" w:firstLine="0"/>
        <w:jc w:val="left"/>
        <w:rPr>
          <w:sz w:val="22"/>
        </w:rPr>
      </w:pPr>
      <w:r>
        <w:rPr>
          <w:sz w:val="22"/>
          <w:u w:val="single"/>
        </w:rPr>
        <w:t>Liability Insurance Renewal – July 1, 2025</w:t>
      </w:r>
    </w:p>
    <w:p>
      <w:pPr>
        <w:spacing w:line="240" w:lineRule="auto" w:before="5"/>
        <w:rPr>
          <w:sz w:val="17"/>
        </w:rPr>
      </w:pPr>
    </w:p>
    <w:p>
      <w:pPr>
        <w:spacing w:before="56"/>
        <w:ind w:left="159" w:right="0" w:firstLine="0"/>
        <w:jc w:val="left"/>
        <w:rPr>
          <w:sz w:val="22"/>
        </w:rPr>
      </w:pPr>
      <w:r>
        <w:rPr>
          <w:sz w:val="22"/>
        </w:rPr>
        <w:t>Jon</w:t>
      </w:r>
      <w:r>
        <w:rPr>
          <w:spacing w:val="-7"/>
          <w:sz w:val="22"/>
        </w:rPr>
        <w:t> </w:t>
      </w:r>
      <w:r>
        <w:rPr>
          <w:sz w:val="22"/>
        </w:rPr>
        <w:t>Maloff</w:t>
      </w:r>
      <w:r>
        <w:rPr>
          <w:spacing w:val="-6"/>
          <w:sz w:val="22"/>
        </w:rPr>
        <w:t> </w:t>
      </w:r>
      <w:r>
        <w:rPr>
          <w:sz w:val="22"/>
        </w:rPr>
        <w:t>will</w:t>
      </w:r>
      <w:r>
        <w:rPr>
          <w:spacing w:val="-7"/>
          <w:sz w:val="22"/>
        </w:rPr>
        <w:t> </w:t>
      </w:r>
      <w:r>
        <w:rPr>
          <w:sz w:val="22"/>
        </w:rPr>
        <w:t>attend</w:t>
      </w:r>
      <w:r>
        <w:rPr>
          <w:spacing w:val="-6"/>
          <w:sz w:val="22"/>
        </w:rPr>
        <w:t> </w:t>
      </w:r>
      <w:r>
        <w:rPr>
          <w:sz w:val="22"/>
        </w:rPr>
        <w:t>the</w:t>
      </w:r>
      <w:r>
        <w:rPr>
          <w:spacing w:val="-5"/>
          <w:sz w:val="22"/>
        </w:rPr>
        <w:t> </w:t>
      </w:r>
      <w:r>
        <w:rPr>
          <w:sz w:val="22"/>
        </w:rPr>
        <w:t>Board</w:t>
      </w:r>
      <w:r>
        <w:rPr>
          <w:spacing w:val="-7"/>
          <w:sz w:val="22"/>
        </w:rPr>
        <w:t> </w:t>
      </w:r>
      <w:r>
        <w:rPr>
          <w:sz w:val="22"/>
        </w:rPr>
        <w:t>Meeting</w:t>
      </w:r>
      <w:r>
        <w:rPr>
          <w:spacing w:val="-6"/>
          <w:sz w:val="22"/>
        </w:rPr>
        <w:t> </w:t>
      </w:r>
      <w:r>
        <w:rPr>
          <w:sz w:val="22"/>
        </w:rPr>
        <w:t>to</w:t>
      </w:r>
      <w:r>
        <w:rPr>
          <w:spacing w:val="-5"/>
          <w:sz w:val="22"/>
        </w:rPr>
        <w:t> </w:t>
      </w:r>
      <w:r>
        <w:rPr>
          <w:sz w:val="22"/>
        </w:rPr>
        <w:t>present</w:t>
      </w:r>
      <w:r>
        <w:rPr>
          <w:spacing w:val="-8"/>
          <w:sz w:val="22"/>
        </w:rPr>
        <w:t> </w:t>
      </w:r>
      <w:r>
        <w:rPr>
          <w:sz w:val="22"/>
        </w:rPr>
        <w:t>the</w:t>
      </w:r>
      <w:r>
        <w:rPr>
          <w:spacing w:val="-5"/>
          <w:sz w:val="22"/>
        </w:rPr>
        <w:t> </w:t>
      </w:r>
      <w:r>
        <w:rPr>
          <w:sz w:val="22"/>
        </w:rPr>
        <w:t>renewal</w:t>
      </w:r>
      <w:r>
        <w:rPr>
          <w:spacing w:val="-7"/>
          <w:sz w:val="22"/>
        </w:rPr>
        <w:t> </w:t>
      </w:r>
      <w:r>
        <w:rPr>
          <w:sz w:val="22"/>
        </w:rPr>
        <w:t>proposal</w:t>
      </w:r>
      <w:r>
        <w:rPr>
          <w:spacing w:val="-6"/>
          <w:sz w:val="22"/>
        </w:rPr>
        <w:t> </w:t>
      </w:r>
      <w:r>
        <w:rPr>
          <w:sz w:val="22"/>
        </w:rPr>
        <w:t>for</w:t>
      </w:r>
      <w:r>
        <w:rPr>
          <w:spacing w:val="-6"/>
          <w:sz w:val="22"/>
        </w:rPr>
        <w:t> </w:t>
      </w:r>
      <w:r>
        <w:rPr>
          <w:sz w:val="22"/>
        </w:rPr>
        <w:t>the</w:t>
      </w:r>
      <w:r>
        <w:rPr>
          <w:spacing w:val="-6"/>
          <w:sz w:val="22"/>
        </w:rPr>
        <w:t> </w:t>
      </w:r>
      <w:r>
        <w:rPr>
          <w:sz w:val="22"/>
        </w:rPr>
        <w:t>ITC</w:t>
      </w:r>
      <w:r>
        <w:rPr>
          <w:spacing w:val="-6"/>
          <w:sz w:val="22"/>
        </w:rPr>
        <w:t> </w:t>
      </w:r>
      <w:r>
        <w:rPr>
          <w:sz w:val="22"/>
        </w:rPr>
        <w:t>property</w:t>
      </w:r>
      <w:r>
        <w:rPr>
          <w:spacing w:val="-6"/>
          <w:sz w:val="22"/>
        </w:rPr>
        <w:t> </w:t>
      </w:r>
      <w:r>
        <w:rPr>
          <w:sz w:val="22"/>
        </w:rPr>
        <w:t>and</w:t>
      </w:r>
      <w:r>
        <w:rPr>
          <w:spacing w:val="-6"/>
          <w:sz w:val="22"/>
        </w:rPr>
        <w:t> </w:t>
      </w:r>
      <w:r>
        <w:rPr>
          <w:sz w:val="22"/>
        </w:rPr>
        <w:t>liability</w:t>
      </w:r>
      <w:r>
        <w:rPr>
          <w:spacing w:val="-5"/>
          <w:sz w:val="22"/>
        </w:rPr>
        <w:t> </w:t>
      </w:r>
      <w:r>
        <w:rPr>
          <w:sz w:val="22"/>
        </w:rPr>
        <w:t>insurance.</w:t>
      </w:r>
      <w:r>
        <w:rPr>
          <w:spacing w:val="-7"/>
          <w:sz w:val="22"/>
        </w:rPr>
        <w:t> </w:t>
      </w:r>
      <w:r>
        <w:rPr>
          <w:sz w:val="22"/>
        </w:rPr>
        <w:t>Our current</w:t>
      </w:r>
      <w:r>
        <w:rPr>
          <w:spacing w:val="-10"/>
          <w:sz w:val="22"/>
        </w:rPr>
        <w:t> </w:t>
      </w:r>
      <w:r>
        <w:rPr>
          <w:sz w:val="22"/>
        </w:rPr>
        <w:t>carrier,</w:t>
      </w:r>
      <w:r>
        <w:rPr>
          <w:spacing w:val="-9"/>
          <w:sz w:val="22"/>
        </w:rPr>
        <w:t> </w:t>
      </w:r>
      <w:r>
        <w:rPr>
          <w:sz w:val="22"/>
        </w:rPr>
        <w:t>Travelers</w:t>
      </w:r>
      <w:r>
        <w:rPr>
          <w:spacing w:val="-10"/>
          <w:sz w:val="22"/>
        </w:rPr>
        <w:t> </w:t>
      </w:r>
      <w:r>
        <w:rPr>
          <w:sz w:val="22"/>
        </w:rPr>
        <w:t>Indemnity</w:t>
      </w:r>
      <w:r>
        <w:rPr>
          <w:spacing w:val="-9"/>
          <w:sz w:val="22"/>
        </w:rPr>
        <w:t> </w:t>
      </w:r>
      <w:r>
        <w:rPr>
          <w:sz w:val="22"/>
        </w:rPr>
        <w:t>Company,</w:t>
      </w:r>
      <w:r>
        <w:rPr>
          <w:spacing w:val="-9"/>
          <w:sz w:val="22"/>
        </w:rPr>
        <w:t> </w:t>
      </w:r>
      <w:r>
        <w:rPr>
          <w:sz w:val="22"/>
        </w:rPr>
        <w:t>offered</w:t>
      </w:r>
      <w:r>
        <w:rPr>
          <w:spacing w:val="-12"/>
          <w:sz w:val="22"/>
        </w:rPr>
        <w:t> </w:t>
      </w:r>
      <w:r>
        <w:rPr>
          <w:sz w:val="22"/>
        </w:rPr>
        <w:t>the</w:t>
      </w:r>
      <w:r>
        <w:rPr>
          <w:spacing w:val="-9"/>
          <w:sz w:val="22"/>
        </w:rPr>
        <w:t> </w:t>
      </w:r>
      <w:r>
        <w:rPr>
          <w:sz w:val="22"/>
        </w:rPr>
        <w:t>most</w:t>
      </w:r>
      <w:r>
        <w:rPr>
          <w:spacing w:val="-11"/>
          <w:sz w:val="22"/>
        </w:rPr>
        <w:t> </w:t>
      </w:r>
      <w:r>
        <w:rPr>
          <w:sz w:val="22"/>
        </w:rPr>
        <w:t>competitive</w:t>
      </w:r>
      <w:r>
        <w:rPr>
          <w:spacing w:val="-9"/>
          <w:sz w:val="22"/>
        </w:rPr>
        <w:t> </w:t>
      </w:r>
      <w:r>
        <w:rPr>
          <w:sz w:val="22"/>
        </w:rPr>
        <w:t>renewal</w:t>
      </w:r>
      <w:r>
        <w:rPr>
          <w:spacing w:val="-9"/>
          <w:sz w:val="22"/>
        </w:rPr>
        <w:t> </w:t>
      </w:r>
      <w:r>
        <w:rPr>
          <w:sz w:val="22"/>
        </w:rPr>
        <w:t>rates.</w:t>
      </w:r>
      <w:r>
        <w:rPr>
          <w:spacing w:val="-10"/>
          <w:sz w:val="22"/>
        </w:rPr>
        <w:t> </w:t>
      </w:r>
      <w:r>
        <w:rPr>
          <w:sz w:val="22"/>
        </w:rPr>
        <w:t>The</w:t>
      </w:r>
      <w:r>
        <w:rPr>
          <w:spacing w:val="-8"/>
          <w:sz w:val="22"/>
        </w:rPr>
        <w:t> </w:t>
      </w:r>
      <w:r>
        <w:rPr>
          <w:sz w:val="22"/>
        </w:rPr>
        <w:t>premium</w:t>
      </w:r>
      <w:r>
        <w:rPr>
          <w:spacing w:val="-9"/>
          <w:sz w:val="22"/>
        </w:rPr>
        <w:t> </w:t>
      </w:r>
      <w:r>
        <w:rPr>
          <w:sz w:val="22"/>
        </w:rPr>
        <w:t>for</w:t>
      </w:r>
      <w:r>
        <w:rPr>
          <w:spacing w:val="-11"/>
          <w:sz w:val="22"/>
        </w:rPr>
        <w:t> </w:t>
      </w:r>
      <w:r>
        <w:rPr>
          <w:sz w:val="22"/>
        </w:rPr>
        <w:t>last</w:t>
      </w:r>
      <w:r>
        <w:rPr>
          <w:spacing w:val="-9"/>
          <w:sz w:val="22"/>
        </w:rPr>
        <w:t> </w:t>
      </w:r>
      <w:r>
        <w:rPr>
          <w:sz w:val="22"/>
        </w:rPr>
        <w:t>year</w:t>
      </w:r>
      <w:r>
        <w:rPr>
          <w:spacing w:val="-9"/>
          <w:sz w:val="22"/>
        </w:rPr>
        <w:t> </w:t>
      </w:r>
      <w:r>
        <w:rPr>
          <w:sz w:val="22"/>
        </w:rPr>
        <w:t>was</w:t>
      </w:r>
    </w:p>
    <w:p>
      <w:pPr>
        <w:spacing w:line="267" w:lineRule="exact" w:before="0"/>
        <w:ind w:left="159" w:right="0" w:firstLine="0"/>
        <w:jc w:val="left"/>
        <w:rPr>
          <w:sz w:val="22"/>
        </w:rPr>
      </w:pPr>
      <w:r>
        <w:rPr>
          <w:sz w:val="22"/>
        </w:rPr>
        <w:t>$121,594, with a projected renewal rate of $131,404 for 2025.</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11"/>
        </w:rPr>
      </w:pPr>
      <w:r>
        <w:rPr/>
        <w:drawing>
          <wp:anchor distT="0" distB="0" distL="0" distR="0" allowOverlap="1" layoutInCell="1" locked="0" behindDoc="0" simplePos="0" relativeHeight="200">
            <wp:simplePos x="0" y="0"/>
            <wp:positionH relativeFrom="page">
              <wp:posOffset>2457767</wp:posOffset>
            </wp:positionH>
            <wp:positionV relativeFrom="paragraph">
              <wp:posOffset>114212</wp:posOffset>
            </wp:positionV>
            <wp:extent cx="2828919" cy="857250"/>
            <wp:effectExtent l="0" t="0" r="0" b="0"/>
            <wp:wrapTopAndBottom/>
            <wp:docPr id="111" name="image50.png"/>
            <wp:cNvGraphicFramePr>
              <a:graphicFrameLocks noChangeAspect="1"/>
            </wp:cNvGraphicFramePr>
            <a:graphic>
              <a:graphicData uri="http://schemas.openxmlformats.org/drawingml/2006/picture">
                <pic:pic>
                  <pic:nvPicPr>
                    <pic:cNvPr id="112" name="image50.png"/>
                    <pic:cNvPicPr/>
                  </pic:nvPicPr>
                  <pic:blipFill>
                    <a:blip r:embed="rId145" cstate="print"/>
                    <a:stretch>
                      <a:fillRect/>
                    </a:stretch>
                  </pic:blipFill>
                  <pic:spPr>
                    <a:xfrm>
                      <a:off x="0" y="0"/>
                      <a:ext cx="2828919" cy="857250"/>
                    </a:xfrm>
                    <a:prstGeom prst="rect">
                      <a:avLst/>
                    </a:prstGeom>
                  </pic:spPr>
                </pic:pic>
              </a:graphicData>
            </a:graphic>
          </wp:anchor>
        </w:drawing>
      </w:r>
    </w:p>
    <w:p>
      <w:pPr>
        <w:spacing w:after="0" w:line="240" w:lineRule="auto"/>
        <w:rPr>
          <w:sz w:val="11"/>
        </w:rPr>
        <w:sectPr>
          <w:headerReference w:type="default" r:id="rId162"/>
          <w:footerReference w:type="default" r:id="rId163"/>
          <w:pgSz w:w="12240" w:h="15840"/>
          <w:pgMar w:header="790" w:footer="0" w:top="1240" w:bottom="0" w:left="560" w:right="560"/>
          <w:pgNumType w:start="14"/>
        </w:sectPr>
      </w:pPr>
    </w:p>
    <w:p>
      <w:pPr>
        <w:spacing w:line="240" w:lineRule="auto" w:before="0"/>
        <w:rPr>
          <w:sz w:val="20"/>
        </w:rPr>
      </w:pPr>
    </w:p>
    <w:p>
      <w:pPr>
        <w:spacing w:after="0" w:line="240" w:lineRule="auto"/>
        <w:rPr>
          <w:sz w:val="20"/>
        </w:rPr>
        <w:sectPr>
          <w:headerReference w:type="default" r:id="rId164"/>
          <w:footerReference w:type="default" r:id="rId165"/>
          <w:pgSz w:w="12240" w:h="15840"/>
          <w:pgMar w:header="790" w:footer="0" w:top="1240" w:bottom="0" w:left="560" w:right="560"/>
          <w:pgNumType w:start="15"/>
        </w:sectPr>
      </w:pPr>
    </w:p>
    <w:p>
      <w:pPr>
        <w:spacing w:before="218"/>
        <w:ind w:left="160" w:right="0" w:firstLine="0"/>
        <w:jc w:val="left"/>
        <w:rPr>
          <w:sz w:val="28"/>
        </w:rPr>
      </w:pPr>
      <w:r>
        <w:rPr>
          <w:color w:val="000099"/>
          <w:sz w:val="28"/>
        </w:rPr>
        <w:t>MOTION</w:t>
      </w:r>
    </w:p>
    <w:p>
      <w:pPr>
        <w:spacing w:line="240" w:lineRule="auto" w:before="0"/>
        <w:rPr>
          <w:sz w:val="22"/>
        </w:rPr>
      </w:pPr>
      <w:r>
        <w:rPr/>
        <w:br w:type="column"/>
      </w:r>
      <w:r>
        <w:rPr>
          <w:sz w:val="22"/>
        </w:rPr>
      </w:r>
    </w:p>
    <w:p>
      <w:pPr>
        <w:spacing w:line="240" w:lineRule="auto" w:before="0"/>
        <w:rPr>
          <w:sz w:val="22"/>
        </w:rPr>
      </w:pPr>
    </w:p>
    <w:p>
      <w:pPr>
        <w:spacing w:before="167"/>
        <w:ind w:left="1436" w:right="3212" w:hanging="1277"/>
        <w:jc w:val="left"/>
        <w:rPr>
          <w:sz w:val="22"/>
        </w:rPr>
      </w:pPr>
      <w:r>
        <w:rPr>
          <w:sz w:val="22"/>
        </w:rPr>
        <w:t>Central New York Regional Transportation Authority Workers Compensation</w:t>
      </w:r>
    </w:p>
    <w:p>
      <w:pPr>
        <w:spacing w:after="0"/>
        <w:jc w:val="left"/>
        <w:rPr>
          <w:sz w:val="22"/>
        </w:rPr>
        <w:sectPr>
          <w:type w:val="continuous"/>
          <w:pgSz w:w="12240" w:h="15840"/>
          <w:pgMar w:top="180" w:bottom="280" w:left="560" w:right="560"/>
          <w:cols w:num="2" w:equalWidth="0">
            <w:col w:w="1200" w:space="1869"/>
            <w:col w:w="8051"/>
          </w:cols>
        </w:sectPr>
      </w:pPr>
    </w:p>
    <w:p>
      <w:pPr>
        <w:spacing w:line="240" w:lineRule="auto" w:before="6"/>
        <w:rPr>
          <w:sz w:val="17"/>
        </w:rPr>
      </w:pPr>
    </w:p>
    <w:p>
      <w:pPr>
        <w:spacing w:before="56"/>
        <w:ind w:left="160" w:right="0" w:firstLine="0"/>
        <w:jc w:val="left"/>
        <w:rPr>
          <w:sz w:val="22"/>
        </w:rPr>
      </w:pPr>
      <w:r>
        <w:rPr>
          <w:sz w:val="22"/>
          <w:u w:val="single"/>
        </w:rPr>
        <w:t>Worker’s Compensation Renewal – August 1, 2025</w:t>
      </w:r>
    </w:p>
    <w:p>
      <w:pPr>
        <w:spacing w:line="240" w:lineRule="auto" w:before="5"/>
        <w:rPr>
          <w:sz w:val="17"/>
        </w:rPr>
      </w:pPr>
    </w:p>
    <w:p>
      <w:pPr>
        <w:spacing w:line="240" w:lineRule="auto" w:before="56"/>
        <w:ind w:left="160" w:right="156" w:firstLine="0"/>
        <w:jc w:val="both"/>
        <w:rPr>
          <w:sz w:val="22"/>
        </w:rPr>
      </w:pPr>
      <w:r>
        <w:rPr>
          <w:sz w:val="22"/>
        </w:rPr>
        <w:t>Centro entered into a policy with Travelers Insurance Group on August 1, 2015, to administer and manage CNYRTA worker’s compensation program. The policy is a deductible program, wherein we are responsible for the first $150,000 per claim. Each year of the plan closes out after five years. The insurance carrier, Travelers, is then responsible for all the claim payments thereafter. Doug Cronin from Crown Risk Management will be present at the board meeting to present the renewal rates for August 1, 2025.</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15"/>
        </w:rPr>
      </w:pPr>
      <w:r>
        <w:rPr/>
        <w:drawing>
          <wp:anchor distT="0" distB="0" distL="0" distR="0" allowOverlap="1" layoutInCell="1" locked="0" behindDoc="0" simplePos="0" relativeHeight="201">
            <wp:simplePos x="0" y="0"/>
            <wp:positionH relativeFrom="page">
              <wp:posOffset>2457767</wp:posOffset>
            </wp:positionH>
            <wp:positionV relativeFrom="paragraph">
              <wp:posOffset>144063</wp:posOffset>
            </wp:positionV>
            <wp:extent cx="2828919" cy="857250"/>
            <wp:effectExtent l="0" t="0" r="0" b="0"/>
            <wp:wrapTopAndBottom/>
            <wp:docPr id="113" name="image50.png"/>
            <wp:cNvGraphicFramePr>
              <a:graphicFrameLocks noChangeAspect="1"/>
            </wp:cNvGraphicFramePr>
            <a:graphic>
              <a:graphicData uri="http://schemas.openxmlformats.org/drawingml/2006/picture">
                <pic:pic>
                  <pic:nvPicPr>
                    <pic:cNvPr id="114" name="image50.png"/>
                    <pic:cNvPicPr/>
                  </pic:nvPicPr>
                  <pic:blipFill>
                    <a:blip r:embed="rId145" cstate="print"/>
                    <a:stretch>
                      <a:fillRect/>
                    </a:stretch>
                  </pic:blipFill>
                  <pic:spPr>
                    <a:xfrm>
                      <a:off x="0" y="0"/>
                      <a:ext cx="2828919" cy="857250"/>
                    </a:xfrm>
                    <a:prstGeom prst="rect">
                      <a:avLst/>
                    </a:prstGeom>
                  </pic:spPr>
                </pic:pic>
              </a:graphicData>
            </a:graphic>
          </wp:anchor>
        </w:drawing>
      </w:r>
    </w:p>
    <w:p>
      <w:pPr>
        <w:spacing w:after="0" w:line="240" w:lineRule="auto"/>
        <w:rPr>
          <w:sz w:val="15"/>
        </w:rPr>
        <w:sectPr>
          <w:type w:val="continuous"/>
          <w:pgSz w:w="12240" w:h="15840"/>
          <w:pgMar w:top="180" w:bottom="280" w:left="560" w:right="56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1"/>
        </w:rPr>
      </w:pPr>
    </w:p>
    <w:p>
      <w:pPr>
        <w:spacing w:before="79"/>
        <w:ind w:left="142" w:right="152" w:firstLine="0"/>
        <w:jc w:val="center"/>
        <w:rPr>
          <w:rFonts w:ascii="Times New Roman"/>
          <w:sz w:val="48"/>
        </w:rPr>
      </w:pPr>
      <w:r>
        <w:rPr/>
        <w:pict>
          <v:group style="position:absolute;margin-left:62.520004pt;margin-top:-269.203735pt;width:485.9pt;height:593.9pt;mso-position-horizontal-relative:page;mso-position-vertical-relative:paragraph;z-index:-266833920" coordorigin="1250,-5384" coordsize="9718,11878">
            <v:shape style="position:absolute;left:1250;top:-5385;width:58;height:11878" coordorigin="1250,-5384" coordsize="58,11878" path="m1308,6474l1250,6474,1250,6494,1308,6494,1308,6474m1308,-5362l1289,-5362,1289,-5343,1308,-5343,1308,-5362m1308,-5384l1250,-5384,1250,-5382,1308,-5382,1308,-5384e" filled="true" fillcolor="#000000" stroked="false">
              <v:path arrowok="t"/>
              <v:fill type="solid"/>
            </v:shape>
            <v:line style="position:absolute" from="1260,-5384" to="1260,6494" stroked="true" strokeweight=".959999pt" strokecolor="#000000">
              <v:stroke dashstyle="solid"/>
            </v:line>
            <v:line style="position:absolute" from="1298,-5362" to="1298,6455" stroked="true" strokeweight=".959999pt" strokecolor="#000000">
              <v:stroke dashstyle="solid"/>
            </v:line>
            <v:line style="position:absolute" from="10920,-5362" to="10920,6455" stroked="true" strokeweight=".960023pt" strokecolor="#000000">
              <v:stroke dashstyle="solid"/>
            </v:line>
            <v:line style="position:absolute" from="10958,-5384" to="10958,6494" stroked="true" strokeweight=".960022pt" strokecolor="#000000">
              <v:stroke dashstyle="solid"/>
            </v:line>
            <v:line style="position:absolute" from="1308,-5383" to="10968,-5383" stroked="true" strokeweight=".120003pt" strokecolor="#000000">
              <v:stroke dashstyle="solid"/>
            </v:line>
            <v:line style="position:absolute" from="1308,-5353" to="10910,-5353" stroked="true" strokeweight=".959999pt" strokecolor="#000000">
              <v:stroke dashstyle="solid"/>
            </v:line>
            <v:rect style="position:absolute;left:10910;top:6474;width:58;height:20" filled="true" fillcolor="#000000" stroked="false">
              <v:fill type="solid"/>
            </v:rect>
            <v:line style="position:absolute" from="1308,6446" to="10930,6446" stroked="true" strokeweight=".960022pt" strokecolor="#000000">
              <v:stroke dashstyle="solid"/>
            </v:line>
            <v:line style="position:absolute" from="1308,6484" to="10910,6484" stroked="true" strokeweight=".960022pt" strokecolor="#000000">
              <v:stroke dashstyle="solid"/>
            </v:line>
            <v:shape style="position:absolute;left:4327;top:4237;width:3394;height:1018" type="#_x0000_t75" stroked="false">
              <v:imagedata r:id="rId168" o:title=""/>
            </v:shape>
            <v:shape style="position:absolute;left:3494;top:-4065;width:5242;height:1709" type="#_x0000_t75" stroked="false">
              <v:imagedata r:id="rId169" o:title=""/>
            </v:shape>
            <w10:wrap type="none"/>
          </v:group>
        </w:pict>
      </w:r>
      <w:bookmarkStart w:name="HR CENTRO 2025-2026 WC Proposal" w:id="50"/>
      <w:bookmarkEnd w:id="50"/>
      <w:r>
        <w:rPr/>
      </w:r>
      <w:r>
        <w:rPr>
          <w:rFonts w:ascii="Times New Roman"/>
          <w:color w:val="FF9900"/>
          <w:sz w:val="48"/>
        </w:rPr>
        <w:t>Workers' Compensation Proposal</w:t>
      </w:r>
    </w:p>
    <w:p>
      <w:pPr>
        <w:pStyle w:val="BodyText"/>
        <w:rPr>
          <w:sz w:val="52"/>
        </w:rPr>
      </w:pPr>
    </w:p>
    <w:p>
      <w:pPr>
        <w:pStyle w:val="Heading2"/>
        <w:spacing w:before="316"/>
        <w:ind w:left="3221" w:right="3227"/>
        <w:jc w:val="center"/>
        <w:rPr>
          <w:rFonts w:ascii="Times New Roman"/>
        </w:rPr>
      </w:pPr>
      <w:r>
        <w:rPr>
          <w:rFonts w:ascii="Times New Roman"/>
          <w:color w:val="FF9900"/>
        </w:rPr>
        <w:t>8/1/2025 - 8/1/2026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Heading7"/>
        <w:spacing w:before="1"/>
        <w:ind w:left="3227" w:right="3227"/>
      </w:pPr>
      <w:r>
        <w:rPr/>
        <w:t>Presented By:</w:t>
      </w:r>
    </w:p>
    <w:p>
      <w:pPr>
        <w:spacing w:after="0"/>
        <w:sectPr>
          <w:headerReference w:type="default" r:id="rId166"/>
          <w:footerReference w:type="default" r:id="rId167"/>
          <w:pgSz w:w="12240" w:h="15840"/>
          <w:pgMar w:header="0" w:footer="0" w:top="1080" w:bottom="280" w:left="560" w:right="560"/>
        </w:sectPr>
      </w:pPr>
    </w:p>
    <w:p>
      <w:pPr>
        <w:pStyle w:val="BodyText"/>
        <w:rPr>
          <w:b/>
          <w:sz w:val="20"/>
        </w:rPr>
      </w:pPr>
      <w:r>
        <w:rPr/>
        <w:pict>
          <v:group style="position:absolute;margin-left:81.480003pt;margin-top:53.040001pt;width:448.1pt;height:80.650pt;mso-position-horizontal-relative:page;mso-position-vertical-relative:page;z-index:-266832896" coordorigin="1630,1061" coordsize="8962,1613">
            <v:shape style="position:absolute;left:1629;top:1060;width:58;height:1613" coordorigin="1630,1061" coordsize="58,1613" path="m1687,2654l1630,2654,1630,2674,1687,2674,1687,2654m1687,1099l1668,1099,1668,1118,1687,1118,1687,1099m1687,1061l1630,1061,1630,1080,1687,1080,1687,1061e" filled="true" fillcolor="#000000" stroked="false">
              <v:path arrowok="t"/>
              <v:fill type="solid"/>
            </v:shape>
            <v:line style="position:absolute" from="1639,1061" to="1639,2674" stroked="true" strokeweight=".959999pt" strokecolor="#000000">
              <v:stroke dashstyle="solid"/>
            </v:line>
            <v:line style="position:absolute" from="1678,1099" to="1678,2635" stroked="true" strokeweight=".960005pt" strokecolor="#000000">
              <v:stroke dashstyle="solid"/>
            </v:line>
            <v:line style="position:absolute" from="10543,1099" to="10543,2635" stroked="true" strokeweight=".960023pt" strokecolor="#000000">
              <v:stroke dashstyle="solid"/>
            </v:line>
            <v:line style="position:absolute" from="10582,1061" to="10582,2674" stroked="true" strokeweight=".960022pt" strokecolor="#000000">
              <v:stroke dashstyle="solid"/>
            </v:line>
            <v:line style="position:absolute" from="1687,1070" to="10591,1070" stroked="true" strokeweight=".959999pt" strokecolor="#000000">
              <v:stroke dashstyle="solid"/>
            </v:line>
            <v:line style="position:absolute" from="1687,1109" to="10534,1109" stroked="true" strokeweight=".959999pt" strokecolor="#000000">
              <v:stroke dashstyle="solid"/>
            </v:line>
            <v:rect style="position:absolute;left:10533;top:2654;width:58;height:20" filled="true" fillcolor="#000000" stroked="false">
              <v:fill type="solid"/>
            </v:rect>
            <v:line style="position:absolute" from="1687,2626" to="10553,2626" stroked="true" strokeweight=".959999pt" strokecolor="#000000">
              <v:stroke dashstyle="solid"/>
            </v:line>
            <v:line style="position:absolute" from="1687,2664" to="10534,2664" stroked="true" strokeweight=".959999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8"/>
        </w:rPr>
      </w:pPr>
    </w:p>
    <w:tbl>
      <w:tblPr>
        <w:tblW w:w="0" w:type="auto"/>
        <w:jc w:val="left"/>
        <w:tblInd w:w="2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2"/>
        <w:gridCol w:w="4149"/>
      </w:tblGrid>
      <w:tr>
        <w:trPr>
          <w:trHeight w:val="469" w:hRule="atLeast"/>
        </w:trPr>
        <w:tc>
          <w:tcPr>
            <w:tcW w:w="462" w:type="dxa"/>
          </w:tcPr>
          <w:p>
            <w:pPr>
              <w:pStyle w:val="TableParagraph"/>
              <w:spacing w:line="267" w:lineRule="exact"/>
              <w:ind w:left="50"/>
              <w:rPr>
                <w:rFonts w:ascii="Times New Roman"/>
                <w:sz w:val="24"/>
              </w:rPr>
            </w:pPr>
            <w:r>
              <w:rPr>
                <w:rFonts w:ascii="Times New Roman"/>
                <w:w w:val="200"/>
                <w:sz w:val="24"/>
              </w:rPr>
              <w:t>z</w:t>
            </w:r>
          </w:p>
        </w:tc>
        <w:tc>
          <w:tcPr>
            <w:tcW w:w="4149" w:type="dxa"/>
          </w:tcPr>
          <w:p>
            <w:pPr>
              <w:pStyle w:val="TableParagraph"/>
              <w:spacing w:line="267" w:lineRule="exact"/>
              <w:ind w:left="197"/>
              <w:rPr>
                <w:rFonts w:ascii="Times New Roman"/>
                <w:b/>
                <w:sz w:val="24"/>
              </w:rPr>
            </w:pPr>
            <w:r>
              <w:rPr>
                <w:rFonts w:ascii="Times New Roman"/>
                <w:b/>
                <w:sz w:val="24"/>
              </w:rPr>
              <w:t>Named Insureds</w:t>
            </w:r>
          </w:p>
        </w:tc>
      </w:tr>
      <w:tr>
        <w:trPr>
          <w:trHeight w:val="671" w:hRule="atLeast"/>
        </w:trPr>
        <w:tc>
          <w:tcPr>
            <w:tcW w:w="462" w:type="dxa"/>
          </w:tcPr>
          <w:p>
            <w:pPr>
              <w:pStyle w:val="TableParagraph"/>
              <w:spacing w:before="193"/>
              <w:ind w:left="50"/>
              <w:rPr>
                <w:rFonts w:ascii="Times New Roman"/>
                <w:sz w:val="24"/>
              </w:rPr>
            </w:pPr>
            <w:r>
              <w:rPr>
                <w:rFonts w:ascii="Times New Roman"/>
                <w:w w:val="200"/>
                <w:sz w:val="24"/>
              </w:rPr>
              <w:t>z</w:t>
            </w:r>
          </w:p>
        </w:tc>
        <w:tc>
          <w:tcPr>
            <w:tcW w:w="4149" w:type="dxa"/>
          </w:tcPr>
          <w:p>
            <w:pPr>
              <w:pStyle w:val="TableParagraph"/>
              <w:spacing w:before="193"/>
              <w:ind w:left="197"/>
              <w:rPr>
                <w:rFonts w:ascii="Times New Roman"/>
                <w:b/>
                <w:sz w:val="24"/>
              </w:rPr>
            </w:pPr>
            <w:r>
              <w:rPr>
                <w:rFonts w:ascii="Times New Roman"/>
                <w:b/>
                <w:sz w:val="24"/>
              </w:rPr>
              <w:t>Markets Contacted</w:t>
            </w:r>
          </w:p>
        </w:tc>
      </w:tr>
      <w:tr>
        <w:trPr>
          <w:trHeight w:val="672" w:hRule="atLeast"/>
        </w:trPr>
        <w:tc>
          <w:tcPr>
            <w:tcW w:w="462" w:type="dxa"/>
          </w:tcPr>
          <w:p>
            <w:pPr>
              <w:pStyle w:val="TableParagraph"/>
              <w:spacing w:before="193"/>
              <w:ind w:left="50"/>
              <w:rPr>
                <w:rFonts w:ascii="Times New Roman"/>
                <w:sz w:val="24"/>
              </w:rPr>
            </w:pPr>
            <w:r>
              <w:rPr>
                <w:rFonts w:ascii="Times New Roman"/>
                <w:w w:val="200"/>
                <w:sz w:val="24"/>
              </w:rPr>
              <w:t>z</w:t>
            </w:r>
          </w:p>
        </w:tc>
        <w:tc>
          <w:tcPr>
            <w:tcW w:w="4149" w:type="dxa"/>
          </w:tcPr>
          <w:p>
            <w:pPr>
              <w:pStyle w:val="TableParagraph"/>
              <w:spacing w:before="193"/>
              <w:ind w:left="197"/>
              <w:rPr>
                <w:rFonts w:ascii="Times New Roman"/>
                <w:b/>
                <w:sz w:val="24"/>
              </w:rPr>
            </w:pPr>
            <w:r>
              <w:rPr>
                <w:rFonts w:ascii="Times New Roman"/>
                <w:b/>
                <w:sz w:val="24"/>
              </w:rPr>
              <w:t>Payroll/Claim Comparison</w:t>
            </w:r>
          </w:p>
        </w:tc>
      </w:tr>
      <w:tr>
        <w:trPr>
          <w:trHeight w:val="672" w:hRule="atLeast"/>
        </w:trPr>
        <w:tc>
          <w:tcPr>
            <w:tcW w:w="462" w:type="dxa"/>
          </w:tcPr>
          <w:p>
            <w:pPr>
              <w:pStyle w:val="TableParagraph"/>
              <w:spacing w:before="193"/>
              <w:ind w:left="50"/>
              <w:rPr>
                <w:rFonts w:ascii="Times New Roman"/>
                <w:sz w:val="24"/>
              </w:rPr>
            </w:pPr>
            <w:r>
              <w:rPr>
                <w:rFonts w:ascii="Times New Roman"/>
                <w:w w:val="200"/>
                <w:sz w:val="24"/>
              </w:rPr>
              <w:t>z</w:t>
            </w:r>
          </w:p>
        </w:tc>
        <w:tc>
          <w:tcPr>
            <w:tcW w:w="4149" w:type="dxa"/>
          </w:tcPr>
          <w:p>
            <w:pPr>
              <w:pStyle w:val="TableParagraph"/>
              <w:spacing w:before="193"/>
              <w:ind w:left="197"/>
              <w:rPr>
                <w:rFonts w:ascii="Times New Roman"/>
                <w:b/>
                <w:sz w:val="24"/>
              </w:rPr>
            </w:pPr>
            <w:r>
              <w:rPr>
                <w:rFonts w:ascii="Times New Roman"/>
                <w:b/>
                <w:sz w:val="24"/>
              </w:rPr>
              <w:t>Claim Expense Analysis</w:t>
            </w:r>
          </w:p>
        </w:tc>
      </w:tr>
      <w:tr>
        <w:trPr>
          <w:trHeight w:val="469" w:hRule="atLeast"/>
        </w:trPr>
        <w:tc>
          <w:tcPr>
            <w:tcW w:w="462" w:type="dxa"/>
          </w:tcPr>
          <w:p>
            <w:pPr>
              <w:pStyle w:val="TableParagraph"/>
              <w:spacing w:line="256" w:lineRule="exact" w:before="193"/>
              <w:ind w:left="50"/>
              <w:rPr>
                <w:rFonts w:ascii="Times New Roman"/>
                <w:sz w:val="24"/>
              </w:rPr>
            </w:pPr>
            <w:r>
              <w:rPr>
                <w:rFonts w:ascii="Times New Roman"/>
                <w:w w:val="200"/>
                <w:sz w:val="24"/>
              </w:rPr>
              <w:t>z</w:t>
            </w:r>
          </w:p>
        </w:tc>
        <w:tc>
          <w:tcPr>
            <w:tcW w:w="4149" w:type="dxa"/>
          </w:tcPr>
          <w:p>
            <w:pPr>
              <w:pStyle w:val="TableParagraph"/>
              <w:spacing w:line="256" w:lineRule="exact" w:before="193"/>
              <w:ind w:left="197"/>
              <w:rPr>
                <w:rFonts w:ascii="Times New Roman"/>
                <w:b/>
                <w:sz w:val="24"/>
              </w:rPr>
            </w:pPr>
            <w:r>
              <w:rPr>
                <w:rFonts w:ascii="Times New Roman"/>
                <w:b/>
                <w:sz w:val="24"/>
              </w:rPr>
              <w:t>Travelers Renewal - $150k Deductible</w:t>
            </w:r>
          </w:p>
        </w:tc>
      </w:tr>
    </w:tbl>
    <w:p>
      <w:pPr>
        <w:spacing w:after="0" w:line="256" w:lineRule="exact"/>
        <w:rPr>
          <w:rFonts w:ascii="Times New Roman"/>
          <w:sz w:val="24"/>
        </w:rPr>
        <w:sectPr>
          <w:headerReference w:type="default" r:id="rId170"/>
          <w:footerReference w:type="default" r:id="rId171"/>
          <w:pgSz w:w="12240" w:h="15840"/>
          <w:pgMar w:header="1628" w:footer="0" w:top="2100" w:bottom="280" w:left="560" w:right="560"/>
        </w:sectPr>
      </w:pPr>
    </w:p>
    <w:p>
      <w:pPr>
        <w:pStyle w:val="BodyText"/>
        <w:rPr>
          <w:b/>
          <w:sz w:val="20"/>
        </w:rPr>
      </w:pPr>
      <w:r>
        <w:rPr/>
        <w:pict>
          <v:group style="position:absolute;margin-left:68.879997pt;margin-top:53.040001pt;width:473.3pt;height:82.1pt;mso-position-horizontal-relative:page;mso-position-vertical-relative:page;z-index:-266831872" coordorigin="1378,1061" coordsize="9466,1642">
            <v:shape style="position:absolute;left:1377;top:1060;width:58;height:1642" coordorigin="1378,1061" coordsize="58,1642" path="m1435,2683l1378,2683,1378,2702,1435,2702,1435,2683m1435,1099l1416,1099,1416,1118,1435,1118,1435,1099m1435,1061l1378,1061,1378,1080,1435,1080,1435,1061e" filled="true" fillcolor="#000000" stroked="false">
              <v:path arrowok="t"/>
              <v:fill type="solid"/>
            </v:shape>
            <v:line style="position:absolute" from="1387,1061" to="1387,2702" stroked="true" strokeweight=".960005pt" strokecolor="#000000">
              <v:stroke dashstyle="solid"/>
            </v:line>
            <v:line style="position:absolute" from="1426,1099" to="1426,2664" stroked="true" strokeweight=".959999pt" strokecolor="#000000">
              <v:stroke dashstyle="solid"/>
            </v:line>
            <v:line style="position:absolute" from="10795,1099" to="10795,2664" stroked="true" strokeweight=".960022pt" strokecolor="#000000">
              <v:stroke dashstyle="solid"/>
            </v:line>
            <v:line style="position:absolute" from="10834,1061" to="10834,2702" stroked="true" strokeweight=".960022pt" strokecolor="#000000">
              <v:stroke dashstyle="solid"/>
            </v:line>
            <v:line style="position:absolute" from="1435,1070" to="10843,1070" stroked="true" strokeweight=".959999pt" strokecolor="#000000">
              <v:stroke dashstyle="solid"/>
            </v:line>
            <v:line style="position:absolute" from="1435,1109" to="10786,1109" stroked="true" strokeweight=".959999pt" strokecolor="#000000">
              <v:stroke dashstyle="solid"/>
            </v:line>
            <v:rect style="position:absolute;left:10785;top:2683;width:58;height:20" filled="true" fillcolor="#000000" stroked="false">
              <v:fill type="solid"/>
            </v:rect>
            <v:line style="position:absolute" from="1435,2654" to="10805,2654" stroked="true" strokeweight=".959999pt" strokecolor="#000000">
              <v:stroke dashstyle="solid"/>
            </v:line>
            <v:line style="position:absolute" from="1435,2693" to="10786,2693" stroked="true" strokeweight=".959999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3"/>
        </w:rPr>
      </w:pPr>
    </w:p>
    <w:tbl>
      <w:tblPr>
        <w:tblW w:w="0" w:type="auto"/>
        <w:jc w:val="left"/>
        <w:tblInd w:w="1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2"/>
        <w:gridCol w:w="4742"/>
        <w:gridCol w:w="2542"/>
      </w:tblGrid>
      <w:tr>
        <w:trPr>
          <w:trHeight w:val="416" w:hRule="atLeast"/>
        </w:trPr>
        <w:tc>
          <w:tcPr>
            <w:tcW w:w="462" w:type="dxa"/>
          </w:tcPr>
          <w:p>
            <w:pPr>
              <w:pStyle w:val="TableParagraph"/>
              <w:rPr>
                <w:rFonts w:ascii="Times New Roman"/>
                <w:sz w:val="24"/>
              </w:rPr>
            </w:pPr>
          </w:p>
        </w:tc>
        <w:tc>
          <w:tcPr>
            <w:tcW w:w="4742" w:type="dxa"/>
          </w:tcPr>
          <w:p>
            <w:pPr>
              <w:pStyle w:val="TableParagraph"/>
              <w:spacing w:line="265" w:lineRule="exact"/>
              <w:ind w:left="1407"/>
              <w:rPr>
                <w:rFonts w:ascii="Times New Roman"/>
                <w:b/>
                <w:sz w:val="24"/>
              </w:rPr>
            </w:pPr>
            <w:r>
              <w:rPr>
                <w:rFonts w:ascii="Times New Roman"/>
                <w:b/>
                <w:spacing w:val="-173"/>
                <w:sz w:val="24"/>
                <w:u w:val="thick"/>
              </w:rPr>
              <w:t>C</w:t>
            </w:r>
            <w:r>
              <w:rPr>
                <w:rFonts w:ascii="Times New Roman"/>
                <w:b/>
                <w:spacing w:val="115"/>
                <w:sz w:val="24"/>
              </w:rPr>
              <w:t> </w:t>
            </w:r>
            <w:r>
              <w:rPr>
                <w:rFonts w:ascii="Times New Roman"/>
                <w:b/>
                <w:sz w:val="24"/>
                <w:u w:val="thick"/>
              </w:rPr>
              <w:t>orporation</w:t>
            </w:r>
          </w:p>
        </w:tc>
        <w:tc>
          <w:tcPr>
            <w:tcW w:w="2542" w:type="dxa"/>
          </w:tcPr>
          <w:p>
            <w:pPr>
              <w:pStyle w:val="TableParagraph"/>
              <w:spacing w:line="265" w:lineRule="exact"/>
              <w:ind w:left="1335"/>
              <w:rPr>
                <w:rFonts w:ascii="Times New Roman"/>
                <w:b/>
                <w:sz w:val="24"/>
              </w:rPr>
            </w:pPr>
            <w:r>
              <w:rPr>
                <w:rFonts w:ascii="Times New Roman"/>
                <w:b/>
                <w:spacing w:val="-147"/>
                <w:sz w:val="24"/>
                <w:u w:val="thick"/>
              </w:rPr>
              <w:t>F</w:t>
            </w:r>
            <w:r>
              <w:rPr>
                <w:rFonts w:ascii="Times New Roman"/>
                <w:b/>
                <w:spacing w:val="87"/>
                <w:sz w:val="24"/>
              </w:rPr>
              <w:t> </w:t>
            </w:r>
            <w:r>
              <w:rPr>
                <w:rFonts w:ascii="Times New Roman"/>
                <w:b/>
                <w:sz w:val="24"/>
                <w:u w:val="thick"/>
              </w:rPr>
              <w:t>EIN</w:t>
            </w:r>
          </w:p>
        </w:tc>
      </w:tr>
      <w:tr>
        <w:trPr>
          <w:trHeight w:val="598" w:hRule="atLeast"/>
        </w:trPr>
        <w:tc>
          <w:tcPr>
            <w:tcW w:w="462" w:type="dxa"/>
          </w:tcPr>
          <w:p>
            <w:pPr>
              <w:pStyle w:val="TableParagraph"/>
              <w:spacing w:before="142"/>
              <w:ind w:left="50"/>
              <w:rPr>
                <w:rFonts w:ascii="Times New Roman"/>
                <w:sz w:val="24"/>
              </w:rPr>
            </w:pPr>
            <w:r>
              <w:rPr>
                <w:rFonts w:ascii="Times New Roman"/>
                <w:w w:val="200"/>
                <w:sz w:val="24"/>
              </w:rPr>
              <w:t>z</w:t>
            </w:r>
          </w:p>
        </w:tc>
        <w:tc>
          <w:tcPr>
            <w:tcW w:w="4742" w:type="dxa"/>
          </w:tcPr>
          <w:p>
            <w:pPr>
              <w:pStyle w:val="TableParagraph"/>
              <w:spacing w:before="142"/>
              <w:ind w:left="197"/>
              <w:rPr>
                <w:rFonts w:ascii="Times New Roman"/>
                <w:sz w:val="24"/>
              </w:rPr>
            </w:pPr>
            <w:r>
              <w:rPr>
                <w:rFonts w:ascii="Times New Roman"/>
                <w:sz w:val="24"/>
              </w:rPr>
              <w:t>CENTRO</w:t>
            </w:r>
          </w:p>
        </w:tc>
        <w:tc>
          <w:tcPr>
            <w:tcW w:w="2542" w:type="dxa"/>
          </w:tcPr>
          <w:p>
            <w:pPr>
              <w:pStyle w:val="TableParagraph"/>
              <w:spacing w:before="142"/>
              <w:ind w:left="1333"/>
              <w:rPr>
                <w:rFonts w:ascii="Times New Roman"/>
                <w:sz w:val="24"/>
              </w:rPr>
            </w:pPr>
            <w:r>
              <w:rPr>
                <w:rFonts w:ascii="Times New Roman"/>
                <w:sz w:val="24"/>
              </w:rPr>
              <w:t>16-0980956</w:t>
            </w:r>
          </w:p>
        </w:tc>
      </w:tr>
      <w:tr>
        <w:trPr>
          <w:trHeight w:val="628" w:hRule="atLeast"/>
        </w:trPr>
        <w:tc>
          <w:tcPr>
            <w:tcW w:w="462" w:type="dxa"/>
          </w:tcPr>
          <w:p>
            <w:pPr>
              <w:pStyle w:val="TableParagraph"/>
              <w:spacing w:before="172"/>
              <w:ind w:left="50"/>
              <w:rPr>
                <w:rFonts w:ascii="Times New Roman"/>
                <w:sz w:val="24"/>
              </w:rPr>
            </w:pPr>
            <w:r>
              <w:rPr>
                <w:rFonts w:ascii="Times New Roman"/>
                <w:w w:val="200"/>
                <w:sz w:val="24"/>
              </w:rPr>
              <w:t>z</w:t>
            </w:r>
          </w:p>
        </w:tc>
        <w:tc>
          <w:tcPr>
            <w:tcW w:w="4742" w:type="dxa"/>
          </w:tcPr>
          <w:p>
            <w:pPr>
              <w:pStyle w:val="TableParagraph"/>
              <w:spacing w:before="172"/>
              <w:ind w:left="197"/>
              <w:rPr>
                <w:rFonts w:ascii="Times New Roman"/>
                <w:sz w:val="24"/>
              </w:rPr>
            </w:pPr>
            <w:r>
              <w:rPr>
                <w:rFonts w:ascii="Times New Roman"/>
                <w:sz w:val="24"/>
              </w:rPr>
              <w:t>CNY Centro, Inc.</w:t>
            </w:r>
          </w:p>
        </w:tc>
        <w:tc>
          <w:tcPr>
            <w:tcW w:w="2542" w:type="dxa"/>
          </w:tcPr>
          <w:p>
            <w:pPr>
              <w:pStyle w:val="TableParagraph"/>
              <w:spacing w:before="172"/>
              <w:ind w:left="1333"/>
              <w:rPr>
                <w:rFonts w:ascii="Times New Roman"/>
                <w:sz w:val="24"/>
              </w:rPr>
            </w:pPr>
            <w:r>
              <w:rPr>
                <w:rFonts w:ascii="Times New Roman"/>
                <w:sz w:val="24"/>
              </w:rPr>
              <w:t>16-0987028</w:t>
            </w:r>
          </w:p>
        </w:tc>
      </w:tr>
      <w:tr>
        <w:trPr>
          <w:trHeight w:val="628" w:hRule="atLeast"/>
        </w:trPr>
        <w:tc>
          <w:tcPr>
            <w:tcW w:w="462" w:type="dxa"/>
          </w:tcPr>
          <w:p>
            <w:pPr>
              <w:pStyle w:val="TableParagraph"/>
              <w:spacing w:before="172"/>
              <w:ind w:left="50"/>
              <w:rPr>
                <w:rFonts w:ascii="Times New Roman"/>
                <w:sz w:val="24"/>
              </w:rPr>
            </w:pPr>
            <w:r>
              <w:rPr>
                <w:rFonts w:ascii="Times New Roman"/>
                <w:w w:val="200"/>
                <w:sz w:val="24"/>
              </w:rPr>
              <w:t>z</w:t>
            </w:r>
          </w:p>
        </w:tc>
        <w:tc>
          <w:tcPr>
            <w:tcW w:w="4742" w:type="dxa"/>
          </w:tcPr>
          <w:p>
            <w:pPr>
              <w:pStyle w:val="TableParagraph"/>
              <w:spacing w:before="172"/>
              <w:ind w:left="197"/>
              <w:rPr>
                <w:rFonts w:ascii="Times New Roman"/>
                <w:sz w:val="24"/>
              </w:rPr>
            </w:pPr>
            <w:r>
              <w:rPr>
                <w:rFonts w:ascii="Times New Roman"/>
                <w:sz w:val="24"/>
              </w:rPr>
              <w:t>Centro Call-A-Bus, Inc.</w:t>
            </w:r>
          </w:p>
        </w:tc>
        <w:tc>
          <w:tcPr>
            <w:tcW w:w="2542" w:type="dxa"/>
          </w:tcPr>
          <w:p>
            <w:pPr>
              <w:pStyle w:val="TableParagraph"/>
              <w:spacing w:before="172"/>
              <w:ind w:left="1331"/>
              <w:rPr>
                <w:rFonts w:ascii="Times New Roman"/>
                <w:sz w:val="24"/>
              </w:rPr>
            </w:pPr>
            <w:r>
              <w:rPr>
                <w:rFonts w:ascii="Times New Roman"/>
                <w:sz w:val="24"/>
              </w:rPr>
              <w:t>16-1562464</w:t>
            </w:r>
          </w:p>
        </w:tc>
      </w:tr>
      <w:tr>
        <w:trPr>
          <w:trHeight w:val="628" w:hRule="atLeast"/>
        </w:trPr>
        <w:tc>
          <w:tcPr>
            <w:tcW w:w="462" w:type="dxa"/>
          </w:tcPr>
          <w:p>
            <w:pPr>
              <w:pStyle w:val="TableParagraph"/>
              <w:spacing w:before="172"/>
              <w:ind w:left="50"/>
              <w:rPr>
                <w:rFonts w:ascii="Times New Roman"/>
                <w:sz w:val="24"/>
              </w:rPr>
            </w:pPr>
            <w:r>
              <w:rPr>
                <w:rFonts w:ascii="Times New Roman"/>
                <w:w w:val="200"/>
                <w:sz w:val="24"/>
              </w:rPr>
              <w:t>z</w:t>
            </w:r>
          </w:p>
        </w:tc>
        <w:tc>
          <w:tcPr>
            <w:tcW w:w="4742" w:type="dxa"/>
          </w:tcPr>
          <w:p>
            <w:pPr>
              <w:pStyle w:val="TableParagraph"/>
              <w:spacing w:before="172"/>
              <w:ind w:left="197"/>
              <w:rPr>
                <w:rFonts w:ascii="Times New Roman"/>
                <w:sz w:val="24"/>
              </w:rPr>
            </w:pPr>
            <w:r>
              <w:rPr>
                <w:rFonts w:ascii="Times New Roman"/>
                <w:sz w:val="24"/>
              </w:rPr>
              <w:t>Centro of Oswego, Inc.</w:t>
            </w:r>
          </w:p>
        </w:tc>
        <w:tc>
          <w:tcPr>
            <w:tcW w:w="2542" w:type="dxa"/>
          </w:tcPr>
          <w:p>
            <w:pPr>
              <w:pStyle w:val="TableParagraph"/>
              <w:spacing w:before="172"/>
              <w:ind w:left="1332"/>
              <w:rPr>
                <w:rFonts w:ascii="Times New Roman"/>
                <w:sz w:val="24"/>
              </w:rPr>
            </w:pPr>
            <w:r>
              <w:rPr>
                <w:rFonts w:ascii="Times New Roman"/>
                <w:sz w:val="24"/>
              </w:rPr>
              <w:t>16-1002381</w:t>
            </w:r>
          </w:p>
        </w:tc>
      </w:tr>
      <w:tr>
        <w:trPr>
          <w:trHeight w:val="628" w:hRule="atLeast"/>
        </w:trPr>
        <w:tc>
          <w:tcPr>
            <w:tcW w:w="462" w:type="dxa"/>
          </w:tcPr>
          <w:p>
            <w:pPr>
              <w:pStyle w:val="TableParagraph"/>
              <w:spacing w:before="172"/>
              <w:ind w:left="50"/>
              <w:rPr>
                <w:rFonts w:ascii="Times New Roman"/>
                <w:sz w:val="24"/>
              </w:rPr>
            </w:pPr>
            <w:r>
              <w:rPr>
                <w:rFonts w:ascii="Times New Roman"/>
                <w:w w:val="200"/>
                <w:sz w:val="24"/>
              </w:rPr>
              <w:t>z</w:t>
            </w:r>
          </w:p>
        </w:tc>
        <w:tc>
          <w:tcPr>
            <w:tcW w:w="4742" w:type="dxa"/>
          </w:tcPr>
          <w:p>
            <w:pPr>
              <w:pStyle w:val="TableParagraph"/>
              <w:spacing w:before="172"/>
              <w:ind w:left="197"/>
              <w:rPr>
                <w:rFonts w:ascii="Times New Roman"/>
                <w:sz w:val="24"/>
              </w:rPr>
            </w:pPr>
            <w:r>
              <w:rPr>
                <w:rFonts w:ascii="Times New Roman"/>
                <w:sz w:val="24"/>
              </w:rPr>
              <w:t>Centro of Cayuga, Inc.</w:t>
            </w:r>
          </w:p>
        </w:tc>
        <w:tc>
          <w:tcPr>
            <w:tcW w:w="2542" w:type="dxa"/>
          </w:tcPr>
          <w:p>
            <w:pPr>
              <w:pStyle w:val="TableParagraph"/>
              <w:spacing w:before="172"/>
              <w:ind w:left="1332"/>
              <w:rPr>
                <w:rFonts w:ascii="Times New Roman"/>
                <w:sz w:val="24"/>
              </w:rPr>
            </w:pPr>
            <w:r>
              <w:rPr>
                <w:rFonts w:ascii="Times New Roman"/>
                <w:sz w:val="24"/>
              </w:rPr>
              <w:t>16-1011485</w:t>
            </w:r>
          </w:p>
        </w:tc>
      </w:tr>
      <w:tr>
        <w:trPr>
          <w:trHeight w:val="628" w:hRule="atLeast"/>
        </w:trPr>
        <w:tc>
          <w:tcPr>
            <w:tcW w:w="462" w:type="dxa"/>
          </w:tcPr>
          <w:p>
            <w:pPr>
              <w:pStyle w:val="TableParagraph"/>
              <w:spacing w:before="172"/>
              <w:ind w:left="50"/>
              <w:rPr>
                <w:rFonts w:ascii="Times New Roman"/>
                <w:sz w:val="24"/>
              </w:rPr>
            </w:pPr>
            <w:r>
              <w:rPr>
                <w:rFonts w:ascii="Times New Roman"/>
                <w:w w:val="200"/>
                <w:sz w:val="24"/>
              </w:rPr>
              <w:t>z</w:t>
            </w:r>
          </w:p>
        </w:tc>
        <w:tc>
          <w:tcPr>
            <w:tcW w:w="4742" w:type="dxa"/>
          </w:tcPr>
          <w:p>
            <w:pPr>
              <w:pStyle w:val="TableParagraph"/>
              <w:spacing w:before="172"/>
              <w:ind w:left="197"/>
              <w:rPr>
                <w:rFonts w:ascii="Times New Roman"/>
                <w:sz w:val="24"/>
              </w:rPr>
            </w:pPr>
            <w:r>
              <w:rPr>
                <w:rFonts w:ascii="Times New Roman"/>
                <w:sz w:val="24"/>
              </w:rPr>
              <w:t>Intermodel Transportation Center</w:t>
            </w:r>
          </w:p>
        </w:tc>
        <w:tc>
          <w:tcPr>
            <w:tcW w:w="2542" w:type="dxa"/>
          </w:tcPr>
          <w:p>
            <w:pPr>
              <w:pStyle w:val="TableParagraph"/>
              <w:spacing w:before="172"/>
              <w:ind w:left="1331"/>
              <w:rPr>
                <w:rFonts w:ascii="Times New Roman"/>
                <w:sz w:val="24"/>
              </w:rPr>
            </w:pPr>
            <w:r>
              <w:rPr>
                <w:rFonts w:ascii="Times New Roman"/>
                <w:sz w:val="24"/>
              </w:rPr>
              <w:t>16-1502464</w:t>
            </w:r>
          </w:p>
        </w:tc>
      </w:tr>
      <w:tr>
        <w:trPr>
          <w:trHeight w:val="628" w:hRule="atLeast"/>
        </w:trPr>
        <w:tc>
          <w:tcPr>
            <w:tcW w:w="462" w:type="dxa"/>
          </w:tcPr>
          <w:p>
            <w:pPr>
              <w:pStyle w:val="TableParagraph"/>
              <w:spacing w:before="172"/>
              <w:ind w:left="50"/>
              <w:rPr>
                <w:rFonts w:ascii="Times New Roman"/>
                <w:sz w:val="24"/>
              </w:rPr>
            </w:pPr>
            <w:r>
              <w:rPr>
                <w:rFonts w:ascii="Times New Roman"/>
                <w:w w:val="200"/>
                <w:sz w:val="24"/>
              </w:rPr>
              <w:t>z</w:t>
            </w:r>
          </w:p>
        </w:tc>
        <w:tc>
          <w:tcPr>
            <w:tcW w:w="4742" w:type="dxa"/>
          </w:tcPr>
          <w:p>
            <w:pPr>
              <w:pStyle w:val="TableParagraph"/>
              <w:spacing w:before="172"/>
              <w:ind w:left="197"/>
              <w:rPr>
                <w:rFonts w:ascii="Times New Roman"/>
                <w:sz w:val="24"/>
              </w:rPr>
            </w:pPr>
            <w:r>
              <w:rPr>
                <w:rFonts w:ascii="Times New Roman"/>
                <w:sz w:val="24"/>
              </w:rPr>
              <w:t>Centro of Oneida, Inc.</w:t>
            </w:r>
          </w:p>
        </w:tc>
        <w:tc>
          <w:tcPr>
            <w:tcW w:w="2542" w:type="dxa"/>
          </w:tcPr>
          <w:p>
            <w:pPr>
              <w:pStyle w:val="TableParagraph"/>
              <w:spacing w:before="172"/>
              <w:ind w:left="1333"/>
              <w:rPr>
                <w:rFonts w:ascii="Times New Roman"/>
                <w:sz w:val="24"/>
              </w:rPr>
            </w:pPr>
            <w:r>
              <w:rPr>
                <w:rFonts w:ascii="Times New Roman"/>
                <w:sz w:val="24"/>
              </w:rPr>
              <w:t>01-0831094</w:t>
            </w:r>
          </w:p>
        </w:tc>
      </w:tr>
      <w:tr>
        <w:trPr>
          <w:trHeight w:val="447" w:hRule="atLeast"/>
        </w:trPr>
        <w:tc>
          <w:tcPr>
            <w:tcW w:w="462" w:type="dxa"/>
          </w:tcPr>
          <w:p>
            <w:pPr>
              <w:pStyle w:val="TableParagraph"/>
              <w:spacing w:line="256" w:lineRule="exact" w:before="172"/>
              <w:ind w:left="50"/>
              <w:rPr>
                <w:rFonts w:ascii="Times New Roman"/>
                <w:sz w:val="24"/>
              </w:rPr>
            </w:pPr>
            <w:r>
              <w:rPr>
                <w:rFonts w:ascii="Times New Roman"/>
                <w:w w:val="200"/>
                <w:sz w:val="24"/>
              </w:rPr>
              <w:t>z</w:t>
            </w:r>
          </w:p>
        </w:tc>
        <w:tc>
          <w:tcPr>
            <w:tcW w:w="4742" w:type="dxa"/>
          </w:tcPr>
          <w:p>
            <w:pPr>
              <w:pStyle w:val="TableParagraph"/>
              <w:spacing w:line="256" w:lineRule="exact" w:before="172"/>
              <w:ind w:left="197"/>
              <w:rPr>
                <w:rFonts w:ascii="Times New Roman"/>
                <w:sz w:val="24"/>
              </w:rPr>
            </w:pPr>
            <w:r>
              <w:rPr>
                <w:rFonts w:ascii="Times New Roman"/>
                <w:sz w:val="24"/>
              </w:rPr>
              <w:t>Centro of Cortland, Inc.</w:t>
            </w:r>
          </w:p>
        </w:tc>
        <w:tc>
          <w:tcPr>
            <w:tcW w:w="2542" w:type="dxa"/>
          </w:tcPr>
          <w:p>
            <w:pPr>
              <w:pStyle w:val="TableParagraph"/>
              <w:spacing w:line="256" w:lineRule="exact" w:before="172"/>
              <w:ind w:left="1331"/>
              <w:rPr>
                <w:rFonts w:ascii="Times New Roman"/>
                <w:sz w:val="24"/>
              </w:rPr>
            </w:pPr>
            <w:r>
              <w:rPr>
                <w:rFonts w:ascii="Times New Roman"/>
                <w:sz w:val="24"/>
              </w:rPr>
              <w:t>33-2652582</w:t>
            </w:r>
          </w:p>
        </w:tc>
      </w:tr>
    </w:tbl>
    <w:p>
      <w:pPr>
        <w:spacing w:after="0" w:line="256" w:lineRule="exact"/>
        <w:rPr>
          <w:rFonts w:ascii="Times New Roman"/>
          <w:sz w:val="24"/>
        </w:rPr>
        <w:sectPr>
          <w:headerReference w:type="default" r:id="rId172"/>
          <w:footerReference w:type="default" r:id="rId173"/>
          <w:pgSz w:w="12240" w:h="15840"/>
          <w:pgMar w:header="1637" w:footer="0" w:top="2120" w:bottom="280" w:left="560" w:right="560"/>
        </w:sectPr>
      </w:pPr>
    </w:p>
    <w:p>
      <w:pPr>
        <w:pStyle w:val="BodyText"/>
        <w:rPr>
          <w:b/>
          <w:sz w:val="20"/>
        </w:rPr>
      </w:pPr>
      <w:r>
        <w:rPr/>
        <w:pict>
          <v:group style="position:absolute;margin-left:55.800003pt;margin-top:53.040001pt;width:499.35pt;height:82.1pt;mso-position-horizontal-relative:page;mso-position-vertical-relative:page;z-index:-266830848" coordorigin="1116,1061" coordsize="9987,1642">
            <v:shape style="position:absolute;left:1116;top:1060;width:58;height:1642" coordorigin="1116,1061" coordsize="58,1642" path="m1174,2683l1116,2683,1116,2702,1174,2702,1174,2683m1174,1099l1154,1099,1154,1118,1174,1118,1174,1099m1174,1061l1116,1061,1116,1080,1174,1080,1174,1061e" filled="true" fillcolor="#000000" stroked="false">
              <v:path arrowok="t"/>
              <v:fill type="solid"/>
            </v:shape>
            <v:line style="position:absolute" from="1126,1061" to="1126,2702" stroked="true" strokeweight=".959999pt" strokecolor="#000000">
              <v:stroke dashstyle="solid"/>
            </v:line>
            <v:line style="position:absolute" from="1164,1099" to="1164,2664" stroked="true" strokeweight=".959999pt" strokecolor="#000000">
              <v:stroke dashstyle="solid"/>
            </v:line>
            <v:line style="position:absolute" from="11054,1099" to="11054,2664" stroked="true" strokeweight=".959977pt" strokecolor="#000000">
              <v:stroke dashstyle="solid"/>
            </v:line>
            <v:line style="position:absolute" from="11093,1061" to="11093,2702" stroked="true" strokeweight=".959976pt" strokecolor="#000000">
              <v:stroke dashstyle="solid"/>
            </v:line>
            <v:line style="position:absolute" from="1174,1070" to="11102,1070" stroked="true" strokeweight=".959999pt" strokecolor="#000000">
              <v:stroke dashstyle="solid"/>
            </v:line>
            <v:line style="position:absolute" from="1174,1109" to="11045,1109" stroked="true" strokeweight=".959999pt" strokecolor="#000000">
              <v:stroke dashstyle="solid"/>
            </v:line>
            <v:rect style="position:absolute;left:11044;top:2683;width:58;height:20" filled="true" fillcolor="#000000" stroked="false">
              <v:fill type="solid"/>
            </v:rect>
            <v:line style="position:absolute" from="1174,2654" to="11064,2654" stroked="true" strokeweight=".959999pt" strokecolor="#000000">
              <v:stroke dashstyle="solid"/>
            </v:line>
            <v:line style="position:absolute" from="1174,2693" to="11045,2693" stroked="true" strokeweight=".959999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pStyle w:val="BodyText"/>
        <w:tabs>
          <w:tab w:pos="4119" w:val="left" w:leader="none"/>
        </w:tabs>
        <w:ind w:left="1566"/>
      </w:pPr>
      <w:r>
        <w:rPr/>
        <w:t>Travelers</w:t>
        <w:tab/>
        <w:t>Quoted</w:t>
      </w:r>
    </w:p>
    <w:p>
      <w:pPr>
        <w:pStyle w:val="BodyText"/>
        <w:spacing w:before="9"/>
        <w:rPr>
          <w:sz w:val="27"/>
        </w:rPr>
      </w:pPr>
    </w:p>
    <w:p>
      <w:pPr>
        <w:pStyle w:val="BodyText"/>
        <w:tabs>
          <w:tab w:pos="4119" w:val="left" w:leader="none"/>
        </w:tabs>
        <w:ind w:left="1566"/>
      </w:pPr>
      <w:r>
        <w:rPr/>
        <w:t>Strategic</w:t>
      </w:r>
      <w:r>
        <w:rPr>
          <w:spacing w:val="-4"/>
        </w:rPr>
        <w:t> </w:t>
      </w:r>
      <w:r>
        <w:rPr/>
        <w:t>Comp</w:t>
        <w:tab/>
        <w:t>Declined due to prohibited</w:t>
      </w:r>
      <w:r>
        <w:rPr>
          <w:spacing w:val="-8"/>
        </w:rPr>
        <w:t> </w:t>
      </w:r>
      <w:r>
        <w:rPr/>
        <w:t>class</w:t>
      </w:r>
    </w:p>
    <w:p>
      <w:pPr>
        <w:pStyle w:val="BodyText"/>
        <w:spacing w:before="2"/>
        <w:rPr>
          <w:sz w:val="29"/>
        </w:rPr>
      </w:pPr>
    </w:p>
    <w:p>
      <w:pPr>
        <w:pStyle w:val="BodyText"/>
        <w:tabs>
          <w:tab w:pos="4120" w:val="left" w:leader="none"/>
        </w:tabs>
        <w:ind w:left="1566"/>
      </w:pPr>
      <w:r>
        <w:rPr/>
        <w:t>Sentry</w:t>
        <w:tab/>
        <w:t>Declined based on their review of the</w:t>
      </w:r>
      <w:r>
        <w:rPr>
          <w:spacing w:val="-15"/>
        </w:rPr>
        <w:t> </w:t>
      </w:r>
      <w:r>
        <w:rPr/>
        <w:t>financials</w:t>
      </w:r>
    </w:p>
    <w:p>
      <w:pPr>
        <w:spacing w:after="0"/>
        <w:sectPr>
          <w:headerReference w:type="default" r:id="rId174"/>
          <w:footerReference w:type="default" r:id="rId175"/>
          <w:pgSz w:w="12240" w:h="15840"/>
          <w:pgMar w:header="1642" w:footer="0" w:top="2120" w:bottom="280" w:left="560" w:right="560"/>
        </w:sectPr>
      </w:pPr>
    </w:p>
    <w:p>
      <w:pPr>
        <w:pStyle w:val="BodyText"/>
        <w:ind w:left="22"/>
        <w:rPr>
          <w:sz w:val="20"/>
        </w:rPr>
      </w:pPr>
      <w:r>
        <w:rPr/>
        <w:pict>
          <v:group style="position:absolute;margin-left:.36pt;margin-top:106.680008pt;width:678.5pt;height:97.7pt;mso-position-horizontal-relative:page;mso-position-vertical-relative:page;z-index:-266828800" coordorigin="7,2134" coordsize="13570,1954">
            <v:shape style="position:absolute;left:7;top:2133;width:46;height:1954" coordorigin="7,2134" coordsize="46,1954" path="m53,4073l7,4073,7,4087,53,4087,53,4073m53,2134l7,2134,7,2148,53,2148,53,2134e" filled="true" fillcolor="#000000" stroked="false">
              <v:path arrowok="t"/>
              <v:fill type="solid"/>
            </v:shape>
            <v:line style="position:absolute" from="14,2134" to="14,4087" stroked="true" strokeweight=".72pt" strokecolor="#000000">
              <v:stroke dashstyle="solid"/>
            </v:line>
            <v:line style="position:absolute" from="46,2165" to="46,4056" stroked="true" strokeweight=".72pt" strokecolor="#000000">
              <v:stroke dashstyle="solid"/>
            </v:line>
            <v:line style="position:absolute" from="13538,2165" to="13538,4056" stroked="true" strokeweight=".719971pt" strokecolor="#000000">
              <v:stroke dashstyle="solid"/>
            </v:line>
            <v:line style="position:absolute" from="13570,2134" to="13570,4087" stroked="true" strokeweight=".720017pt" strokecolor="#000000">
              <v:stroke dashstyle="solid"/>
            </v:line>
            <v:line style="position:absolute" from="53,2141" to="13577,2141" stroked="true" strokeweight=".719994pt" strokecolor="#000000">
              <v:stroke dashstyle="solid"/>
            </v:line>
            <v:line style="position:absolute" from="53,2172" to="13531,2172" stroked="true" strokeweight=".719994pt" strokecolor="#000000">
              <v:stroke dashstyle="solid"/>
            </v:line>
            <v:rect style="position:absolute;left:13531;top:4072;width:46;height:15" filled="true" fillcolor="#000000" stroked="false">
              <v:fill type="solid"/>
            </v:rect>
            <v:line style="position:absolute" from="53,4049" to="13546,4049" stroked="true" strokeweight=".719994pt" strokecolor="#000000">
              <v:stroke dashstyle="solid"/>
            </v:line>
            <v:line style="position:absolute" from="53,4080" to="13531,4080" stroked="true" strokeweight=".720017pt" strokecolor="#000000">
              <v:stroke dashstyle="solid"/>
            </v:line>
            <w10:wrap type="none"/>
          </v:group>
        </w:pict>
      </w:r>
      <w:r>
        <w:rPr/>
        <w:pict>
          <v:line style="position:absolute;mso-position-horizontal-relative:page;mso-position-vertical-relative:page;z-index:251871232" from="619.799988pt,117.360001pt" to="619.799988pt,198.480017pt" stroked="true" strokeweight=".720017pt" strokecolor="#000000">
            <v:stroke dashstyle="solid"/>
            <w10:wrap type="none"/>
          </v:line>
        </w:pict>
      </w:r>
      <w:r>
        <w:rPr>
          <w:position w:val="0"/>
          <w:sz w:val="20"/>
        </w:rPr>
        <w:pict>
          <v:shape style="width:676.2pt;height:42pt;mso-position-horizontal-relative:char;mso-position-vertical-relative:line" type="#_x0000_t202" filled="false" stroked="true" strokeweight=".720017pt" strokecolor="#000000">
            <w10:anchorlock/>
            <v:textbox inset="0,0,0,0">
              <w:txbxContent>
                <w:p>
                  <w:pPr>
                    <w:spacing w:before="221"/>
                    <w:ind w:left="3523" w:right="3501" w:firstLine="0"/>
                    <w:jc w:val="center"/>
                    <w:rPr>
                      <w:rFonts w:ascii="Times New Roman"/>
                      <w:b/>
                      <w:sz w:val="32"/>
                    </w:rPr>
                  </w:pPr>
                  <w:r>
                    <w:rPr>
                      <w:rFonts w:ascii="Times New Roman"/>
                      <w:b/>
                      <w:color w:val="FF9900"/>
                      <w:sz w:val="32"/>
                    </w:rPr>
                    <w:t>Workers' Compensation Payroll/Claim Exhibit</w:t>
                  </w:r>
                </w:p>
              </w:txbxContent>
            </v:textbox>
            <v:stroke linestyle="thinThin" dashstyle="solid"/>
          </v:shape>
        </w:pict>
      </w:r>
      <w:r>
        <w:rPr>
          <w:position w:val="0"/>
          <w:sz w:val="20"/>
        </w:rPr>
      </w:r>
    </w:p>
    <w:p>
      <w:pPr>
        <w:pStyle w:val="BodyText"/>
        <w:rPr>
          <w:sz w:val="20"/>
        </w:rPr>
      </w:pPr>
    </w:p>
    <w:p>
      <w:pPr>
        <w:pStyle w:val="BodyText"/>
        <w:rPr>
          <w:sz w:val="11"/>
        </w:rPr>
      </w:pPr>
    </w:p>
    <w:tbl>
      <w:tblPr>
        <w:tblW w:w="0" w:type="auto"/>
        <w:jc w:val="left"/>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5"/>
        <w:gridCol w:w="486"/>
        <w:gridCol w:w="982"/>
        <w:gridCol w:w="982"/>
        <w:gridCol w:w="982"/>
        <w:gridCol w:w="982"/>
        <w:gridCol w:w="982"/>
        <w:gridCol w:w="982"/>
        <w:gridCol w:w="1143"/>
        <w:gridCol w:w="982"/>
      </w:tblGrid>
      <w:tr>
        <w:trPr>
          <w:trHeight w:val="204" w:hRule="atLeast"/>
        </w:trPr>
        <w:tc>
          <w:tcPr>
            <w:tcW w:w="2725" w:type="dxa"/>
          </w:tcPr>
          <w:p>
            <w:pPr>
              <w:pStyle w:val="TableParagraph"/>
              <w:rPr>
                <w:rFonts w:ascii="Times New Roman"/>
                <w:sz w:val="14"/>
              </w:rPr>
            </w:pPr>
          </w:p>
        </w:tc>
        <w:tc>
          <w:tcPr>
            <w:tcW w:w="486" w:type="dxa"/>
            <w:tcBorders>
              <w:right w:val="single" w:sz="6" w:space="0" w:color="000000"/>
            </w:tcBorders>
          </w:tcPr>
          <w:p>
            <w:pPr>
              <w:pStyle w:val="TableParagraph"/>
              <w:rPr>
                <w:rFonts w:ascii="Times New Roman"/>
                <w:sz w:val="14"/>
              </w:rPr>
            </w:pPr>
          </w:p>
        </w:tc>
        <w:tc>
          <w:tcPr>
            <w:tcW w:w="982" w:type="dxa"/>
            <w:tcBorders>
              <w:left w:val="single" w:sz="6" w:space="0" w:color="000000"/>
              <w:right w:val="single" w:sz="6" w:space="0" w:color="000000"/>
            </w:tcBorders>
          </w:tcPr>
          <w:p>
            <w:pPr>
              <w:pStyle w:val="TableParagraph"/>
              <w:spacing w:line="157" w:lineRule="exact" w:before="27"/>
              <w:ind w:left="15"/>
              <w:jc w:val="center"/>
              <w:rPr>
                <w:rFonts w:ascii="Times New Roman"/>
                <w:b/>
                <w:sz w:val="14"/>
              </w:rPr>
            </w:pPr>
            <w:r>
              <w:rPr>
                <w:rFonts w:ascii="Times New Roman"/>
                <w:b/>
                <w:w w:val="105"/>
                <w:sz w:val="14"/>
              </w:rPr>
              <w:t>2018-2019</w:t>
            </w:r>
          </w:p>
        </w:tc>
        <w:tc>
          <w:tcPr>
            <w:tcW w:w="982" w:type="dxa"/>
            <w:tcBorders>
              <w:left w:val="single" w:sz="6" w:space="0" w:color="000000"/>
              <w:right w:val="single" w:sz="6" w:space="0" w:color="000000"/>
            </w:tcBorders>
          </w:tcPr>
          <w:p>
            <w:pPr>
              <w:pStyle w:val="TableParagraph"/>
              <w:spacing w:line="157" w:lineRule="exact" w:before="27"/>
              <w:ind w:left="17"/>
              <w:jc w:val="center"/>
              <w:rPr>
                <w:rFonts w:ascii="Times New Roman"/>
                <w:b/>
                <w:sz w:val="14"/>
              </w:rPr>
            </w:pPr>
            <w:r>
              <w:rPr>
                <w:rFonts w:ascii="Times New Roman"/>
                <w:b/>
                <w:w w:val="105"/>
                <w:sz w:val="14"/>
              </w:rPr>
              <w:t>2019-2020</w:t>
            </w:r>
          </w:p>
        </w:tc>
        <w:tc>
          <w:tcPr>
            <w:tcW w:w="982" w:type="dxa"/>
            <w:tcBorders>
              <w:left w:val="single" w:sz="6" w:space="0" w:color="000000"/>
              <w:right w:val="single" w:sz="6" w:space="0" w:color="000000"/>
            </w:tcBorders>
          </w:tcPr>
          <w:p>
            <w:pPr>
              <w:pStyle w:val="TableParagraph"/>
              <w:spacing w:line="157" w:lineRule="exact" w:before="27"/>
              <w:ind w:left="19"/>
              <w:jc w:val="center"/>
              <w:rPr>
                <w:rFonts w:ascii="Times New Roman"/>
                <w:b/>
                <w:sz w:val="14"/>
              </w:rPr>
            </w:pPr>
            <w:r>
              <w:rPr>
                <w:rFonts w:ascii="Times New Roman"/>
                <w:b/>
                <w:w w:val="105"/>
                <w:sz w:val="14"/>
              </w:rPr>
              <w:t>2020-2021</w:t>
            </w:r>
          </w:p>
        </w:tc>
        <w:tc>
          <w:tcPr>
            <w:tcW w:w="982" w:type="dxa"/>
            <w:tcBorders>
              <w:left w:val="single" w:sz="6" w:space="0" w:color="000000"/>
              <w:right w:val="single" w:sz="6" w:space="0" w:color="000000"/>
            </w:tcBorders>
          </w:tcPr>
          <w:p>
            <w:pPr>
              <w:pStyle w:val="TableParagraph"/>
              <w:spacing w:line="157" w:lineRule="exact" w:before="27"/>
              <w:ind w:left="19"/>
              <w:jc w:val="center"/>
              <w:rPr>
                <w:rFonts w:ascii="Times New Roman"/>
                <w:b/>
                <w:sz w:val="14"/>
              </w:rPr>
            </w:pPr>
            <w:r>
              <w:rPr>
                <w:rFonts w:ascii="Times New Roman"/>
                <w:b/>
                <w:w w:val="105"/>
                <w:sz w:val="14"/>
              </w:rPr>
              <w:t>2021-2022</w:t>
            </w:r>
          </w:p>
        </w:tc>
        <w:tc>
          <w:tcPr>
            <w:tcW w:w="982" w:type="dxa"/>
            <w:tcBorders>
              <w:left w:val="single" w:sz="6" w:space="0" w:color="000000"/>
              <w:right w:val="single" w:sz="6" w:space="0" w:color="000000"/>
            </w:tcBorders>
          </w:tcPr>
          <w:p>
            <w:pPr>
              <w:pStyle w:val="TableParagraph"/>
              <w:spacing w:line="157" w:lineRule="exact" w:before="27"/>
              <w:ind w:left="20"/>
              <w:jc w:val="center"/>
              <w:rPr>
                <w:rFonts w:ascii="Times New Roman"/>
                <w:b/>
                <w:sz w:val="14"/>
              </w:rPr>
            </w:pPr>
            <w:r>
              <w:rPr>
                <w:rFonts w:ascii="Times New Roman"/>
                <w:b/>
                <w:w w:val="105"/>
                <w:sz w:val="14"/>
              </w:rPr>
              <w:t>2022-2023</w:t>
            </w:r>
          </w:p>
        </w:tc>
        <w:tc>
          <w:tcPr>
            <w:tcW w:w="982" w:type="dxa"/>
            <w:tcBorders>
              <w:left w:val="single" w:sz="6" w:space="0" w:color="000000"/>
              <w:right w:val="single" w:sz="6" w:space="0" w:color="000000"/>
            </w:tcBorders>
          </w:tcPr>
          <w:p>
            <w:pPr>
              <w:pStyle w:val="TableParagraph"/>
              <w:spacing w:line="157" w:lineRule="exact" w:before="27"/>
              <w:ind w:left="21"/>
              <w:jc w:val="center"/>
              <w:rPr>
                <w:rFonts w:ascii="Times New Roman"/>
                <w:b/>
                <w:sz w:val="14"/>
              </w:rPr>
            </w:pPr>
            <w:r>
              <w:rPr>
                <w:rFonts w:ascii="Times New Roman"/>
                <w:b/>
                <w:w w:val="105"/>
                <w:sz w:val="14"/>
              </w:rPr>
              <w:t>2023-2024</w:t>
            </w:r>
          </w:p>
        </w:tc>
        <w:tc>
          <w:tcPr>
            <w:tcW w:w="1143" w:type="dxa"/>
            <w:tcBorders>
              <w:left w:val="single" w:sz="6" w:space="0" w:color="000000"/>
              <w:right w:val="single" w:sz="6" w:space="0" w:color="000000"/>
            </w:tcBorders>
          </w:tcPr>
          <w:p>
            <w:pPr>
              <w:pStyle w:val="TableParagraph"/>
              <w:spacing w:line="157" w:lineRule="exact" w:before="27"/>
              <w:ind w:left="27" w:right="3"/>
              <w:jc w:val="center"/>
              <w:rPr>
                <w:rFonts w:ascii="Times New Roman"/>
                <w:b/>
                <w:sz w:val="14"/>
              </w:rPr>
            </w:pPr>
            <w:r>
              <w:rPr>
                <w:rFonts w:ascii="Times New Roman"/>
                <w:b/>
                <w:w w:val="105"/>
                <w:sz w:val="14"/>
              </w:rPr>
              <w:t>2024-2025</w:t>
            </w:r>
          </w:p>
        </w:tc>
        <w:tc>
          <w:tcPr>
            <w:tcW w:w="982" w:type="dxa"/>
            <w:tcBorders>
              <w:left w:val="single" w:sz="6" w:space="0" w:color="000000"/>
              <w:right w:val="single" w:sz="6" w:space="0" w:color="000000"/>
            </w:tcBorders>
          </w:tcPr>
          <w:p>
            <w:pPr>
              <w:pStyle w:val="TableParagraph"/>
              <w:spacing w:line="157" w:lineRule="exact" w:before="27"/>
              <w:ind w:left="24"/>
              <w:jc w:val="center"/>
              <w:rPr>
                <w:rFonts w:ascii="Times New Roman"/>
                <w:b/>
                <w:sz w:val="14"/>
              </w:rPr>
            </w:pPr>
            <w:r>
              <w:rPr>
                <w:rFonts w:ascii="Times New Roman"/>
                <w:b/>
                <w:w w:val="105"/>
                <w:sz w:val="14"/>
              </w:rPr>
              <w:t>2025-2026</w:t>
            </w:r>
          </w:p>
        </w:tc>
      </w:tr>
      <w:tr>
        <w:trPr>
          <w:trHeight w:val="261" w:hRule="atLeast"/>
        </w:trPr>
        <w:tc>
          <w:tcPr>
            <w:tcW w:w="2725" w:type="dxa"/>
          </w:tcPr>
          <w:p>
            <w:pPr>
              <w:pStyle w:val="TableParagraph"/>
              <w:spacing w:before="9"/>
              <w:ind w:left="997"/>
              <w:rPr>
                <w:rFonts w:ascii="Times New Roman"/>
                <w:b/>
                <w:sz w:val="16"/>
              </w:rPr>
            </w:pPr>
            <w:r>
              <w:rPr>
                <w:rFonts w:ascii="Times New Roman"/>
                <w:b/>
                <w:spacing w:val="-117"/>
                <w:sz w:val="16"/>
                <w:u w:val="single"/>
              </w:rPr>
              <w:t>C</w:t>
            </w:r>
            <w:r>
              <w:rPr>
                <w:rFonts w:ascii="Times New Roman"/>
                <w:b/>
                <w:spacing w:val="80"/>
                <w:sz w:val="16"/>
              </w:rPr>
              <w:t> </w:t>
            </w:r>
            <w:r>
              <w:rPr>
                <w:rFonts w:ascii="Times New Roman"/>
                <w:b/>
                <w:sz w:val="16"/>
                <w:u w:val="single"/>
              </w:rPr>
              <w:t>lassification</w:t>
            </w:r>
          </w:p>
        </w:tc>
        <w:tc>
          <w:tcPr>
            <w:tcW w:w="486" w:type="dxa"/>
            <w:tcBorders>
              <w:right w:val="single" w:sz="6" w:space="0" w:color="000000"/>
            </w:tcBorders>
          </w:tcPr>
          <w:p>
            <w:pPr>
              <w:pStyle w:val="TableParagraph"/>
              <w:rPr>
                <w:rFonts w:ascii="Times New Roman"/>
                <w:sz w:val="14"/>
              </w:rPr>
            </w:pPr>
          </w:p>
        </w:tc>
        <w:tc>
          <w:tcPr>
            <w:tcW w:w="982" w:type="dxa"/>
            <w:tcBorders>
              <w:left w:val="single" w:sz="6" w:space="0" w:color="000000"/>
              <w:right w:val="single" w:sz="6" w:space="0" w:color="000000"/>
            </w:tcBorders>
          </w:tcPr>
          <w:p>
            <w:pPr>
              <w:pStyle w:val="TableParagraph"/>
              <w:spacing w:before="27"/>
              <w:ind w:left="18"/>
              <w:jc w:val="center"/>
              <w:rPr>
                <w:rFonts w:ascii="Times New Roman"/>
                <w:b/>
                <w:sz w:val="14"/>
              </w:rPr>
            </w:pPr>
            <w:r>
              <w:rPr>
                <w:rFonts w:ascii="Times New Roman"/>
                <w:b/>
                <w:spacing w:val="-105"/>
                <w:w w:val="105"/>
                <w:sz w:val="14"/>
                <w:u w:val="single"/>
              </w:rPr>
              <w:t>A</w:t>
            </w:r>
            <w:r>
              <w:rPr>
                <w:rFonts w:ascii="Times New Roman"/>
                <w:b/>
                <w:spacing w:val="65"/>
                <w:w w:val="105"/>
                <w:sz w:val="14"/>
              </w:rPr>
              <w:t> </w:t>
            </w:r>
            <w:r>
              <w:rPr>
                <w:rFonts w:ascii="Times New Roman"/>
                <w:b/>
                <w:w w:val="105"/>
                <w:sz w:val="14"/>
                <w:u w:val="single"/>
              </w:rPr>
              <w:t>udited</w:t>
            </w:r>
          </w:p>
        </w:tc>
        <w:tc>
          <w:tcPr>
            <w:tcW w:w="982" w:type="dxa"/>
            <w:tcBorders>
              <w:left w:val="single" w:sz="6" w:space="0" w:color="000000"/>
              <w:right w:val="single" w:sz="6" w:space="0" w:color="000000"/>
            </w:tcBorders>
          </w:tcPr>
          <w:p>
            <w:pPr>
              <w:pStyle w:val="TableParagraph"/>
              <w:spacing w:before="27"/>
              <w:ind w:left="17"/>
              <w:jc w:val="center"/>
              <w:rPr>
                <w:rFonts w:ascii="Times New Roman"/>
                <w:b/>
                <w:sz w:val="14"/>
              </w:rPr>
            </w:pPr>
            <w:r>
              <w:rPr>
                <w:rFonts w:ascii="Times New Roman"/>
                <w:b/>
                <w:spacing w:val="-105"/>
                <w:w w:val="105"/>
                <w:sz w:val="14"/>
                <w:u w:val="single"/>
              </w:rPr>
              <w:t>A</w:t>
            </w:r>
            <w:r>
              <w:rPr>
                <w:rFonts w:ascii="Times New Roman"/>
                <w:b/>
                <w:spacing w:val="65"/>
                <w:w w:val="105"/>
                <w:sz w:val="14"/>
              </w:rPr>
              <w:t> </w:t>
            </w:r>
            <w:r>
              <w:rPr>
                <w:rFonts w:ascii="Times New Roman"/>
                <w:b/>
                <w:w w:val="105"/>
                <w:sz w:val="14"/>
                <w:u w:val="single"/>
              </w:rPr>
              <w:t>udited</w:t>
            </w:r>
          </w:p>
        </w:tc>
        <w:tc>
          <w:tcPr>
            <w:tcW w:w="982" w:type="dxa"/>
            <w:tcBorders>
              <w:left w:val="single" w:sz="6" w:space="0" w:color="000000"/>
              <w:right w:val="single" w:sz="6" w:space="0" w:color="000000"/>
            </w:tcBorders>
          </w:tcPr>
          <w:p>
            <w:pPr>
              <w:pStyle w:val="TableParagraph"/>
              <w:spacing w:before="27"/>
              <w:ind w:left="16"/>
              <w:jc w:val="center"/>
              <w:rPr>
                <w:rFonts w:ascii="Times New Roman"/>
                <w:b/>
                <w:sz w:val="14"/>
              </w:rPr>
            </w:pPr>
            <w:r>
              <w:rPr>
                <w:rFonts w:ascii="Times New Roman"/>
                <w:b/>
                <w:spacing w:val="-105"/>
                <w:w w:val="105"/>
                <w:sz w:val="14"/>
                <w:u w:val="single"/>
              </w:rPr>
              <w:t>A</w:t>
            </w:r>
            <w:r>
              <w:rPr>
                <w:rFonts w:ascii="Times New Roman"/>
                <w:b/>
                <w:spacing w:val="65"/>
                <w:w w:val="105"/>
                <w:sz w:val="14"/>
              </w:rPr>
              <w:t> </w:t>
            </w:r>
            <w:r>
              <w:rPr>
                <w:rFonts w:ascii="Times New Roman"/>
                <w:b/>
                <w:w w:val="105"/>
                <w:sz w:val="14"/>
                <w:u w:val="single"/>
              </w:rPr>
              <w:t>udited</w:t>
            </w:r>
          </w:p>
        </w:tc>
        <w:tc>
          <w:tcPr>
            <w:tcW w:w="982" w:type="dxa"/>
            <w:tcBorders>
              <w:left w:val="single" w:sz="6" w:space="0" w:color="000000"/>
              <w:right w:val="single" w:sz="6" w:space="0" w:color="000000"/>
            </w:tcBorders>
          </w:tcPr>
          <w:p>
            <w:pPr>
              <w:pStyle w:val="TableParagraph"/>
              <w:spacing w:before="27"/>
              <w:ind w:left="15"/>
              <w:jc w:val="center"/>
              <w:rPr>
                <w:rFonts w:ascii="Times New Roman"/>
                <w:b/>
                <w:sz w:val="14"/>
              </w:rPr>
            </w:pPr>
            <w:r>
              <w:rPr>
                <w:rFonts w:ascii="Times New Roman"/>
                <w:b/>
                <w:spacing w:val="-105"/>
                <w:w w:val="105"/>
                <w:sz w:val="14"/>
                <w:u w:val="single"/>
              </w:rPr>
              <w:t>A</w:t>
            </w:r>
            <w:r>
              <w:rPr>
                <w:rFonts w:ascii="Times New Roman"/>
                <w:b/>
                <w:spacing w:val="65"/>
                <w:w w:val="105"/>
                <w:sz w:val="14"/>
              </w:rPr>
              <w:t> </w:t>
            </w:r>
            <w:r>
              <w:rPr>
                <w:rFonts w:ascii="Times New Roman"/>
                <w:b/>
                <w:w w:val="105"/>
                <w:sz w:val="14"/>
                <w:u w:val="single"/>
              </w:rPr>
              <w:t>udited</w:t>
            </w:r>
          </w:p>
        </w:tc>
        <w:tc>
          <w:tcPr>
            <w:tcW w:w="982" w:type="dxa"/>
            <w:tcBorders>
              <w:left w:val="single" w:sz="6" w:space="0" w:color="000000"/>
              <w:right w:val="single" w:sz="6" w:space="0" w:color="000000"/>
            </w:tcBorders>
          </w:tcPr>
          <w:p>
            <w:pPr>
              <w:pStyle w:val="TableParagraph"/>
              <w:spacing w:before="27"/>
              <w:ind w:left="14"/>
              <w:jc w:val="center"/>
              <w:rPr>
                <w:rFonts w:ascii="Times New Roman"/>
                <w:b/>
                <w:sz w:val="14"/>
              </w:rPr>
            </w:pPr>
            <w:r>
              <w:rPr>
                <w:rFonts w:ascii="Times New Roman"/>
                <w:b/>
                <w:spacing w:val="-105"/>
                <w:w w:val="105"/>
                <w:sz w:val="14"/>
                <w:u w:val="single"/>
              </w:rPr>
              <w:t>A</w:t>
            </w:r>
            <w:r>
              <w:rPr>
                <w:rFonts w:ascii="Times New Roman"/>
                <w:b/>
                <w:spacing w:val="65"/>
                <w:w w:val="105"/>
                <w:sz w:val="14"/>
              </w:rPr>
              <w:t> </w:t>
            </w:r>
            <w:r>
              <w:rPr>
                <w:rFonts w:ascii="Times New Roman"/>
                <w:b/>
                <w:w w:val="105"/>
                <w:sz w:val="14"/>
                <w:u w:val="single"/>
              </w:rPr>
              <w:t>udited</w:t>
            </w:r>
          </w:p>
        </w:tc>
        <w:tc>
          <w:tcPr>
            <w:tcW w:w="982" w:type="dxa"/>
            <w:tcBorders>
              <w:left w:val="single" w:sz="6" w:space="0" w:color="000000"/>
              <w:right w:val="single" w:sz="6" w:space="0" w:color="000000"/>
            </w:tcBorders>
          </w:tcPr>
          <w:p>
            <w:pPr>
              <w:pStyle w:val="TableParagraph"/>
              <w:spacing w:before="27"/>
              <w:ind w:left="14"/>
              <w:jc w:val="center"/>
              <w:rPr>
                <w:rFonts w:ascii="Times New Roman"/>
                <w:b/>
                <w:sz w:val="14"/>
              </w:rPr>
            </w:pPr>
            <w:r>
              <w:rPr>
                <w:rFonts w:ascii="Times New Roman"/>
                <w:b/>
                <w:spacing w:val="-105"/>
                <w:w w:val="105"/>
                <w:sz w:val="14"/>
                <w:u w:val="single"/>
              </w:rPr>
              <w:t>A</w:t>
            </w:r>
            <w:r>
              <w:rPr>
                <w:rFonts w:ascii="Times New Roman"/>
                <w:b/>
                <w:spacing w:val="65"/>
                <w:w w:val="105"/>
                <w:sz w:val="14"/>
              </w:rPr>
              <w:t> </w:t>
            </w:r>
            <w:r>
              <w:rPr>
                <w:rFonts w:ascii="Times New Roman"/>
                <w:b/>
                <w:w w:val="105"/>
                <w:sz w:val="14"/>
                <w:u w:val="single"/>
              </w:rPr>
              <w:t>udited</w:t>
            </w:r>
          </w:p>
        </w:tc>
        <w:tc>
          <w:tcPr>
            <w:tcW w:w="1143" w:type="dxa"/>
            <w:tcBorders>
              <w:left w:val="single" w:sz="6" w:space="0" w:color="000000"/>
              <w:right w:val="single" w:sz="6" w:space="0" w:color="000000"/>
            </w:tcBorders>
          </w:tcPr>
          <w:p>
            <w:pPr>
              <w:pStyle w:val="TableParagraph"/>
              <w:spacing w:before="27"/>
              <w:ind w:left="16" w:right="3"/>
              <w:jc w:val="center"/>
              <w:rPr>
                <w:rFonts w:ascii="Times New Roman"/>
                <w:b/>
                <w:sz w:val="14"/>
              </w:rPr>
            </w:pPr>
            <w:r>
              <w:rPr>
                <w:rFonts w:ascii="Times New Roman"/>
                <w:b/>
                <w:spacing w:val="-97"/>
                <w:w w:val="105"/>
                <w:sz w:val="14"/>
                <w:u w:val="single"/>
              </w:rPr>
              <w:t>E</w:t>
            </w:r>
            <w:r>
              <w:rPr>
                <w:rFonts w:ascii="Times New Roman"/>
                <w:b/>
                <w:spacing w:val="57"/>
                <w:w w:val="105"/>
                <w:sz w:val="14"/>
              </w:rPr>
              <w:t> </w:t>
            </w:r>
            <w:r>
              <w:rPr>
                <w:rFonts w:ascii="Times New Roman"/>
                <w:b/>
                <w:w w:val="105"/>
                <w:sz w:val="14"/>
                <w:u w:val="single"/>
              </w:rPr>
              <w:t>stimated</w:t>
            </w:r>
          </w:p>
        </w:tc>
        <w:tc>
          <w:tcPr>
            <w:tcW w:w="982" w:type="dxa"/>
            <w:tcBorders>
              <w:left w:val="single" w:sz="6" w:space="0" w:color="000000"/>
              <w:right w:val="single" w:sz="6" w:space="0" w:color="000000"/>
            </w:tcBorders>
          </w:tcPr>
          <w:p>
            <w:pPr>
              <w:pStyle w:val="TableParagraph"/>
              <w:spacing w:before="27"/>
              <w:ind w:left="15"/>
              <w:jc w:val="center"/>
              <w:rPr>
                <w:rFonts w:ascii="Times New Roman"/>
                <w:b/>
                <w:sz w:val="14"/>
              </w:rPr>
            </w:pPr>
            <w:r>
              <w:rPr>
                <w:rFonts w:ascii="Times New Roman"/>
                <w:b/>
                <w:spacing w:val="-97"/>
                <w:w w:val="105"/>
                <w:sz w:val="14"/>
                <w:u w:val="single"/>
              </w:rPr>
              <w:t>E</w:t>
            </w:r>
            <w:r>
              <w:rPr>
                <w:rFonts w:ascii="Times New Roman"/>
                <w:b/>
                <w:spacing w:val="55"/>
                <w:w w:val="105"/>
                <w:sz w:val="14"/>
              </w:rPr>
              <w:t> </w:t>
            </w:r>
            <w:r>
              <w:rPr>
                <w:rFonts w:ascii="Times New Roman"/>
                <w:b/>
                <w:w w:val="105"/>
                <w:sz w:val="14"/>
                <w:u w:val="single"/>
              </w:rPr>
              <w:t>stimated</w:t>
            </w:r>
          </w:p>
        </w:tc>
      </w:tr>
      <w:tr>
        <w:trPr>
          <w:trHeight w:val="250" w:hRule="atLeast"/>
        </w:trPr>
        <w:tc>
          <w:tcPr>
            <w:tcW w:w="2725" w:type="dxa"/>
          </w:tcPr>
          <w:p>
            <w:pPr>
              <w:pStyle w:val="TableParagraph"/>
              <w:spacing w:before="66"/>
              <w:ind w:left="188"/>
              <w:rPr>
                <w:rFonts w:ascii="Times New Roman"/>
                <w:sz w:val="14"/>
              </w:rPr>
            </w:pPr>
            <w:r>
              <w:rPr>
                <w:rFonts w:ascii="Times New Roman"/>
                <w:w w:val="105"/>
                <w:sz w:val="14"/>
              </w:rPr>
              <w:t>Taxicab Service-Public:Garage Employees</w:t>
            </w:r>
          </w:p>
        </w:tc>
        <w:tc>
          <w:tcPr>
            <w:tcW w:w="486" w:type="dxa"/>
            <w:tcBorders>
              <w:right w:val="single" w:sz="6" w:space="0" w:color="000000"/>
            </w:tcBorders>
          </w:tcPr>
          <w:p>
            <w:pPr>
              <w:pStyle w:val="TableParagraph"/>
              <w:spacing w:before="66"/>
              <w:ind w:left="59"/>
              <w:rPr>
                <w:rFonts w:ascii="Times New Roman"/>
                <w:sz w:val="14"/>
              </w:rPr>
            </w:pPr>
            <w:r>
              <w:rPr>
                <w:rFonts w:ascii="Times New Roman"/>
                <w:w w:val="105"/>
                <w:sz w:val="14"/>
              </w:rPr>
              <w:t>8385</w:t>
            </w:r>
          </w:p>
        </w:tc>
        <w:tc>
          <w:tcPr>
            <w:tcW w:w="982" w:type="dxa"/>
            <w:tcBorders>
              <w:left w:val="single" w:sz="6" w:space="0" w:color="000000"/>
              <w:right w:val="single" w:sz="6" w:space="0" w:color="000000"/>
            </w:tcBorders>
          </w:tcPr>
          <w:p>
            <w:pPr>
              <w:pStyle w:val="TableParagraph"/>
              <w:tabs>
                <w:tab w:pos="784" w:val="left" w:leader="none"/>
              </w:tabs>
              <w:spacing w:before="66"/>
              <w:ind w:left="22"/>
              <w:jc w:val="center"/>
              <w:rPr>
                <w:rFonts w:ascii="Times New Roman"/>
                <w:sz w:val="14"/>
              </w:rPr>
            </w:pPr>
            <w:r>
              <w:rPr>
                <w:rFonts w:ascii="Times New Roman"/>
                <w:w w:val="105"/>
                <w:sz w:val="14"/>
              </w:rPr>
              <w:t>$</w:t>
              <w:tab/>
              <w:t>-</w:t>
            </w:r>
          </w:p>
        </w:tc>
        <w:tc>
          <w:tcPr>
            <w:tcW w:w="982" w:type="dxa"/>
            <w:tcBorders>
              <w:left w:val="single" w:sz="6" w:space="0" w:color="000000"/>
              <w:right w:val="single" w:sz="6" w:space="0" w:color="000000"/>
            </w:tcBorders>
          </w:tcPr>
          <w:p>
            <w:pPr>
              <w:pStyle w:val="TableParagraph"/>
              <w:tabs>
                <w:tab w:pos="785" w:val="left" w:leader="none"/>
              </w:tabs>
              <w:spacing w:before="66"/>
              <w:ind w:left="1"/>
              <w:jc w:val="center"/>
              <w:rPr>
                <w:rFonts w:ascii="Times New Roman"/>
                <w:sz w:val="14"/>
              </w:rPr>
            </w:pPr>
            <w:r>
              <w:rPr>
                <w:rFonts w:ascii="Times New Roman"/>
                <w:w w:val="105"/>
                <w:sz w:val="14"/>
              </w:rPr>
              <w:t>$</w:t>
              <w:tab/>
              <w:t>-</w:t>
            </w:r>
          </w:p>
        </w:tc>
        <w:tc>
          <w:tcPr>
            <w:tcW w:w="982" w:type="dxa"/>
            <w:tcBorders>
              <w:left w:val="single" w:sz="6" w:space="0" w:color="000000"/>
              <w:right w:val="single" w:sz="6" w:space="0" w:color="000000"/>
            </w:tcBorders>
          </w:tcPr>
          <w:p>
            <w:pPr>
              <w:pStyle w:val="TableParagraph"/>
              <w:tabs>
                <w:tab w:pos="784" w:val="left" w:leader="none"/>
              </w:tabs>
              <w:spacing w:before="66"/>
              <w:jc w:val="center"/>
              <w:rPr>
                <w:rFonts w:ascii="Times New Roman"/>
                <w:sz w:val="14"/>
              </w:rPr>
            </w:pPr>
            <w:r>
              <w:rPr>
                <w:rFonts w:ascii="Times New Roman"/>
                <w:w w:val="105"/>
                <w:sz w:val="14"/>
              </w:rPr>
              <w:t>$</w:t>
              <w:tab/>
              <w:t>-</w:t>
            </w:r>
          </w:p>
        </w:tc>
        <w:tc>
          <w:tcPr>
            <w:tcW w:w="982" w:type="dxa"/>
            <w:tcBorders>
              <w:left w:val="single" w:sz="6" w:space="0" w:color="000000"/>
              <w:right w:val="single" w:sz="6" w:space="0" w:color="000000"/>
            </w:tcBorders>
          </w:tcPr>
          <w:p>
            <w:pPr>
              <w:pStyle w:val="TableParagraph"/>
              <w:tabs>
                <w:tab w:pos="784" w:val="left" w:leader="none"/>
              </w:tabs>
              <w:spacing w:before="66"/>
              <w:jc w:val="center"/>
              <w:rPr>
                <w:rFonts w:ascii="Times New Roman"/>
                <w:sz w:val="14"/>
              </w:rPr>
            </w:pPr>
            <w:r>
              <w:rPr>
                <w:rFonts w:ascii="Times New Roman"/>
                <w:w w:val="105"/>
                <w:sz w:val="14"/>
              </w:rPr>
              <w:t>$</w:t>
              <w:tab/>
              <w:t>-</w:t>
            </w:r>
          </w:p>
        </w:tc>
        <w:tc>
          <w:tcPr>
            <w:tcW w:w="982" w:type="dxa"/>
            <w:tcBorders>
              <w:left w:val="single" w:sz="6" w:space="0" w:color="000000"/>
              <w:right w:val="single" w:sz="6" w:space="0" w:color="000000"/>
            </w:tcBorders>
          </w:tcPr>
          <w:p>
            <w:pPr>
              <w:pStyle w:val="TableParagraph"/>
              <w:spacing w:before="66"/>
              <w:ind w:left="75" w:right="76"/>
              <w:jc w:val="center"/>
              <w:rPr>
                <w:rFonts w:ascii="Times New Roman"/>
                <w:sz w:val="14"/>
              </w:rPr>
            </w:pPr>
            <w:r>
              <w:rPr>
                <w:rFonts w:ascii="Times New Roman"/>
                <w:w w:val="105"/>
                <w:sz w:val="14"/>
              </w:rPr>
              <w:t>$ 5,219,154</w:t>
            </w:r>
          </w:p>
        </w:tc>
        <w:tc>
          <w:tcPr>
            <w:tcW w:w="982" w:type="dxa"/>
            <w:tcBorders>
              <w:left w:val="single" w:sz="6" w:space="0" w:color="000000"/>
              <w:right w:val="single" w:sz="6" w:space="0" w:color="000000"/>
            </w:tcBorders>
          </w:tcPr>
          <w:p>
            <w:pPr>
              <w:pStyle w:val="TableParagraph"/>
              <w:spacing w:before="66"/>
              <w:ind w:left="75" w:right="78"/>
              <w:jc w:val="center"/>
              <w:rPr>
                <w:rFonts w:ascii="Times New Roman"/>
                <w:sz w:val="14"/>
              </w:rPr>
            </w:pPr>
            <w:r>
              <w:rPr>
                <w:rFonts w:ascii="Times New Roman"/>
                <w:w w:val="105"/>
                <w:sz w:val="14"/>
              </w:rPr>
              <w:t>$ 5,841,787</w:t>
            </w:r>
          </w:p>
        </w:tc>
        <w:tc>
          <w:tcPr>
            <w:tcW w:w="1143" w:type="dxa"/>
            <w:tcBorders>
              <w:left w:val="single" w:sz="6" w:space="0" w:color="000000"/>
              <w:right w:val="single" w:sz="6" w:space="0" w:color="000000"/>
            </w:tcBorders>
          </w:tcPr>
          <w:p>
            <w:pPr>
              <w:pStyle w:val="TableParagraph"/>
              <w:tabs>
                <w:tab w:pos="413" w:val="left" w:leader="none"/>
              </w:tabs>
              <w:spacing w:before="66"/>
              <w:ind w:right="3"/>
              <w:jc w:val="center"/>
              <w:rPr>
                <w:rFonts w:ascii="Times New Roman"/>
                <w:sz w:val="14"/>
              </w:rPr>
            </w:pPr>
            <w:r>
              <w:rPr>
                <w:rFonts w:ascii="Times New Roman"/>
                <w:w w:val="105"/>
                <w:sz w:val="14"/>
              </w:rPr>
              <w:t>$</w:t>
              <w:tab/>
              <w:t>8,188,966</w:t>
            </w:r>
          </w:p>
        </w:tc>
        <w:tc>
          <w:tcPr>
            <w:tcW w:w="982" w:type="dxa"/>
            <w:tcBorders>
              <w:left w:val="single" w:sz="6" w:space="0" w:color="000000"/>
              <w:right w:val="single" w:sz="6" w:space="0" w:color="000000"/>
            </w:tcBorders>
          </w:tcPr>
          <w:p>
            <w:pPr>
              <w:pStyle w:val="TableParagraph"/>
              <w:spacing w:before="66"/>
              <w:ind w:left="74" w:right="78"/>
              <w:jc w:val="center"/>
              <w:rPr>
                <w:rFonts w:ascii="Times New Roman"/>
                <w:sz w:val="14"/>
              </w:rPr>
            </w:pPr>
            <w:r>
              <w:rPr>
                <w:rFonts w:ascii="Times New Roman"/>
                <w:w w:val="105"/>
                <w:sz w:val="14"/>
              </w:rPr>
              <w:t>$ 6,983,915</w:t>
            </w:r>
          </w:p>
        </w:tc>
      </w:tr>
      <w:tr>
        <w:trPr>
          <w:trHeight w:val="203" w:hRule="atLeast"/>
        </w:trPr>
        <w:tc>
          <w:tcPr>
            <w:tcW w:w="2725" w:type="dxa"/>
          </w:tcPr>
          <w:p>
            <w:pPr>
              <w:pStyle w:val="TableParagraph"/>
              <w:spacing w:before="20"/>
              <w:ind w:left="188"/>
              <w:rPr>
                <w:rFonts w:ascii="Times New Roman"/>
                <w:sz w:val="14"/>
              </w:rPr>
            </w:pPr>
            <w:r>
              <w:rPr>
                <w:rFonts w:ascii="Times New Roman"/>
                <w:w w:val="105"/>
                <w:sz w:val="14"/>
              </w:rPr>
              <w:t>Auto Body Repair Shop-All Operations</w:t>
            </w:r>
          </w:p>
        </w:tc>
        <w:tc>
          <w:tcPr>
            <w:tcW w:w="486" w:type="dxa"/>
            <w:tcBorders>
              <w:right w:val="single" w:sz="6" w:space="0" w:color="000000"/>
            </w:tcBorders>
          </w:tcPr>
          <w:p>
            <w:pPr>
              <w:pStyle w:val="TableParagraph"/>
              <w:spacing w:before="20"/>
              <w:ind w:left="60"/>
              <w:rPr>
                <w:rFonts w:ascii="Times New Roman"/>
                <w:sz w:val="14"/>
              </w:rPr>
            </w:pPr>
            <w:r>
              <w:rPr>
                <w:rFonts w:ascii="Times New Roman"/>
                <w:w w:val="105"/>
                <w:sz w:val="14"/>
              </w:rPr>
              <w:t>8391</w:t>
            </w:r>
          </w:p>
        </w:tc>
        <w:tc>
          <w:tcPr>
            <w:tcW w:w="982" w:type="dxa"/>
            <w:tcBorders>
              <w:left w:val="single" w:sz="6" w:space="0" w:color="000000"/>
              <w:right w:val="single" w:sz="6" w:space="0" w:color="000000"/>
            </w:tcBorders>
          </w:tcPr>
          <w:p>
            <w:pPr>
              <w:pStyle w:val="TableParagraph"/>
              <w:spacing w:before="20"/>
              <w:ind w:left="10"/>
              <w:jc w:val="center"/>
              <w:rPr>
                <w:rFonts w:ascii="Times New Roman"/>
                <w:sz w:val="14"/>
              </w:rPr>
            </w:pPr>
            <w:r>
              <w:rPr>
                <w:rFonts w:ascii="Times New Roman"/>
                <w:w w:val="105"/>
                <w:sz w:val="14"/>
              </w:rPr>
              <w:t>$ 3,803,351</w:t>
            </w:r>
          </w:p>
        </w:tc>
        <w:tc>
          <w:tcPr>
            <w:tcW w:w="982" w:type="dxa"/>
            <w:tcBorders>
              <w:left w:val="single" w:sz="6" w:space="0" w:color="000000"/>
              <w:right w:val="single" w:sz="6" w:space="0" w:color="000000"/>
            </w:tcBorders>
          </w:tcPr>
          <w:p>
            <w:pPr>
              <w:pStyle w:val="TableParagraph"/>
              <w:spacing w:before="20"/>
              <w:ind w:left="75" w:right="76"/>
              <w:jc w:val="center"/>
              <w:rPr>
                <w:rFonts w:ascii="Times New Roman"/>
                <w:sz w:val="14"/>
              </w:rPr>
            </w:pPr>
            <w:r>
              <w:rPr>
                <w:rFonts w:ascii="Times New Roman"/>
                <w:w w:val="105"/>
                <w:sz w:val="14"/>
              </w:rPr>
              <w:t>$ 4,915,915</w:t>
            </w:r>
          </w:p>
        </w:tc>
        <w:tc>
          <w:tcPr>
            <w:tcW w:w="982" w:type="dxa"/>
            <w:tcBorders>
              <w:left w:val="single" w:sz="6" w:space="0" w:color="000000"/>
              <w:right w:val="single" w:sz="6" w:space="0" w:color="000000"/>
            </w:tcBorders>
          </w:tcPr>
          <w:p>
            <w:pPr>
              <w:pStyle w:val="TableParagraph"/>
              <w:spacing w:before="20"/>
              <w:jc w:val="center"/>
              <w:rPr>
                <w:rFonts w:ascii="Times New Roman"/>
                <w:sz w:val="14"/>
              </w:rPr>
            </w:pPr>
            <w:r>
              <w:rPr>
                <w:rFonts w:ascii="Times New Roman"/>
                <w:w w:val="105"/>
                <w:sz w:val="14"/>
              </w:rPr>
              <w:t>$ 4,539,463</w:t>
            </w:r>
          </w:p>
        </w:tc>
        <w:tc>
          <w:tcPr>
            <w:tcW w:w="982" w:type="dxa"/>
            <w:tcBorders>
              <w:left w:val="single" w:sz="6" w:space="0" w:color="000000"/>
              <w:right w:val="single" w:sz="6" w:space="0" w:color="000000"/>
            </w:tcBorders>
          </w:tcPr>
          <w:p>
            <w:pPr>
              <w:pStyle w:val="TableParagraph"/>
              <w:spacing w:before="20"/>
              <w:ind w:left="75" w:right="76"/>
              <w:jc w:val="center"/>
              <w:rPr>
                <w:rFonts w:ascii="Times New Roman"/>
                <w:sz w:val="14"/>
              </w:rPr>
            </w:pPr>
            <w:r>
              <w:rPr>
                <w:rFonts w:ascii="Times New Roman"/>
                <w:w w:val="105"/>
                <w:sz w:val="14"/>
              </w:rPr>
              <w:t>$ 4,775,691</w:t>
            </w:r>
          </w:p>
        </w:tc>
        <w:tc>
          <w:tcPr>
            <w:tcW w:w="982" w:type="dxa"/>
            <w:tcBorders>
              <w:left w:val="single" w:sz="6" w:space="0" w:color="000000"/>
              <w:right w:val="single" w:sz="6" w:space="0" w:color="000000"/>
            </w:tcBorders>
          </w:tcPr>
          <w:p>
            <w:pPr>
              <w:pStyle w:val="TableParagraph"/>
              <w:tabs>
                <w:tab w:pos="782" w:val="left" w:leader="none"/>
              </w:tabs>
              <w:spacing w:before="20"/>
              <w:jc w:val="center"/>
              <w:rPr>
                <w:rFonts w:ascii="Times New Roman"/>
                <w:sz w:val="14"/>
              </w:rPr>
            </w:pPr>
            <w:r>
              <w:rPr>
                <w:rFonts w:ascii="Times New Roman"/>
                <w:w w:val="105"/>
                <w:sz w:val="14"/>
              </w:rPr>
              <w:t>$</w:t>
              <w:tab/>
              <w:t>-</w:t>
            </w:r>
          </w:p>
        </w:tc>
        <w:tc>
          <w:tcPr>
            <w:tcW w:w="982" w:type="dxa"/>
            <w:tcBorders>
              <w:left w:val="single" w:sz="6" w:space="0" w:color="000000"/>
              <w:right w:val="single" w:sz="6" w:space="0" w:color="000000"/>
            </w:tcBorders>
          </w:tcPr>
          <w:p>
            <w:pPr>
              <w:pStyle w:val="TableParagraph"/>
              <w:tabs>
                <w:tab w:pos="784" w:val="left" w:leader="none"/>
              </w:tabs>
              <w:spacing w:before="20"/>
              <w:jc w:val="center"/>
              <w:rPr>
                <w:rFonts w:ascii="Times New Roman"/>
                <w:sz w:val="14"/>
              </w:rPr>
            </w:pPr>
            <w:r>
              <w:rPr>
                <w:rFonts w:ascii="Times New Roman"/>
                <w:w w:val="105"/>
                <w:sz w:val="14"/>
              </w:rPr>
              <w:t>$</w:t>
              <w:tab/>
              <w:t>-</w:t>
            </w:r>
          </w:p>
        </w:tc>
        <w:tc>
          <w:tcPr>
            <w:tcW w:w="1143" w:type="dxa"/>
            <w:tcBorders>
              <w:left w:val="single" w:sz="6" w:space="0" w:color="000000"/>
              <w:right w:val="single" w:sz="6" w:space="0" w:color="000000"/>
            </w:tcBorders>
          </w:tcPr>
          <w:p>
            <w:pPr>
              <w:pStyle w:val="TableParagraph"/>
              <w:tabs>
                <w:tab w:pos="944" w:val="left" w:leader="none"/>
              </w:tabs>
              <w:spacing w:before="20"/>
              <w:ind w:right="1"/>
              <w:jc w:val="center"/>
              <w:rPr>
                <w:rFonts w:ascii="Times New Roman"/>
                <w:sz w:val="14"/>
              </w:rPr>
            </w:pPr>
            <w:r>
              <w:rPr>
                <w:rFonts w:ascii="Times New Roman"/>
                <w:w w:val="105"/>
                <w:sz w:val="14"/>
              </w:rPr>
              <w:t>$</w:t>
              <w:tab/>
              <w:t>-</w:t>
            </w:r>
          </w:p>
        </w:tc>
        <w:tc>
          <w:tcPr>
            <w:tcW w:w="982" w:type="dxa"/>
            <w:tcBorders>
              <w:left w:val="single" w:sz="6" w:space="0" w:color="000000"/>
              <w:right w:val="single" w:sz="6" w:space="0" w:color="000000"/>
            </w:tcBorders>
          </w:tcPr>
          <w:p>
            <w:pPr>
              <w:pStyle w:val="TableParagraph"/>
              <w:rPr>
                <w:rFonts w:ascii="Times New Roman"/>
                <w:sz w:val="14"/>
              </w:rPr>
            </w:pPr>
          </w:p>
        </w:tc>
      </w:tr>
      <w:tr>
        <w:trPr>
          <w:trHeight w:val="203" w:hRule="atLeast"/>
        </w:trPr>
        <w:tc>
          <w:tcPr>
            <w:tcW w:w="2725" w:type="dxa"/>
          </w:tcPr>
          <w:p>
            <w:pPr>
              <w:pStyle w:val="TableParagraph"/>
              <w:spacing w:before="20"/>
              <w:ind w:left="188"/>
              <w:rPr>
                <w:rFonts w:ascii="Times New Roman"/>
                <w:sz w:val="14"/>
              </w:rPr>
            </w:pPr>
            <w:r>
              <w:rPr>
                <w:rFonts w:ascii="Times New Roman"/>
                <w:w w:val="105"/>
                <w:sz w:val="14"/>
              </w:rPr>
              <w:t>Bus Co: All Other Employees &amp; Drivers</w:t>
            </w:r>
          </w:p>
        </w:tc>
        <w:tc>
          <w:tcPr>
            <w:tcW w:w="486" w:type="dxa"/>
            <w:tcBorders>
              <w:right w:val="single" w:sz="6" w:space="0" w:color="000000"/>
            </w:tcBorders>
          </w:tcPr>
          <w:p>
            <w:pPr>
              <w:pStyle w:val="TableParagraph"/>
              <w:spacing w:before="20"/>
              <w:ind w:left="59"/>
              <w:rPr>
                <w:rFonts w:ascii="Times New Roman"/>
                <w:sz w:val="14"/>
              </w:rPr>
            </w:pPr>
            <w:r>
              <w:rPr>
                <w:rFonts w:ascii="Times New Roman"/>
                <w:w w:val="105"/>
                <w:sz w:val="14"/>
              </w:rPr>
              <w:t>8394</w:t>
            </w:r>
          </w:p>
        </w:tc>
        <w:tc>
          <w:tcPr>
            <w:tcW w:w="982" w:type="dxa"/>
            <w:tcBorders>
              <w:left w:val="single" w:sz="6" w:space="0" w:color="000000"/>
              <w:right w:val="single" w:sz="6" w:space="0" w:color="000000"/>
            </w:tcBorders>
          </w:tcPr>
          <w:p>
            <w:pPr>
              <w:pStyle w:val="TableParagraph"/>
              <w:spacing w:before="20"/>
              <w:ind w:left="11"/>
              <w:jc w:val="center"/>
              <w:rPr>
                <w:rFonts w:ascii="Times New Roman"/>
                <w:sz w:val="14"/>
              </w:rPr>
            </w:pPr>
            <w:r>
              <w:rPr>
                <w:rFonts w:ascii="Times New Roman"/>
                <w:w w:val="105"/>
                <w:sz w:val="14"/>
              </w:rPr>
              <w:t>$ 17,889,739</w:t>
            </w:r>
          </w:p>
        </w:tc>
        <w:tc>
          <w:tcPr>
            <w:tcW w:w="982" w:type="dxa"/>
            <w:tcBorders>
              <w:left w:val="single" w:sz="6" w:space="0" w:color="000000"/>
              <w:right w:val="single" w:sz="6" w:space="0" w:color="000000"/>
            </w:tcBorders>
          </w:tcPr>
          <w:p>
            <w:pPr>
              <w:pStyle w:val="TableParagraph"/>
              <w:spacing w:before="20"/>
              <w:ind w:left="75" w:right="76"/>
              <w:jc w:val="center"/>
              <w:rPr>
                <w:rFonts w:ascii="Times New Roman"/>
                <w:sz w:val="14"/>
              </w:rPr>
            </w:pPr>
            <w:r>
              <w:rPr>
                <w:rFonts w:ascii="Times New Roman"/>
                <w:w w:val="105"/>
                <w:sz w:val="14"/>
              </w:rPr>
              <w:t>$ 16,395,741</w:t>
            </w:r>
          </w:p>
        </w:tc>
        <w:tc>
          <w:tcPr>
            <w:tcW w:w="982" w:type="dxa"/>
            <w:tcBorders>
              <w:left w:val="single" w:sz="6" w:space="0" w:color="000000"/>
              <w:right w:val="single" w:sz="6" w:space="0" w:color="000000"/>
            </w:tcBorders>
          </w:tcPr>
          <w:p>
            <w:pPr>
              <w:pStyle w:val="TableParagraph"/>
              <w:spacing w:before="20"/>
              <w:jc w:val="center"/>
              <w:rPr>
                <w:rFonts w:ascii="Times New Roman"/>
                <w:sz w:val="14"/>
              </w:rPr>
            </w:pPr>
            <w:r>
              <w:rPr>
                <w:rFonts w:ascii="Times New Roman"/>
                <w:w w:val="105"/>
                <w:sz w:val="14"/>
              </w:rPr>
              <w:t>$ 17,117,238</w:t>
            </w:r>
          </w:p>
        </w:tc>
        <w:tc>
          <w:tcPr>
            <w:tcW w:w="982" w:type="dxa"/>
            <w:tcBorders>
              <w:left w:val="single" w:sz="6" w:space="0" w:color="000000"/>
              <w:right w:val="single" w:sz="6" w:space="0" w:color="000000"/>
            </w:tcBorders>
          </w:tcPr>
          <w:p>
            <w:pPr>
              <w:pStyle w:val="TableParagraph"/>
              <w:spacing w:before="20"/>
              <w:ind w:left="75" w:right="76"/>
              <w:jc w:val="center"/>
              <w:rPr>
                <w:rFonts w:ascii="Times New Roman"/>
                <w:sz w:val="14"/>
              </w:rPr>
            </w:pPr>
            <w:r>
              <w:rPr>
                <w:rFonts w:ascii="Times New Roman"/>
                <w:w w:val="105"/>
                <w:sz w:val="14"/>
              </w:rPr>
              <w:t>$ 17,354,875</w:t>
            </w:r>
          </w:p>
        </w:tc>
        <w:tc>
          <w:tcPr>
            <w:tcW w:w="982" w:type="dxa"/>
            <w:tcBorders>
              <w:left w:val="single" w:sz="6" w:space="0" w:color="000000"/>
              <w:right w:val="single" w:sz="6" w:space="0" w:color="000000"/>
            </w:tcBorders>
          </w:tcPr>
          <w:p>
            <w:pPr>
              <w:pStyle w:val="TableParagraph"/>
              <w:spacing w:before="20"/>
              <w:ind w:left="75" w:right="77"/>
              <w:jc w:val="center"/>
              <w:rPr>
                <w:rFonts w:ascii="Times New Roman"/>
                <w:sz w:val="14"/>
              </w:rPr>
            </w:pPr>
            <w:r>
              <w:rPr>
                <w:rFonts w:ascii="Times New Roman"/>
                <w:w w:val="105"/>
                <w:sz w:val="14"/>
              </w:rPr>
              <w:t>$ 17,476,657</w:t>
            </w:r>
          </w:p>
        </w:tc>
        <w:tc>
          <w:tcPr>
            <w:tcW w:w="982" w:type="dxa"/>
            <w:tcBorders>
              <w:left w:val="single" w:sz="6" w:space="0" w:color="000000"/>
              <w:right w:val="single" w:sz="6" w:space="0" w:color="000000"/>
            </w:tcBorders>
          </w:tcPr>
          <w:p>
            <w:pPr>
              <w:pStyle w:val="TableParagraph"/>
              <w:spacing w:before="20"/>
              <w:ind w:left="75" w:right="78"/>
              <w:jc w:val="center"/>
              <w:rPr>
                <w:rFonts w:ascii="Times New Roman"/>
                <w:sz w:val="14"/>
              </w:rPr>
            </w:pPr>
            <w:r>
              <w:rPr>
                <w:rFonts w:ascii="Times New Roman"/>
                <w:w w:val="105"/>
                <w:sz w:val="14"/>
              </w:rPr>
              <w:t>$ 22,269,657</w:t>
            </w:r>
          </w:p>
        </w:tc>
        <w:tc>
          <w:tcPr>
            <w:tcW w:w="1143" w:type="dxa"/>
            <w:tcBorders>
              <w:left w:val="single" w:sz="6" w:space="0" w:color="000000"/>
              <w:right w:val="single" w:sz="6" w:space="0" w:color="000000"/>
            </w:tcBorders>
          </w:tcPr>
          <w:p>
            <w:pPr>
              <w:pStyle w:val="TableParagraph"/>
              <w:tabs>
                <w:tab w:pos="341" w:val="left" w:leader="none"/>
              </w:tabs>
              <w:spacing w:before="20"/>
              <w:ind w:right="3"/>
              <w:jc w:val="center"/>
              <w:rPr>
                <w:rFonts w:ascii="Times New Roman"/>
                <w:sz w:val="14"/>
              </w:rPr>
            </w:pPr>
            <w:r>
              <w:rPr>
                <w:rFonts w:ascii="Times New Roman"/>
                <w:w w:val="105"/>
                <w:sz w:val="14"/>
              </w:rPr>
              <w:t>$</w:t>
              <w:tab/>
              <w:t>17,626,630</w:t>
            </w:r>
          </w:p>
        </w:tc>
        <w:tc>
          <w:tcPr>
            <w:tcW w:w="982" w:type="dxa"/>
            <w:tcBorders>
              <w:left w:val="single" w:sz="6" w:space="0" w:color="000000"/>
              <w:right w:val="single" w:sz="6" w:space="0" w:color="000000"/>
            </w:tcBorders>
          </w:tcPr>
          <w:p>
            <w:pPr>
              <w:pStyle w:val="TableParagraph"/>
              <w:spacing w:before="20"/>
              <w:ind w:left="74" w:right="78"/>
              <w:jc w:val="center"/>
              <w:rPr>
                <w:rFonts w:ascii="Times New Roman"/>
                <w:sz w:val="14"/>
              </w:rPr>
            </w:pPr>
            <w:r>
              <w:rPr>
                <w:rFonts w:ascii="Times New Roman"/>
                <w:w w:val="105"/>
                <w:sz w:val="14"/>
              </w:rPr>
              <w:t>$ 20,102,512</w:t>
            </w:r>
          </w:p>
        </w:tc>
      </w:tr>
      <w:tr>
        <w:trPr>
          <w:trHeight w:val="198" w:hRule="atLeast"/>
        </w:trPr>
        <w:tc>
          <w:tcPr>
            <w:tcW w:w="2725" w:type="dxa"/>
          </w:tcPr>
          <w:p>
            <w:pPr>
              <w:pStyle w:val="TableParagraph"/>
              <w:spacing w:line="159" w:lineRule="exact" w:before="20"/>
              <w:ind w:left="188"/>
              <w:rPr>
                <w:rFonts w:ascii="Times New Roman"/>
                <w:sz w:val="14"/>
              </w:rPr>
            </w:pPr>
            <w:r>
              <w:rPr>
                <w:rFonts w:ascii="Times New Roman"/>
                <w:w w:val="105"/>
                <w:sz w:val="14"/>
              </w:rPr>
              <w:t>Clerical Office Employees - NOC</w:t>
            </w:r>
          </w:p>
        </w:tc>
        <w:tc>
          <w:tcPr>
            <w:tcW w:w="486" w:type="dxa"/>
            <w:tcBorders>
              <w:right w:val="single" w:sz="6" w:space="0" w:color="000000"/>
            </w:tcBorders>
          </w:tcPr>
          <w:p>
            <w:pPr>
              <w:pStyle w:val="TableParagraph"/>
              <w:spacing w:line="159" w:lineRule="exact" w:before="20"/>
              <w:ind w:left="59"/>
              <w:rPr>
                <w:rFonts w:ascii="Times New Roman"/>
                <w:sz w:val="14"/>
              </w:rPr>
            </w:pPr>
            <w:r>
              <w:rPr>
                <w:rFonts w:ascii="Times New Roman"/>
                <w:w w:val="105"/>
                <w:sz w:val="14"/>
              </w:rPr>
              <w:t>8810</w:t>
            </w:r>
          </w:p>
        </w:tc>
        <w:tc>
          <w:tcPr>
            <w:tcW w:w="982" w:type="dxa"/>
            <w:tcBorders>
              <w:left w:val="single" w:sz="6" w:space="0" w:color="000000"/>
              <w:right w:val="single" w:sz="6" w:space="0" w:color="000000"/>
            </w:tcBorders>
          </w:tcPr>
          <w:p>
            <w:pPr>
              <w:pStyle w:val="TableParagraph"/>
              <w:spacing w:line="159" w:lineRule="exact" w:before="20"/>
              <w:ind w:left="9"/>
              <w:jc w:val="center"/>
              <w:rPr>
                <w:rFonts w:ascii="Times New Roman"/>
                <w:sz w:val="14"/>
              </w:rPr>
            </w:pPr>
            <w:r>
              <w:rPr>
                <w:rFonts w:ascii="Times New Roman"/>
                <w:w w:val="105"/>
                <w:sz w:val="14"/>
              </w:rPr>
              <w:t>$ 8,223,775</w:t>
            </w:r>
          </w:p>
        </w:tc>
        <w:tc>
          <w:tcPr>
            <w:tcW w:w="982" w:type="dxa"/>
            <w:tcBorders>
              <w:left w:val="single" w:sz="6" w:space="0" w:color="000000"/>
              <w:right w:val="single" w:sz="6" w:space="0" w:color="000000"/>
            </w:tcBorders>
          </w:tcPr>
          <w:p>
            <w:pPr>
              <w:pStyle w:val="TableParagraph"/>
              <w:spacing w:line="159" w:lineRule="exact" w:before="20"/>
              <w:ind w:left="75" w:right="76"/>
              <w:jc w:val="center"/>
              <w:rPr>
                <w:rFonts w:ascii="Times New Roman"/>
                <w:sz w:val="14"/>
              </w:rPr>
            </w:pPr>
            <w:r>
              <w:rPr>
                <w:rFonts w:ascii="Times New Roman"/>
                <w:w w:val="105"/>
                <w:sz w:val="14"/>
              </w:rPr>
              <w:t>$ 8,191,085</w:t>
            </w:r>
          </w:p>
        </w:tc>
        <w:tc>
          <w:tcPr>
            <w:tcW w:w="982" w:type="dxa"/>
            <w:tcBorders>
              <w:left w:val="single" w:sz="6" w:space="0" w:color="000000"/>
              <w:right w:val="single" w:sz="6" w:space="0" w:color="000000"/>
            </w:tcBorders>
          </w:tcPr>
          <w:p>
            <w:pPr>
              <w:pStyle w:val="TableParagraph"/>
              <w:spacing w:line="159" w:lineRule="exact" w:before="20"/>
              <w:jc w:val="center"/>
              <w:rPr>
                <w:rFonts w:ascii="Times New Roman"/>
                <w:sz w:val="14"/>
              </w:rPr>
            </w:pPr>
            <w:r>
              <w:rPr>
                <w:rFonts w:ascii="Times New Roman"/>
                <w:w w:val="105"/>
                <w:sz w:val="14"/>
              </w:rPr>
              <w:t>$ 8,018,511</w:t>
            </w:r>
          </w:p>
        </w:tc>
        <w:tc>
          <w:tcPr>
            <w:tcW w:w="982" w:type="dxa"/>
            <w:tcBorders>
              <w:left w:val="single" w:sz="6" w:space="0" w:color="000000"/>
              <w:right w:val="single" w:sz="6" w:space="0" w:color="000000"/>
            </w:tcBorders>
          </w:tcPr>
          <w:p>
            <w:pPr>
              <w:pStyle w:val="TableParagraph"/>
              <w:spacing w:line="159" w:lineRule="exact" w:before="20"/>
              <w:ind w:left="75" w:right="76"/>
              <w:jc w:val="center"/>
              <w:rPr>
                <w:rFonts w:ascii="Times New Roman"/>
                <w:sz w:val="14"/>
              </w:rPr>
            </w:pPr>
            <w:r>
              <w:rPr>
                <w:rFonts w:ascii="Times New Roman"/>
                <w:w w:val="105"/>
                <w:sz w:val="14"/>
              </w:rPr>
              <w:t>$ 8,750,403</w:t>
            </w:r>
          </w:p>
        </w:tc>
        <w:tc>
          <w:tcPr>
            <w:tcW w:w="982" w:type="dxa"/>
            <w:tcBorders>
              <w:left w:val="single" w:sz="6" w:space="0" w:color="000000"/>
              <w:right w:val="single" w:sz="6" w:space="0" w:color="000000"/>
            </w:tcBorders>
          </w:tcPr>
          <w:p>
            <w:pPr>
              <w:pStyle w:val="TableParagraph"/>
              <w:spacing w:line="159" w:lineRule="exact" w:before="20"/>
              <w:ind w:left="75" w:right="77"/>
              <w:jc w:val="center"/>
              <w:rPr>
                <w:rFonts w:ascii="Times New Roman"/>
                <w:sz w:val="14"/>
              </w:rPr>
            </w:pPr>
            <w:r>
              <w:rPr>
                <w:rFonts w:ascii="Times New Roman"/>
                <w:w w:val="105"/>
                <w:sz w:val="14"/>
              </w:rPr>
              <w:t>$ 9,431,271</w:t>
            </w:r>
          </w:p>
        </w:tc>
        <w:tc>
          <w:tcPr>
            <w:tcW w:w="982" w:type="dxa"/>
            <w:tcBorders>
              <w:left w:val="single" w:sz="6" w:space="0" w:color="000000"/>
              <w:right w:val="single" w:sz="6" w:space="0" w:color="000000"/>
            </w:tcBorders>
          </w:tcPr>
          <w:p>
            <w:pPr>
              <w:pStyle w:val="TableParagraph"/>
              <w:spacing w:line="159" w:lineRule="exact" w:before="20"/>
              <w:ind w:left="75" w:right="78"/>
              <w:jc w:val="center"/>
              <w:rPr>
                <w:rFonts w:ascii="Times New Roman"/>
                <w:sz w:val="14"/>
              </w:rPr>
            </w:pPr>
            <w:r>
              <w:rPr>
                <w:rFonts w:ascii="Times New Roman"/>
                <w:w w:val="105"/>
                <w:sz w:val="14"/>
              </w:rPr>
              <w:t>$ 7,546,203</w:t>
            </w:r>
          </w:p>
        </w:tc>
        <w:tc>
          <w:tcPr>
            <w:tcW w:w="1143" w:type="dxa"/>
            <w:tcBorders>
              <w:left w:val="single" w:sz="6" w:space="0" w:color="000000"/>
              <w:right w:val="single" w:sz="6" w:space="0" w:color="000000"/>
            </w:tcBorders>
          </w:tcPr>
          <w:p>
            <w:pPr>
              <w:pStyle w:val="TableParagraph"/>
              <w:tabs>
                <w:tab w:pos="341" w:val="left" w:leader="none"/>
              </w:tabs>
              <w:spacing w:line="159" w:lineRule="exact" w:before="20"/>
              <w:ind w:right="3"/>
              <w:jc w:val="center"/>
              <w:rPr>
                <w:rFonts w:ascii="Times New Roman"/>
                <w:sz w:val="14"/>
              </w:rPr>
            </w:pPr>
            <w:r>
              <w:rPr>
                <w:rFonts w:ascii="Times New Roman"/>
                <w:w w:val="105"/>
                <w:sz w:val="14"/>
              </w:rPr>
              <w:t>$</w:t>
              <w:tab/>
              <w:t>12,134,937</w:t>
            </w:r>
          </w:p>
        </w:tc>
        <w:tc>
          <w:tcPr>
            <w:tcW w:w="982" w:type="dxa"/>
            <w:tcBorders>
              <w:left w:val="single" w:sz="6" w:space="0" w:color="000000"/>
              <w:right w:val="single" w:sz="6" w:space="0" w:color="000000"/>
            </w:tcBorders>
          </w:tcPr>
          <w:p>
            <w:pPr>
              <w:pStyle w:val="TableParagraph"/>
              <w:spacing w:line="159" w:lineRule="exact" w:before="20"/>
              <w:ind w:left="74" w:right="78"/>
              <w:jc w:val="center"/>
              <w:rPr>
                <w:rFonts w:ascii="Times New Roman"/>
                <w:sz w:val="14"/>
              </w:rPr>
            </w:pPr>
            <w:r>
              <w:rPr>
                <w:rFonts w:ascii="Times New Roman"/>
                <w:w w:val="105"/>
                <w:sz w:val="14"/>
              </w:rPr>
              <w:t>$ 11,184,814</w:t>
            </w:r>
          </w:p>
        </w:tc>
      </w:tr>
      <w:tr>
        <w:trPr>
          <w:trHeight w:val="93" w:hRule="atLeast"/>
        </w:trPr>
        <w:tc>
          <w:tcPr>
            <w:tcW w:w="2725" w:type="dxa"/>
          </w:tcPr>
          <w:p>
            <w:pPr>
              <w:pStyle w:val="TableParagraph"/>
              <w:rPr>
                <w:rFonts w:ascii="Times New Roman"/>
                <w:sz w:val="4"/>
              </w:rPr>
            </w:pPr>
          </w:p>
        </w:tc>
        <w:tc>
          <w:tcPr>
            <w:tcW w:w="486" w:type="dxa"/>
            <w:tcBorders>
              <w:right w:val="single" w:sz="6" w:space="0" w:color="000000"/>
            </w:tcBorders>
          </w:tcPr>
          <w:p>
            <w:pPr>
              <w:pStyle w:val="TableParagraph"/>
              <w:rPr>
                <w:rFonts w:ascii="Times New Roman"/>
                <w:sz w:val="4"/>
              </w:rPr>
            </w:pPr>
          </w:p>
        </w:tc>
        <w:tc>
          <w:tcPr>
            <w:tcW w:w="982" w:type="dxa"/>
            <w:tcBorders>
              <w:left w:val="single" w:sz="6" w:space="0" w:color="000000"/>
              <w:right w:val="single" w:sz="6" w:space="0" w:color="000000"/>
            </w:tcBorders>
          </w:tcPr>
          <w:p>
            <w:pPr>
              <w:pStyle w:val="TableParagraph"/>
              <w:rPr>
                <w:rFonts w:ascii="Times New Roman"/>
                <w:sz w:val="4"/>
              </w:rPr>
            </w:pPr>
          </w:p>
        </w:tc>
        <w:tc>
          <w:tcPr>
            <w:tcW w:w="982" w:type="dxa"/>
            <w:tcBorders>
              <w:left w:val="single" w:sz="6" w:space="0" w:color="000000"/>
              <w:right w:val="single" w:sz="6" w:space="0" w:color="000000"/>
            </w:tcBorders>
          </w:tcPr>
          <w:p>
            <w:pPr>
              <w:pStyle w:val="TableParagraph"/>
              <w:rPr>
                <w:rFonts w:ascii="Times New Roman"/>
                <w:sz w:val="4"/>
              </w:rPr>
            </w:pPr>
          </w:p>
        </w:tc>
        <w:tc>
          <w:tcPr>
            <w:tcW w:w="982" w:type="dxa"/>
            <w:tcBorders>
              <w:left w:val="single" w:sz="6" w:space="0" w:color="000000"/>
              <w:right w:val="single" w:sz="6" w:space="0" w:color="000000"/>
            </w:tcBorders>
          </w:tcPr>
          <w:p>
            <w:pPr>
              <w:pStyle w:val="TableParagraph"/>
              <w:rPr>
                <w:rFonts w:ascii="Times New Roman"/>
                <w:sz w:val="4"/>
              </w:rPr>
            </w:pPr>
          </w:p>
        </w:tc>
        <w:tc>
          <w:tcPr>
            <w:tcW w:w="982" w:type="dxa"/>
            <w:tcBorders>
              <w:left w:val="single" w:sz="6" w:space="0" w:color="000000"/>
              <w:right w:val="single" w:sz="6" w:space="0" w:color="000000"/>
            </w:tcBorders>
          </w:tcPr>
          <w:p>
            <w:pPr>
              <w:pStyle w:val="TableParagraph"/>
              <w:rPr>
                <w:rFonts w:ascii="Times New Roman"/>
                <w:sz w:val="4"/>
              </w:rPr>
            </w:pPr>
          </w:p>
        </w:tc>
        <w:tc>
          <w:tcPr>
            <w:tcW w:w="982" w:type="dxa"/>
            <w:tcBorders>
              <w:left w:val="single" w:sz="6" w:space="0" w:color="000000"/>
              <w:right w:val="single" w:sz="6" w:space="0" w:color="000000"/>
            </w:tcBorders>
          </w:tcPr>
          <w:p>
            <w:pPr>
              <w:pStyle w:val="TableParagraph"/>
              <w:rPr>
                <w:rFonts w:ascii="Times New Roman"/>
                <w:sz w:val="4"/>
              </w:rPr>
            </w:pPr>
          </w:p>
        </w:tc>
        <w:tc>
          <w:tcPr>
            <w:tcW w:w="982" w:type="dxa"/>
            <w:tcBorders>
              <w:left w:val="single" w:sz="6" w:space="0" w:color="000000"/>
            </w:tcBorders>
          </w:tcPr>
          <w:p>
            <w:pPr>
              <w:pStyle w:val="TableParagraph"/>
              <w:rPr>
                <w:rFonts w:ascii="Times New Roman"/>
                <w:sz w:val="4"/>
              </w:rPr>
            </w:pPr>
          </w:p>
        </w:tc>
        <w:tc>
          <w:tcPr>
            <w:tcW w:w="1143" w:type="dxa"/>
            <w:tcBorders>
              <w:right w:val="single" w:sz="6" w:space="0" w:color="000000"/>
            </w:tcBorders>
          </w:tcPr>
          <w:p>
            <w:pPr>
              <w:pStyle w:val="TableParagraph"/>
              <w:rPr>
                <w:rFonts w:ascii="Times New Roman"/>
                <w:sz w:val="4"/>
              </w:rPr>
            </w:pPr>
          </w:p>
        </w:tc>
        <w:tc>
          <w:tcPr>
            <w:tcW w:w="982" w:type="dxa"/>
            <w:tcBorders>
              <w:left w:val="single" w:sz="6" w:space="0" w:color="000000"/>
              <w:right w:val="single" w:sz="6" w:space="0" w:color="000000"/>
            </w:tcBorders>
          </w:tcPr>
          <w:p>
            <w:pPr>
              <w:pStyle w:val="TableParagraph"/>
              <w:rPr>
                <w:rFonts w:ascii="Times New Roman"/>
                <w:sz w:val="4"/>
              </w:rPr>
            </w:pPr>
          </w:p>
        </w:tc>
      </w:tr>
      <w:tr>
        <w:trPr>
          <w:trHeight w:val="301" w:hRule="atLeast"/>
        </w:trPr>
        <w:tc>
          <w:tcPr>
            <w:tcW w:w="2725" w:type="dxa"/>
          </w:tcPr>
          <w:p>
            <w:pPr>
              <w:pStyle w:val="TableParagraph"/>
              <w:spacing w:before="27"/>
              <w:ind w:left="188"/>
              <w:rPr>
                <w:rFonts w:ascii="Times New Roman"/>
                <w:b/>
                <w:sz w:val="14"/>
              </w:rPr>
            </w:pPr>
            <w:r>
              <w:rPr>
                <w:rFonts w:ascii="Times New Roman"/>
                <w:b/>
                <w:w w:val="105"/>
                <w:sz w:val="14"/>
              </w:rPr>
              <w:t>TOTAL PAYROLL</w:t>
            </w:r>
          </w:p>
        </w:tc>
        <w:tc>
          <w:tcPr>
            <w:tcW w:w="486" w:type="dxa"/>
            <w:tcBorders>
              <w:right w:val="single" w:sz="6" w:space="0" w:color="000000"/>
            </w:tcBorders>
          </w:tcPr>
          <w:p>
            <w:pPr>
              <w:pStyle w:val="TableParagraph"/>
              <w:rPr>
                <w:rFonts w:ascii="Times New Roman"/>
                <w:sz w:val="14"/>
              </w:rPr>
            </w:pPr>
          </w:p>
        </w:tc>
        <w:tc>
          <w:tcPr>
            <w:tcW w:w="982" w:type="dxa"/>
            <w:tcBorders>
              <w:left w:val="single" w:sz="6" w:space="0" w:color="000000"/>
              <w:right w:val="single" w:sz="6" w:space="0" w:color="000000"/>
            </w:tcBorders>
          </w:tcPr>
          <w:p>
            <w:pPr>
              <w:pStyle w:val="TableParagraph"/>
              <w:spacing w:before="27"/>
              <w:ind w:left="9"/>
              <w:jc w:val="center"/>
              <w:rPr>
                <w:rFonts w:ascii="Times New Roman"/>
                <w:b/>
                <w:sz w:val="14"/>
              </w:rPr>
            </w:pPr>
            <w:r>
              <w:rPr>
                <w:rFonts w:ascii="Times New Roman"/>
                <w:b/>
                <w:w w:val="105"/>
                <w:sz w:val="14"/>
              </w:rPr>
              <w:t>$ 29,916,865</w:t>
            </w:r>
          </w:p>
        </w:tc>
        <w:tc>
          <w:tcPr>
            <w:tcW w:w="982" w:type="dxa"/>
            <w:tcBorders>
              <w:left w:val="single" w:sz="6" w:space="0" w:color="000000"/>
              <w:right w:val="single" w:sz="6" w:space="0" w:color="000000"/>
            </w:tcBorders>
          </w:tcPr>
          <w:p>
            <w:pPr>
              <w:pStyle w:val="TableParagraph"/>
              <w:spacing w:before="27"/>
              <w:ind w:left="8"/>
              <w:jc w:val="center"/>
              <w:rPr>
                <w:rFonts w:ascii="Times New Roman"/>
                <w:b/>
                <w:sz w:val="14"/>
              </w:rPr>
            </w:pPr>
            <w:r>
              <w:rPr>
                <w:rFonts w:ascii="Times New Roman"/>
                <w:b/>
                <w:w w:val="105"/>
                <w:sz w:val="14"/>
              </w:rPr>
              <w:t>$ 29,502,741</w:t>
            </w:r>
          </w:p>
        </w:tc>
        <w:tc>
          <w:tcPr>
            <w:tcW w:w="982" w:type="dxa"/>
            <w:tcBorders>
              <w:left w:val="single" w:sz="6" w:space="0" w:color="000000"/>
              <w:right w:val="single" w:sz="6" w:space="0" w:color="000000"/>
            </w:tcBorders>
          </w:tcPr>
          <w:p>
            <w:pPr>
              <w:pStyle w:val="TableParagraph"/>
              <w:spacing w:before="27"/>
              <w:ind w:left="7"/>
              <w:jc w:val="center"/>
              <w:rPr>
                <w:rFonts w:ascii="Times New Roman"/>
                <w:b/>
                <w:sz w:val="14"/>
              </w:rPr>
            </w:pPr>
            <w:r>
              <w:rPr>
                <w:rFonts w:ascii="Times New Roman"/>
                <w:b/>
                <w:w w:val="105"/>
                <w:sz w:val="14"/>
              </w:rPr>
              <w:t>$ 29,675,212</w:t>
            </w:r>
          </w:p>
        </w:tc>
        <w:tc>
          <w:tcPr>
            <w:tcW w:w="982" w:type="dxa"/>
            <w:tcBorders>
              <w:left w:val="single" w:sz="6" w:space="0" w:color="000000"/>
              <w:right w:val="single" w:sz="6" w:space="0" w:color="000000"/>
            </w:tcBorders>
          </w:tcPr>
          <w:p>
            <w:pPr>
              <w:pStyle w:val="TableParagraph"/>
              <w:spacing w:before="27"/>
              <w:ind w:left="6"/>
              <w:jc w:val="center"/>
              <w:rPr>
                <w:rFonts w:ascii="Times New Roman"/>
                <w:b/>
                <w:sz w:val="14"/>
              </w:rPr>
            </w:pPr>
            <w:r>
              <w:rPr>
                <w:rFonts w:ascii="Times New Roman"/>
                <w:b/>
                <w:w w:val="105"/>
                <w:sz w:val="14"/>
              </w:rPr>
              <w:t>$ 30,880,969</w:t>
            </w:r>
          </w:p>
        </w:tc>
        <w:tc>
          <w:tcPr>
            <w:tcW w:w="982" w:type="dxa"/>
            <w:tcBorders>
              <w:left w:val="single" w:sz="6" w:space="0" w:color="000000"/>
              <w:right w:val="single" w:sz="6" w:space="0" w:color="000000"/>
            </w:tcBorders>
          </w:tcPr>
          <w:p>
            <w:pPr>
              <w:pStyle w:val="TableParagraph"/>
              <w:spacing w:before="27"/>
              <w:ind w:left="75" w:right="76"/>
              <w:jc w:val="center"/>
              <w:rPr>
                <w:rFonts w:ascii="Times New Roman"/>
                <w:b/>
                <w:sz w:val="14"/>
              </w:rPr>
            </w:pPr>
            <w:r>
              <w:rPr>
                <w:rFonts w:ascii="Times New Roman"/>
                <w:b/>
                <w:w w:val="105"/>
                <w:sz w:val="14"/>
              </w:rPr>
              <w:t>$ 32,127,082</w:t>
            </w:r>
          </w:p>
        </w:tc>
        <w:tc>
          <w:tcPr>
            <w:tcW w:w="982" w:type="dxa"/>
            <w:tcBorders>
              <w:left w:val="single" w:sz="6" w:space="0" w:color="000000"/>
              <w:right w:val="single" w:sz="6" w:space="0" w:color="000000"/>
            </w:tcBorders>
          </w:tcPr>
          <w:p>
            <w:pPr>
              <w:pStyle w:val="TableParagraph"/>
              <w:spacing w:before="27"/>
              <w:ind w:left="75" w:right="78"/>
              <w:jc w:val="center"/>
              <w:rPr>
                <w:rFonts w:ascii="Times New Roman"/>
                <w:b/>
                <w:sz w:val="14"/>
              </w:rPr>
            </w:pPr>
            <w:r>
              <w:rPr>
                <w:rFonts w:ascii="Times New Roman"/>
                <w:b/>
                <w:w w:val="105"/>
                <w:sz w:val="14"/>
              </w:rPr>
              <w:t>$ 35,657,647</w:t>
            </w:r>
          </w:p>
        </w:tc>
        <w:tc>
          <w:tcPr>
            <w:tcW w:w="1143" w:type="dxa"/>
            <w:tcBorders>
              <w:left w:val="single" w:sz="6" w:space="0" w:color="000000"/>
              <w:right w:val="single" w:sz="6" w:space="0" w:color="000000"/>
            </w:tcBorders>
          </w:tcPr>
          <w:p>
            <w:pPr>
              <w:pStyle w:val="TableParagraph"/>
              <w:tabs>
                <w:tab w:pos="341" w:val="left" w:leader="none"/>
              </w:tabs>
              <w:spacing w:before="27"/>
              <w:ind w:right="3"/>
              <w:jc w:val="center"/>
              <w:rPr>
                <w:rFonts w:ascii="Times New Roman"/>
                <w:b/>
                <w:sz w:val="14"/>
              </w:rPr>
            </w:pPr>
            <w:r>
              <w:rPr>
                <w:rFonts w:ascii="Times New Roman"/>
                <w:b/>
                <w:w w:val="105"/>
                <w:sz w:val="14"/>
              </w:rPr>
              <w:t>$</w:t>
              <w:tab/>
              <w:t>37,950,533</w:t>
            </w:r>
          </w:p>
        </w:tc>
        <w:tc>
          <w:tcPr>
            <w:tcW w:w="982" w:type="dxa"/>
            <w:tcBorders>
              <w:left w:val="single" w:sz="6" w:space="0" w:color="000000"/>
              <w:right w:val="single" w:sz="6" w:space="0" w:color="000000"/>
            </w:tcBorders>
          </w:tcPr>
          <w:p>
            <w:pPr>
              <w:pStyle w:val="TableParagraph"/>
              <w:spacing w:before="27"/>
              <w:ind w:left="74" w:right="78"/>
              <w:jc w:val="center"/>
              <w:rPr>
                <w:rFonts w:ascii="Times New Roman"/>
                <w:b/>
                <w:sz w:val="14"/>
              </w:rPr>
            </w:pPr>
            <w:r>
              <w:rPr>
                <w:rFonts w:ascii="Times New Roman"/>
                <w:b/>
                <w:w w:val="105"/>
                <w:sz w:val="14"/>
              </w:rPr>
              <w:t>$ 38,271,241</w:t>
            </w:r>
          </w:p>
        </w:tc>
      </w:tr>
    </w:tbl>
    <w:p>
      <w:pPr>
        <w:pStyle w:val="BodyText"/>
        <w:rPr>
          <w:sz w:val="20"/>
        </w:rPr>
      </w:pPr>
    </w:p>
    <w:p>
      <w:pPr>
        <w:pStyle w:val="BodyText"/>
        <w:rPr>
          <w:sz w:val="20"/>
        </w:rPr>
      </w:pPr>
    </w:p>
    <w:p>
      <w:pPr>
        <w:pStyle w:val="BodyText"/>
        <w:spacing w:before="3"/>
        <w:rPr>
          <w:sz w:val="14"/>
        </w:rPr>
      </w:pPr>
    </w:p>
    <w:tbl>
      <w:tblPr>
        <w:tblW w:w="0" w:type="auto"/>
        <w:jc w:val="left"/>
        <w:tblInd w:w="5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08"/>
        <w:gridCol w:w="2402"/>
        <w:gridCol w:w="982"/>
        <w:gridCol w:w="982"/>
        <w:gridCol w:w="982"/>
        <w:gridCol w:w="982"/>
        <w:gridCol w:w="982"/>
        <w:gridCol w:w="982"/>
        <w:gridCol w:w="1143"/>
        <w:gridCol w:w="982"/>
        <w:gridCol w:w="1143"/>
        <w:gridCol w:w="1159"/>
      </w:tblGrid>
      <w:tr>
        <w:trPr>
          <w:trHeight w:val="494" w:hRule="atLeast"/>
        </w:trPr>
        <w:tc>
          <w:tcPr>
            <w:tcW w:w="808" w:type="dxa"/>
            <w:vMerge w:val="restart"/>
            <w:tcBorders>
              <w:bottom w:val="nil"/>
              <w:right w:val="nil"/>
            </w:tcBorders>
          </w:tcPr>
          <w:p>
            <w:pPr>
              <w:pStyle w:val="TableParagraph"/>
              <w:rPr>
                <w:rFonts w:ascii="Times New Roman"/>
                <w:sz w:val="14"/>
              </w:rPr>
            </w:pPr>
          </w:p>
        </w:tc>
        <w:tc>
          <w:tcPr>
            <w:tcW w:w="2402" w:type="dxa"/>
            <w:tcBorders>
              <w:left w:val="nil"/>
              <w:bottom w:val="nil"/>
              <w:right w:val="single" w:sz="6" w:space="0" w:color="000000"/>
            </w:tcBorders>
          </w:tcPr>
          <w:p>
            <w:pPr>
              <w:pStyle w:val="TableParagraph"/>
              <w:rPr>
                <w:rFonts w:ascii="Times New Roman"/>
                <w:sz w:val="14"/>
              </w:rPr>
            </w:pPr>
          </w:p>
        </w:tc>
        <w:tc>
          <w:tcPr>
            <w:tcW w:w="982" w:type="dxa"/>
            <w:tcBorders>
              <w:left w:val="single" w:sz="6" w:space="0" w:color="000000"/>
              <w:bottom w:val="nil"/>
              <w:right w:val="single" w:sz="6" w:space="0" w:color="000000"/>
            </w:tcBorders>
          </w:tcPr>
          <w:p>
            <w:pPr>
              <w:pStyle w:val="TableParagraph"/>
              <w:rPr>
                <w:rFonts w:ascii="Times New Roman"/>
                <w:sz w:val="16"/>
              </w:rPr>
            </w:pPr>
          </w:p>
          <w:p>
            <w:pPr>
              <w:pStyle w:val="TableParagraph"/>
              <w:spacing w:line="158" w:lineRule="exact" w:before="132"/>
              <w:ind w:left="30"/>
              <w:jc w:val="center"/>
              <w:rPr>
                <w:rFonts w:ascii="Times New Roman"/>
                <w:b/>
                <w:sz w:val="14"/>
              </w:rPr>
            </w:pPr>
            <w:r>
              <w:rPr>
                <w:rFonts w:ascii="Times New Roman"/>
                <w:b/>
                <w:spacing w:val="-73"/>
                <w:w w:val="105"/>
                <w:sz w:val="14"/>
                <w:u w:val="single"/>
              </w:rPr>
              <w:t>2</w:t>
            </w:r>
            <w:r>
              <w:rPr>
                <w:rFonts w:ascii="Times New Roman"/>
                <w:b/>
                <w:spacing w:val="34"/>
                <w:w w:val="105"/>
                <w:sz w:val="14"/>
              </w:rPr>
              <w:t> </w:t>
            </w:r>
            <w:r>
              <w:rPr>
                <w:rFonts w:ascii="Times New Roman"/>
                <w:b/>
                <w:w w:val="105"/>
                <w:sz w:val="14"/>
                <w:u w:val="single"/>
              </w:rPr>
              <w:t>015-2016</w:t>
            </w:r>
          </w:p>
        </w:tc>
        <w:tc>
          <w:tcPr>
            <w:tcW w:w="982" w:type="dxa"/>
            <w:tcBorders>
              <w:left w:val="single" w:sz="6" w:space="0" w:color="000000"/>
              <w:bottom w:val="nil"/>
              <w:right w:val="single" w:sz="6" w:space="0" w:color="000000"/>
            </w:tcBorders>
          </w:tcPr>
          <w:p>
            <w:pPr>
              <w:pStyle w:val="TableParagraph"/>
              <w:rPr>
                <w:rFonts w:ascii="Times New Roman"/>
                <w:sz w:val="16"/>
              </w:rPr>
            </w:pPr>
          </w:p>
          <w:p>
            <w:pPr>
              <w:pStyle w:val="TableParagraph"/>
              <w:spacing w:line="158" w:lineRule="exact" w:before="132"/>
              <w:ind w:left="30"/>
              <w:jc w:val="center"/>
              <w:rPr>
                <w:rFonts w:ascii="Times New Roman"/>
                <w:b/>
                <w:sz w:val="14"/>
              </w:rPr>
            </w:pPr>
            <w:r>
              <w:rPr>
                <w:rFonts w:ascii="Times New Roman"/>
                <w:b/>
                <w:spacing w:val="-73"/>
                <w:w w:val="105"/>
                <w:sz w:val="14"/>
                <w:u w:val="single"/>
              </w:rPr>
              <w:t>2</w:t>
            </w:r>
            <w:r>
              <w:rPr>
                <w:rFonts w:ascii="Times New Roman"/>
                <w:b/>
                <w:spacing w:val="34"/>
                <w:w w:val="105"/>
                <w:sz w:val="14"/>
              </w:rPr>
              <w:t> </w:t>
            </w:r>
            <w:r>
              <w:rPr>
                <w:rFonts w:ascii="Times New Roman"/>
                <w:b/>
                <w:w w:val="105"/>
                <w:sz w:val="14"/>
                <w:u w:val="single"/>
              </w:rPr>
              <w:t>016-2017</w:t>
            </w:r>
          </w:p>
        </w:tc>
        <w:tc>
          <w:tcPr>
            <w:tcW w:w="982" w:type="dxa"/>
            <w:tcBorders>
              <w:left w:val="single" w:sz="6" w:space="0" w:color="000000"/>
              <w:bottom w:val="nil"/>
              <w:right w:val="single" w:sz="6" w:space="0" w:color="000000"/>
            </w:tcBorders>
          </w:tcPr>
          <w:p>
            <w:pPr>
              <w:pStyle w:val="TableParagraph"/>
              <w:rPr>
                <w:rFonts w:ascii="Times New Roman"/>
                <w:sz w:val="16"/>
              </w:rPr>
            </w:pPr>
          </w:p>
          <w:p>
            <w:pPr>
              <w:pStyle w:val="TableParagraph"/>
              <w:spacing w:line="158" w:lineRule="exact" w:before="132"/>
              <w:ind w:left="29"/>
              <w:jc w:val="center"/>
              <w:rPr>
                <w:rFonts w:ascii="Times New Roman"/>
                <w:b/>
                <w:sz w:val="14"/>
              </w:rPr>
            </w:pPr>
            <w:r>
              <w:rPr>
                <w:rFonts w:ascii="Times New Roman"/>
                <w:b/>
                <w:spacing w:val="-73"/>
                <w:w w:val="105"/>
                <w:sz w:val="14"/>
                <w:u w:val="single"/>
              </w:rPr>
              <w:t>2</w:t>
            </w:r>
            <w:r>
              <w:rPr>
                <w:rFonts w:ascii="Times New Roman"/>
                <w:b/>
                <w:spacing w:val="34"/>
                <w:w w:val="105"/>
                <w:sz w:val="14"/>
              </w:rPr>
              <w:t> </w:t>
            </w:r>
            <w:r>
              <w:rPr>
                <w:rFonts w:ascii="Times New Roman"/>
                <w:b/>
                <w:w w:val="105"/>
                <w:sz w:val="14"/>
                <w:u w:val="single"/>
              </w:rPr>
              <w:t>017-2018</w:t>
            </w:r>
          </w:p>
        </w:tc>
        <w:tc>
          <w:tcPr>
            <w:tcW w:w="982" w:type="dxa"/>
            <w:tcBorders>
              <w:left w:val="single" w:sz="6" w:space="0" w:color="000000"/>
              <w:bottom w:val="nil"/>
              <w:right w:val="single" w:sz="6" w:space="0" w:color="000000"/>
            </w:tcBorders>
          </w:tcPr>
          <w:p>
            <w:pPr>
              <w:pStyle w:val="TableParagraph"/>
              <w:rPr>
                <w:rFonts w:ascii="Times New Roman"/>
                <w:sz w:val="16"/>
              </w:rPr>
            </w:pPr>
          </w:p>
          <w:p>
            <w:pPr>
              <w:pStyle w:val="TableParagraph"/>
              <w:spacing w:line="158" w:lineRule="exact" w:before="132"/>
              <w:ind w:left="28"/>
              <w:jc w:val="center"/>
              <w:rPr>
                <w:rFonts w:ascii="Times New Roman"/>
                <w:b/>
                <w:sz w:val="14"/>
              </w:rPr>
            </w:pPr>
            <w:r>
              <w:rPr>
                <w:rFonts w:ascii="Times New Roman"/>
                <w:b/>
                <w:spacing w:val="-73"/>
                <w:w w:val="105"/>
                <w:sz w:val="14"/>
                <w:u w:val="single"/>
              </w:rPr>
              <w:t>2</w:t>
            </w:r>
            <w:r>
              <w:rPr>
                <w:rFonts w:ascii="Times New Roman"/>
                <w:b/>
                <w:spacing w:val="34"/>
                <w:w w:val="105"/>
                <w:sz w:val="14"/>
              </w:rPr>
              <w:t> </w:t>
            </w:r>
            <w:r>
              <w:rPr>
                <w:rFonts w:ascii="Times New Roman"/>
                <w:b/>
                <w:w w:val="105"/>
                <w:sz w:val="14"/>
                <w:u w:val="single"/>
              </w:rPr>
              <w:t>018-2019</w:t>
            </w:r>
          </w:p>
        </w:tc>
        <w:tc>
          <w:tcPr>
            <w:tcW w:w="982" w:type="dxa"/>
            <w:tcBorders>
              <w:left w:val="single" w:sz="6" w:space="0" w:color="000000"/>
              <w:bottom w:val="nil"/>
              <w:right w:val="single" w:sz="6" w:space="0" w:color="000000"/>
            </w:tcBorders>
          </w:tcPr>
          <w:p>
            <w:pPr>
              <w:pStyle w:val="TableParagraph"/>
              <w:rPr>
                <w:rFonts w:ascii="Times New Roman"/>
                <w:sz w:val="16"/>
              </w:rPr>
            </w:pPr>
          </w:p>
          <w:p>
            <w:pPr>
              <w:pStyle w:val="TableParagraph"/>
              <w:spacing w:line="158" w:lineRule="exact" w:before="132"/>
              <w:ind w:left="27"/>
              <w:jc w:val="center"/>
              <w:rPr>
                <w:rFonts w:ascii="Times New Roman"/>
                <w:b/>
                <w:sz w:val="14"/>
              </w:rPr>
            </w:pPr>
            <w:r>
              <w:rPr>
                <w:rFonts w:ascii="Times New Roman"/>
                <w:b/>
                <w:spacing w:val="-73"/>
                <w:w w:val="105"/>
                <w:sz w:val="14"/>
                <w:u w:val="single"/>
              </w:rPr>
              <w:t>2</w:t>
            </w:r>
            <w:r>
              <w:rPr>
                <w:rFonts w:ascii="Times New Roman"/>
                <w:b/>
                <w:spacing w:val="34"/>
                <w:w w:val="105"/>
                <w:sz w:val="14"/>
              </w:rPr>
              <w:t> </w:t>
            </w:r>
            <w:r>
              <w:rPr>
                <w:rFonts w:ascii="Times New Roman"/>
                <w:b/>
                <w:w w:val="105"/>
                <w:sz w:val="14"/>
                <w:u w:val="single"/>
              </w:rPr>
              <w:t>019-2020</w:t>
            </w:r>
          </w:p>
        </w:tc>
        <w:tc>
          <w:tcPr>
            <w:tcW w:w="982" w:type="dxa"/>
            <w:tcBorders>
              <w:left w:val="single" w:sz="6" w:space="0" w:color="000000"/>
              <w:bottom w:val="nil"/>
              <w:right w:val="single" w:sz="6" w:space="0" w:color="000000"/>
            </w:tcBorders>
          </w:tcPr>
          <w:p>
            <w:pPr>
              <w:pStyle w:val="TableParagraph"/>
              <w:rPr>
                <w:rFonts w:ascii="Times New Roman"/>
                <w:sz w:val="16"/>
              </w:rPr>
            </w:pPr>
          </w:p>
          <w:p>
            <w:pPr>
              <w:pStyle w:val="TableParagraph"/>
              <w:spacing w:line="158" w:lineRule="exact" w:before="132"/>
              <w:ind w:left="26"/>
              <w:jc w:val="center"/>
              <w:rPr>
                <w:rFonts w:ascii="Times New Roman"/>
                <w:b/>
                <w:sz w:val="14"/>
              </w:rPr>
            </w:pPr>
            <w:r>
              <w:rPr>
                <w:rFonts w:ascii="Times New Roman"/>
                <w:b/>
                <w:spacing w:val="-73"/>
                <w:w w:val="105"/>
                <w:sz w:val="14"/>
                <w:u w:val="single"/>
              </w:rPr>
              <w:t>2</w:t>
            </w:r>
            <w:r>
              <w:rPr>
                <w:rFonts w:ascii="Times New Roman"/>
                <w:b/>
                <w:spacing w:val="34"/>
                <w:w w:val="105"/>
                <w:sz w:val="14"/>
              </w:rPr>
              <w:t> </w:t>
            </w:r>
            <w:r>
              <w:rPr>
                <w:rFonts w:ascii="Times New Roman"/>
                <w:b/>
                <w:w w:val="105"/>
                <w:sz w:val="14"/>
                <w:u w:val="single"/>
              </w:rPr>
              <w:t>020-2021</w:t>
            </w:r>
          </w:p>
        </w:tc>
        <w:tc>
          <w:tcPr>
            <w:tcW w:w="1143" w:type="dxa"/>
            <w:tcBorders>
              <w:left w:val="single" w:sz="6" w:space="0" w:color="000000"/>
              <w:bottom w:val="nil"/>
              <w:right w:val="single" w:sz="6" w:space="0" w:color="000000"/>
            </w:tcBorders>
          </w:tcPr>
          <w:p>
            <w:pPr>
              <w:pStyle w:val="TableParagraph"/>
              <w:rPr>
                <w:rFonts w:ascii="Times New Roman"/>
                <w:sz w:val="16"/>
              </w:rPr>
            </w:pPr>
          </w:p>
          <w:p>
            <w:pPr>
              <w:pStyle w:val="TableParagraph"/>
              <w:spacing w:line="158" w:lineRule="exact" w:before="132"/>
              <w:ind w:left="31" w:right="3"/>
              <w:jc w:val="center"/>
              <w:rPr>
                <w:rFonts w:ascii="Times New Roman"/>
                <w:b/>
                <w:sz w:val="14"/>
              </w:rPr>
            </w:pPr>
            <w:r>
              <w:rPr>
                <w:rFonts w:ascii="Times New Roman"/>
                <w:b/>
                <w:spacing w:val="-73"/>
                <w:w w:val="105"/>
                <w:sz w:val="14"/>
                <w:u w:val="single"/>
              </w:rPr>
              <w:t>2</w:t>
            </w:r>
            <w:r>
              <w:rPr>
                <w:rFonts w:ascii="Times New Roman"/>
                <w:b/>
                <w:spacing w:val="35"/>
                <w:w w:val="105"/>
                <w:sz w:val="14"/>
              </w:rPr>
              <w:t> </w:t>
            </w:r>
            <w:r>
              <w:rPr>
                <w:rFonts w:ascii="Times New Roman"/>
                <w:b/>
                <w:w w:val="105"/>
                <w:sz w:val="14"/>
                <w:u w:val="single"/>
              </w:rPr>
              <w:t>021-2022</w:t>
            </w:r>
          </w:p>
        </w:tc>
        <w:tc>
          <w:tcPr>
            <w:tcW w:w="982" w:type="dxa"/>
            <w:tcBorders>
              <w:left w:val="single" w:sz="6" w:space="0" w:color="000000"/>
              <w:bottom w:val="nil"/>
              <w:right w:val="single" w:sz="6" w:space="0" w:color="000000"/>
            </w:tcBorders>
          </w:tcPr>
          <w:p>
            <w:pPr>
              <w:pStyle w:val="TableParagraph"/>
              <w:rPr>
                <w:rFonts w:ascii="Times New Roman"/>
                <w:sz w:val="16"/>
              </w:rPr>
            </w:pPr>
          </w:p>
          <w:p>
            <w:pPr>
              <w:pStyle w:val="TableParagraph"/>
              <w:spacing w:line="158" w:lineRule="exact" w:before="132"/>
              <w:ind w:left="24"/>
              <w:jc w:val="center"/>
              <w:rPr>
                <w:rFonts w:ascii="Times New Roman"/>
                <w:b/>
                <w:sz w:val="14"/>
              </w:rPr>
            </w:pPr>
            <w:r>
              <w:rPr>
                <w:rFonts w:ascii="Times New Roman"/>
                <w:b/>
                <w:spacing w:val="-73"/>
                <w:w w:val="105"/>
                <w:sz w:val="14"/>
                <w:u w:val="single"/>
              </w:rPr>
              <w:t>2</w:t>
            </w:r>
            <w:r>
              <w:rPr>
                <w:rFonts w:ascii="Times New Roman"/>
                <w:b/>
                <w:spacing w:val="34"/>
                <w:w w:val="105"/>
                <w:sz w:val="14"/>
              </w:rPr>
              <w:t> </w:t>
            </w:r>
            <w:r>
              <w:rPr>
                <w:rFonts w:ascii="Times New Roman"/>
                <w:b/>
                <w:w w:val="105"/>
                <w:sz w:val="14"/>
                <w:u w:val="single"/>
              </w:rPr>
              <w:t>022-2023</w:t>
            </w:r>
          </w:p>
        </w:tc>
        <w:tc>
          <w:tcPr>
            <w:tcW w:w="1143" w:type="dxa"/>
            <w:tcBorders>
              <w:left w:val="single" w:sz="6" w:space="0" w:color="000000"/>
              <w:bottom w:val="nil"/>
              <w:right w:val="single" w:sz="6" w:space="0" w:color="000000"/>
            </w:tcBorders>
          </w:tcPr>
          <w:p>
            <w:pPr>
              <w:pStyle w:val="TableParagraph"/>
              <w:rPr>
                <w:rFonts w:ascii="Times New Roman"/>
                <w:sz w:val="16"/>
              </w:rPr>
            </w:pPr>
          </w:p>
          <w:p>
            <w:pPr>
              <w:pStyle w:val="TableParagraph"/>
              <w:spacing w:line="158" w:lineRule="exact" w:before="132"/>
              <w:ind w:left="29" w:right="3"/>
              <w:jc w:val="center"/>
              <w:rPr>
                <w:rFonts w:ascii="Times New Roman"/>
                <w:b/>
                <w:sz w:val="14"/>
              </w:rPr>
            </w:pPr>
            <w:r>
              <w:rPr>
                <w:rFonts w:ascii="Times New Roman"/>
                <w:b/>
                <w:spacing w:val="-73"/>
                <w:w w:val="105"/>
                <w:sz w:val="14"/>
                <w:u w:val="single"/>
              </w:rPr>
              <w:t>2</w:t>
            </w:r>
            <w:r>
              <w:rPr>
                <w:rFonts w:ascii="Times New Roman"/>
                <w:b/>
                <w:spacing w:val="35"/>
                <w:w w:val="105"/>
                <w:sz w:val="14"/>
              </w:rPr>
              <w:t> </w:t>
            </w:r>
            <w:r>
              <w:rPr>
                <w:rFonts w:ascii="Times New Roman"/>
                <w:b/>
                <w:w w:val="105"/>
                <w:sz w:val="14"/>
                <w:u w:val="single"/>
              </w:rPr>
              <w:t>023-2024</w:t>
            </w:r>
          </w:p>
        </w:tc>
        <w:tc>
          <w:tcPr>
            <w:tcW w:w="1159" w:type="dxa"/>
            <w:tcBorders>
              <w:left w:val="single" w:sz="6" w:space="0" w:color="000000"/>
              <w:bottom w:val="nil"/>
            </w:tcBorders>
          </w:tcPr>
          <w:p>
            <w:pPr>
              <w:pStyle w:val="TableParagraph"/>
              <w:spacing w:before="9"/>
              <w:rPr>
                <w:rFonts w:ascii="Times New Roman"/>
                <w:sz w:val="25"/>
              </w:rPr>
            </w:pPr>
          </w:p>
          <w:p>
            <w:pPr>
              <w:pStyle w:val="TableParagraph"/>
              <w:spacing w:line="177" w:lineRule="exact" w:before="1"/>
              <w:ind w:left="38"/>
              <w:jc w:val="center"/>
              <w:rPr>
                <w:rFonts w:ascii="Times New Roman"/>
                <w:b/>
                <w:sz w:val="16"/>
              </w:rPr>
            </w:pPr>
            <w:r>
              <w:rPr>
                <w:rFonts w:ascii="Times New Roman"/>
                <w:b/>
                <w:spacing w:val="-81"/>
                <w:sz w:val="16"/>
                <w:u w:val="single"/>
              </w:rPr>
              <w:t>2</w:t>
            </w:r>
            <w:r>
              <w:rPr>
                <w:rFonts w:ascii="Times New Roman"/>
                <w:b/>
                <w:spacing w:val="47"/>
                <w:sz w:val="16"/>
              </w:rPr>
              <w:t> </w:t>
            </w:r>
            <w:r>
              <w:rPr>
                <w:rFonts w:ascii="Times New Roman"/>
                <w:b/>
                <w:sz w:val="16"/>
                <w:u w:val="single"/>
              </w:rPr>
              <w:t>024-2025</w:t>
            </w:r>
          </w:p>
        </w:tc>
      </w:tr>
      <w:tr>
        <w:trPr>
          <w:trHeight w:val="306" w:hRule="atLeast"/>
        </w:trPr>
        <w:tc>
          <w:tcPr>
            <w:tcW w:w="808" w:type="dxa"/>
            <w:vMerge/>
            <w:tcBorders>
              <w:top w:val="nil"/>
              <w:bottom w:val="nil"/>
              <w:right w:val="nil"/>
            </w:tcBorders>
          </w:tcPr>
          <w:p>
            <w:pPr>
              <w:rPr>
                <w:sz w:val="2"/>
                <w:szCs w:val="2"/>
              </w:rPr>
            </w:pPr>
          </w:p>
        </w:tc>
        <w:tc>
          <w:tcPr>
            <w:tcW w:w="2402" w:type="dxa"/>
            <w:tcBorders>
              <w:top w:val="nil"/>
              <w:left w:val="nil"/>
              <w:bottom w:val="nil"/>
              <w:right w:val="single" w:sz="6" w:space="0" w:color="000000"/>
            </w:tcBorders>
          </w:tcPr>
          <w:p>
            <w:pPr>
              <w:pStyle w:val="TableParagraph"/>
              <w:spacing w:before="25"/>
              <w:ind w:left="109" w:right="1170"/>
              <w:jc w:val="center"/>
              <w:rPr>
                <w:rFonts w:ascii="Times New Roman"/>
                <w:b/>
                <w:sz w:val="14"/>
              </w:rPr>
            </w:pPr>
            <w:r>
              <w:rPr>
                <w:rFonts w:ascii="Times New Roman"/>
                <w:b/>
                <w:spacing w:val="-97"/>
                <w:w w:val="105"/>
                <w:sz w:val="14"/>
                <w:u w:val="single"/>
              </w:rPr>
              <w:t>T</w:t>
            </w:r>
            <w:r>
              <w:rPr>
                <w:rFonts w:ascii="Times New Roman"/>
                <w:b/>
                <w:spacing w:val="53"/>
                <w:w w:val="105"/>
                <w:sz w:val="14"/>
              </w:rPr>
              <w:t> </w:t>
            </w:r>
            <w:r>
              <w:rPr>
                <w:rFonts w:ascii="Times New Roman"/>
                <w:b/>
                <w:w w:val="105"/>
                <w:sz w:val="14"/>
                <w:u w:val="single"/>
              </w:rPr>
              <w:t>otal # of Claims</w:t>
            </w:r>
          </w:p>
        </w:tc>
        <w:tc>
          <w:tcPr>
            <w:tcW w:w="982" w:type="dxa"/>
            <w:tcBorders>
              <w:top w:val="nil"/>
              <w:left w:val="single" w:sz="6" w:space="0" w:color="000000"/>
              <w:bottom w:val="nil"/>
              <w:right w:val="single" w:sz="6" w:space="0" w:color="000000"/>
            </w:tcBorders>
          </w:tcPr>
          <w:p>
            <w:pPr>
              <w:pStyle w:val="TableParagraph"/>
              <w:spacing w:before="7"/>
              <w:ind w:left="33"/>
              <w:jc w:val="center"/>
              <w:rPr>
                <w:rFonts w:ascii="Times New Roman"/>
                <w:b/>
                <w:sz w:val="16"/>
              </w:rPr>
            </w:pPr>
            <w:r>
              <w:rPr>
                <w:rFonts w:ascii="Times New Roman"/>
                <w:b/>
                <w:spacing w:val="-108"/>
                <w:sz w:val="16"/>
                <w:u w:val="single"/>
              </w:rPr>
              <w:t>T</w:t>
            </w:r>
            <w:r>
              <w:rPr>
                <w:rFonts w:ascii="Times New Roman"/>
                <w:b/>
                <w:spacing w:val="73"/>
                <w:sz w:val="16"/>
              </w:rPr>
              <w:t> </w:t>
            </w:r>
            <w:r>
              <w:rPr>
                <w:rFonts w:ascii="Times New Roman"/>
                <w:b/>
                <w:sz w:val="16"/>
                <w:u w:val="single"/>
              </w:rPr>
              <w:t>ravelers</w:t>
            </w:r>
          </w:p>
        </w:tc>
        <w:tc>
          <w:tcPr>
            <w:tcW w:w="982" w:type="dxa"/>
            <w:tcBorders>
              <w:top w:val="nil"/>
              <w:left w:val="single" w:sz="6" w:space="0" w:color="000000"/>
              <w:bottom w:val="nil"/>
              <w:right w:val="single" w:sz="6" w:space="0" w:color="000000"/>
            </w:tcBorders>
          </w:tcPr>
          <w:p>
            <w:pPr>
              <w:pStyle w:val="TableParagraph"/>
              <w:spacing w:before="7"/>
              <w:ind w:left="32"/>
              <w:jc w:val="center"/>
              <w:rPr>
                <w:rFonts w:ascii="Times New Roman"/>
                <w:b/>
                <w:sz w:val="16"/>
              </w:rPr>
            </w:pPr>
            <w:r>
              <w:rPr>
                <w:rFonts w:ascii="Times New Roman"/>
                <w:b/>
                <w:spacing w:val="-108"/>
                <w:sz w:val="16"/>
                <w:u w:val="single"/>
              </w:rPr>
              <w:t>T</w:t>
            </w:r>
            <w:r>
              <w:rPr>
                <w:rFonts w:ascii="Times New Roman"/>
                <w:b/>
                <w:spacing w:val="73"/>
                <w:sz w:val="16"/>
              </w:rPr>
              <w:t> </w:t>
            </w:r>
            <w:r>
              <w:rPr>
                <w:rFonts w:ascii="Times New Roman"/>
                <w:b/>
                <w:sz w:val="16"/>
                <w:u w:val="single"/>
              </w:rPr>
              <w:t>ravelers</w:t>
            </w:r>
          </w:p>
        </w:tc>
        <w:tc>
          <w:tcPr>
            <w:tcW w:w="982" w:type="dxa"/>
            <w:tcBorders>
              <w:top w:val="nil"/>
              <w:left w:val="single" w:sz="6" w:space="0" w:color="000000"/>
              <w:bottom w:val="nil"/>
              <w:right w:val="single" w:sz="6" w:space="0" w:color="000000"/>
            </w:tcBorders>
          </w:tcPr>
          <w:p>
            <w:pPr>
              <w:pStyle w:val="TableParagraph"/>
              <w:spacing w:before="7"/>
              <w:ind w:left="31"/>
              <w:jc w:val="center"/>
              <w:rPr>
                <w:rFonts w:ascii="Times New Roman"/>
                <w:b/>
                <w:sz w:val="16"/>
              </w:rPr>
            </w:pPr>
            <w:r>
              <w:rPr>
                <w:rFonts w:ascii="Times New Roman"/>
                <w:b/>
                <w:spacing w:val="-108"/>
                <w:sz w:val="16"/>
                <w:u w:val="single"/>
              </w:rPr>
              <w:t>T</w:t>
            </w:r>
            <w:r>
              <w:rPr>
                <w:rFonts w:ascii="Times New Roman"/>
                <w:b/>
                <w:spacing w:val="73"/>
                <w:sz w:val="16"/>
              </w:rPr>
              <w:t> </w:t>
            </w:r>
            <w:r>
              <w:rPr>
                <w:rFonts w:ascii="Times New Roman"/>
                <w:b/>
                <w:sz w:val="16"/>
                <w:u w:val="single"/>
              </w:rPr>
              <w:t>ravelers</w:t>
            </w:r>
          </w:p>
        </w:tc>
        <w:tc>
          <w:tcPr>
            <w:tcW w:w="982" w:type="dxa"/>
            <w:tcBorders>
              <w:top w:val="nil"/>
              <w:left w:val="single" w:sz="6" w:space="0" w:color="000000"/>
              <w:bottom w:val="nil"/>
              <w:right w:val="single" w:sz="6" w:space="0" w:color="000000"/>
            </w:tcBorders>
          </w:tcPr>
          <w:p>
            <w:pPr>
              <w:pStyle w:val="TableParagraph"/>
              <w:spacing w:before="7"/>
              <w:ind w:left="30"/>
              <w:jc w:val="center"/>
              <w:rPr>
                <w:rFonts w:ascii="Times New Roman"/>
                <w:b/>
                <w:sz w:val="16"/>
              </w:rPr>
            </w:pPr>
            <w:r>
              <w:rPr>
                <w:rFonts w:ascii="Times New Roman"/>
                <w:b/>
                <w:spacing w:val="-108"/>
                <w:sz w:val="16"/>
                <w:u w:val="single"/>
              </w:rPr>
              <w:t>T</w:t>
            </w:r>
            <w:r>
              <w:rPr>
                <w:rFonts w:ascii="Times New Roman"/>
                <w:b/>
                <w:spacing w:val="73"/>
                <w:sz w:val="16"/>
              </w:rPr>
              <w:t> </w:t>
            </w:r>
            <w:r>
              <w:rPr>
                <w:rFonts w:ascii="Times New Roman"/>
                <w:b/>
                <w:sz w:val="16"/>
                <w:u w:val="single"/>
              </w:rPr>
              <w:t>ravelers</w:t>
            </w:r>
          </w:p>
        </w:tc>
        <w:tc>
          <w:tcPr>
            <w:tcW w:w="982" w:type="dxa"/>
            <w:tcBorders>
              <w:top w:val="nil"/>
              <w:left w:val="single" w:sz="6" w:space="0" w:color="000000"/>
              <w:bottom w:val="nil"/>
              <w:right w:val="single" w:sz="6" w:space="0" w:color="000000"/>
            </w:tcBorders>
          </w:tcPr>
          <w:p>
            <w:pPr>
              <w:pStyle w:val="TableParagraph"/>
              <w:spacing w:before="7"/>
              <w:ind w:left="30"/>
              <w:jc w:val="center"/>
              <w:rPr>
                <w:rFonts w:ascii="Times New Roman"/>
                <w:b/>
                <w:sz w:val="16"/>
              </w:rPr>
            </w:pPr>
            <w:r>
              <w:rPr>
                <w:rFonts w:ascii="Times New Roman"/>
                <w:b/>
                <w:spacing w:val="-108"/>
                <w:sz w:val="16"/>
                <w:u w:val="single"/>
              </w:rPr>
              <w:t>T</w:t>
            </w:r>
            <w:r>
              <w:rPr>
                <w:rFonts w:ascii="Times New Roman"/>
                <w:b/>
                <w:spacing w:val="73"/>
                <w:sz w:val="16"/>
              </w:rPr>
              <w:t> </w:t>
            </w:r>
            <w:r>
              <w:rPr>
                <w:rFonts w:ascii="Times New Roman"/>
                <w:b/>
                <w:sz w:val="16"/>
                <w:u w:val="single"/>
              </w:rPr>
              <w:t>ravelers</w:t>
            </w:r>
          </w:p>
        </w:tc>
        <w:tc>
          <w:tcPr>
            <w:tcW w:w="982" w:type="dxa"/>
            <w:tcBorders>
              <w:top w:val="nil"/>
              <w:left w:val="single" w:sz="6" w:space="0" w:color="000000"/>
              <w:bottom w:val="nil"/>
              <w:right w:val="single" w:sz="6" w:space="0" w:color="000000"/>
            </w:tcBorders>
          </w:tcPr>
          <w:p>
            <w:pPr>
              <w:pStyle w:val="TableParagraph"/>
              <w:spacing w:before="7"/>
              <w:ind w:left="29"/>
              <w:jc w:val="center"/>
              <w:rPr>
                <w:rFonts w:ascii="Times New Roman"/>
                <w:b/>
                <w:sz w:val="16"/>
              </w:rPr>
            </w:pPr>
            <w:r>
              <w:rPr>
                <w:rFonts w:ascii="Times New Roman"/>
                <w:b/>
                <w:spacing w:val="-108"/>
                <w:sz w:val="16"/>
                <w:u w:val="single"/>
              </w:rPr>
              <w:t>T</w:t>
            </w:r>
            <w:r>
              <w:rPr>
                <w:rFonts w:ascii="Times New Roman"/>
                <w:b/>
                <w:spacing w:val="73"/>
                <w:sz w:val="16"/>
              </w:rPr>
              <w:t> </w:t>
            </w:r>
            <w:r>
              <w:rPr>
                <w:rFonts w:ascii="Times New Roman"/>
                <w:b/>
                <w:sz w:val="16"/>
                <w:u w:val="single"/>
              </w:rPr>
              <w:t>ravelers</w:t>
            </w:r>
          </w:p>
        </w:tc>
        <w:tc>
          <w:tcPr>
            <w:tcW w:w="1143" w:type="dxa"/>
            <w:tcBorders>
              <w:top w:val="nil"/>
              <w:left w:val="single" w:sz="6" w:space="0" w:color="000000"/>
              <w:bottom w:val="nil"/>
              <w:right w:val="single" w:sz="6" w:space="0" w:color="000000"/>
            </w:tcBorders>
          </w:tcPr>
          <w:p>
            <w:pPr>
              <w:pStyle w:val="TableParagraph"/>
              <w:spacing w:before="7"/>
              <w:ind w:left="28" w:right="3"/>
              <w:jc w:val="center"/>
              <w:rPr>
                <w:rFonts w:ascii="Times New Roman"/>
                <w:b/>
                <w:sz w:val="16"/>
              </w:rPr>
            </w:pPr>
            <w:r>
              <w:rPr>
                <w:rFonts w:ascii="Times New Roman"/>
                <w:b/>
                <w:spacing w:val="-108"/>
                <w:sz w:val="16"/>
                <w:u w:val="single"/>
              </w:rPr>
              <w:t>T</w:t>
            </w:r>
            <w:r>
              <w:rPr>
                <w:rFonts w:ascii="Times New Roman"/>
                <w:b/>
                <w:spacing w:val="72"/>
                <w:sz w:val="16"/>
              </w:rPr>
              <w:t> </w:t>
            </w:r>
            <w:r>
              <w:rPr>
                <w:rFonts w:ascii="Times New Roman"/>
                <w:b/>
                <w:sz w:val="16"/>
                <w:u w:val="single"/>
              </w:rPr>
              <w:t>ravelers</w:t>
            </w:r>
          </w:p>
        </w:tc>
        <w:tc>
          <w:tcPr>
            <w:tcW w:w="982" w:type="dxa"/>
            <w:tcBorders>
              <w:top w:val="nil"/>
              <w:left w:val="single" w:sz="6" w:space="0" w:color="000000"/>
              <w:bottom w:val="nil"/>
              <w:right w:val="single" w:sz="6" w:space="0" w:color="000000"/>
            </w:tcBorders>
          </w:tcPr>
          <w:p>
            <w:pPr>
              <w:pStyle w:val="TableParagraph"/>
              <w:spacing w:before="7"/>
              <w:ind w:left="27"/>
              <w:jc w:val="center"/>
              <w:rPr>
                <w:rFonts w:ascii="Times New Roman"/>
                <w:b/>
                <w:sz w:val="16"/>
              </w:rPr>
            </w:pPr>
            <w:r>
              <w:rPr>
                <w:rFonts w:ascii="Times New Roman"/>
                <w:b/>
                <w:spacing w:val="-108"/>
                <w:sz w:val="16"/>
                <w:u w:val="single"/>
              </w:rPr>
              <w:t>T</w:t>
            </w:r>
            <w:r>
              <w:rPr>
                <w:rFonts w:ascii="Times New Roman"/>
                <w:b/>
                <w:spacing w:val="72"/>
                <w:sz w:val="16"/>
              </w:rPr>
              <w:t> </w:t>
            </w:r>
            <w:r>
              <w:rPr>
                <w:rFonts w:ascii="Times New Roman"/>
                <w:b/>
                <w:sz w:val="16"/>
                <w:u w:val="single"/>
              </w:rPr>
              <w:t>ravelers</w:t>
            </w:r>
          </w:p>
        </w:tc>
        <w:tc>
          <w:tcPr>
            <w:tcW w:w="1143" w:type="dxa"/>
            <w:tcBorders>
              <w:top w:val="nil"/>
              <w:left w:val="single" w:sz="6" w:space="0" w:color="000000"/>
              <w:bottom w:val="nil"/>
              <w:right w:val="single" w:sz="6" w:space="0" w:color="000000"/>
            </w:tcBorders>
          </w:tcPr>
          <w:p>
            <w:pPr>
              <w:pStyle w:val="TableParagraph"/>
              <w:spacing w:before="7"/>
              <w:ind w:left="26" w:right="3"/>
              <w:jc w:val="center"/>
              <w:rPr>
                <w:rFonts w:ascii="Times New Roman"/>
                <w:b/>
                <w:sz w:val="16"/>
              </w:rPr>
            </w:pPr>
            <w:r>
              <w:rPr>
                <w:rFonts w:ascii="Times New Roman"/>
                <w:b/>
                <w:spacing w:val="-108"/>
                <w:sz w:val="16"/>
                <w:u w:val="single"/>
              </w:rPr>
              <w:t>T</w:t>
            </w:r>
            <w:r>
              <w:rPr>
                <w:rFonts w:ascii="Times New Roman"/>
                <w:b/>
                <w:spacing w:val="72"/>
                <w:sz w:val="16"/>
              </w:rPr>
              <w:t> </w:t>
            </w:r>
            <w:r>
              <w:rPr>
                <w:rFonts w:ascii="Times New Roman"/>
                <w:b/>
                <w:sz w:val="16"/>
                <w:u w:val="single"/>
              </w:rPr>
              <w:t>ravelers</w:t>
            </w:r>
          </w:p>
        </w:tc>
        <w:tc>
          <w:tcPr>
            <w:tcW w:w="1159" w:type="dxa"/>
            <w:tcBorders>
              <w:top w:val="nil"/>
              <w:left w:val="single" w:sz="6" w:space="0" w:color="000000"/>
              <w:bottom w:val="nil"/>
            </w:tcBorders>
          </w:tcPr>
          <w:p>
            <w:pPr>
              <w:pStyle w:val="TableParagraph"/>
              <w:spacing w:before="7"/>
              <w:ind w:left="36"/>
              <w:jc w:val="center"/>
              <w:rPr>
                <w:rFonts w:ascii="Times New Roman"/>
                <w:b/>
                <w:sz w:val="16"/>
              </w:rPr>
            </w:pPr>
            <w:r>
              <w:rPr>
                <w:rFonts w:ascii="Times New Roman"/>
                <w:b/>
                <w:spacing w:val="-108"/>
                <w:sz w:val="16"/>
                <w:u w:val="single"/>
              </w:rPr>
              <w:t>T</w:t>
            </w:r>
            <w:r>
              <w:rPr>
                <w:rFonts w:ascii="Times New Roman"/>
                <w:b/>
                <w:spacing w:val="72"/>
                <w:sz w:val="16"/>
              </w:rPr>
              <w:t> </w:t>
            </w:r>
            <w:r>
              <w:rPr>
                <w:rFonts w:ascii="Times New Roman"/>
                <w:b/>
                <w:sz w:val="16"/>
                <w:u w:val="single"/>
              </w:rPr>
              <w:t>ravelers</w:t>
            </w:r>
          </w:p>
        </w:tc>
      </w:tr>
      <w:tr>
        <w:trPr>
          <w:trHeight w:val="305" w:hRule="atLeast"/>
        </w:trPr>
        <w:tc>
          <w:tcPr>
            <w:tcW w:w="808" w:type="dxa"/>
            <w:tcBorders>
              <w:top w:val="nil"/>
              <w:bottom w:val="nil"/>
              <w:right w:val="nil"/>
            </w:tcBorders>
          </w:tcPr>
          <w:p>
            <w:pPr>
              <w:pStyle w:val="TableParagraph"/>
              <w:spacing w:line="158" w:lineRule="exact" w:before="127"/>
              <w:ind w:left="173"/>
              <w:rPr>
                <w:rFonts w:ascii="Times New Roman"/>
                <w:sz w:val="14"/>
              </w:rPr>
            </w:pPr>
            <w:r>
              <w:rPr>
                <w:rFonts w:ascii="Times New Roman"/>
                <w:w w:val="105"/>
                <w:sz w:val="14"/>
              </w:rPr>
              <w:t>Open</w:t>
            </w:r>
          </w:p>
        </w:tc>
        <w:tc>
          <w:tcPr>
            <w:tcW w:w="2402" w:type="dxa"/>
            <w:tcBorders>
              <w:top w:val="nil"/>
              <w:left w:val="nil"/>
              <w:bottom w:val="nil"/>
              <w:right w:val="single" w:sz="6" w:space="0" w:color="000000"/>
            </w:tcBorders>
          </w:tcPr>
          <w:p>
            <w:pPr>
              <w:pStyle w:val="TableParagraph"/>
              <w:rPr>
                <w:rFonts w:ascii="Times New Roman"/>
                <w:sz w:val="14"/>
              </w:rPr>
            </w:pPr>
          </w:p>
        </w:tc>
        <w:tc>
          <w:tcPr>
            <w:tcW w:w="982" w:type="dxa"/>
            <w:tcBorders>
              <w:top w:val="nil"/>
              <w:left w:val="single" w:sz="6" w:space="0" w:color="000000"/>
              <w:bottom w:val="nil"/>
              <w:right w:val="single" w:sz="6" w:space="0" w:color="000000"/>
            </w:tcBorders>
          </w:tcPr>
          <w:p>
            <w:pPr>
              <w:pStyle w:val="TableParagraph"/>
              <w:spacing w:line="158" w:lineRule="exact" w:before="127"/>
              <w:ind w:left="30"/>
              <w:jc w:val="center"/>
              <w:rPr>
                <w:rFonts w:ascii="Times New Roman"/>
                <w:sz w:val="14"/>
              </w:rPr>
            </w:pPr>
            <w:r>
              <w:rPr>
                <w:rFonts w:ascii="Times New Roman"/>
                <w:w w:val="103"/>
                <w:sz w:val="14"/>
              </w:rPr>
              <w:t>2</w:t>
            </w:r>
          </w:p>
        </w:tc>
        <w:tc>
          <w:tcPr>
            <w:tcW w:w="982" w:type="dxa"/>
            <w:tcBorders>
              <w:top w:val="nil"/>
              <w:left w:val="single" w:sz="6" w:space="0" w:color="000000"/>
              <w:bottom w:val="nil"/>
              <w:right w:val="single" w:sz="6" w:space="0" w:color="000000"/>
            </w:tcBorders>
          </w:tcPr>
          <w:p>
            <w:pPr>
              <w:pStyle w:val="TableParagraph"/>
              <w:spacing w:line="177" w:lineRule="exact" w:before="109"/>
              <w:ind w:left="28"/>
              <w:jc w:val="center"/>
              <w:rPr>
                <w:rFonts w:ascii="Times New Roman"/>
                <w:sz w:val="16"/>
              </w:rPr>
            </w:pPr>
            <w:r>
              <w:rPr>
                <w:rFonts w:ascii="Times New Roman"/>
                <w:w w:val="100"/>
                <w:sz w:val="16"/>
              </w:rPr>
              <w:t>4</w:t>
            </w:r>
          </w:p>
        </w:tc>
        <w:tc>
          <w:tcPr>
            <w:tcW w:w="982" w:type="dxa"/>
            <w:tcBorders>
              <w:top w:val="nil"/>
              <w:left w:val="single" w:sz="6" w:space="0" w:color="000000"/>
              <w:bottom w:val="nil"/>
              <w:right w:val="single" w:sz="6" w:space="0" w:color="000000"/>
            </w:tcBorders>
          </w:tcPr>
          <w:p>
            <w:pPr>
              <w:pStyle w:val="TableParagraph"/>
              <w:spacing w:line="177" w:lineRule="exact" w:before="109"/>
              <w:ind w:left="27"/>
              <w:jc w:val="center"/>
              <w:rPr>
                <w:rFonts w:ascii="Times New Roman"/>
                <w:sz w:val="16"/>
              </w:rPr>
            </w:pPr>
            <w:r>
              <w:rPr>
                <w:rFonts w:ascii="Times New Roman"/>
                <w:w w:val="100"/>
                <w:sz w:val="16"/>
              </w:rPr>
              <w:t>3</w:t>
            </w:r>
          </w:p>
        </w:tc>
        <w:tc>
          <w:tcPr>
            <w:tcW w:w="982" w:type="dxa"/>
            <w:tcBorders>
              <w:top w:val="nil"/>
              <w:left w:val="single" w:sz="6" w:space="0" w:color="000000"/>
              <w:bottom w:val="nil"/>
              <w:right w:val="single" w:sz="6" w:space="0" w:color="000000"/>
            </w:tcBorders>
          </w:tcPr>
          <w:p>
            <w:pPr>
              <w:pStyle w:val="TableParagraph"/>
              <w:spacing w:line="177" w:lineRule="exact" w:before="109"/>
              <w:ind w:left="28"/>
              <w:jc w:val="center"/>
              <w:rPr>
                <w:rFonts w:ascii="Times New Roman"/>
                <w:sz w:val="16"/>
              </w:rPr>
            </w:pPr>
            <w:r>
              <w:rPr>
                <w:rFonts w:ascii="Times New Roman"/>
                <w:w w:val="100"/>
                <w:sz w:val="16"/>
              </w:rPr>
              <w:t>3</w:t>
            </w:r>
          </w:p>
        </w:tc>
        <w:tc>
          <w:tcPr>
            <w:tcW w:w="982" w:type="dxa"/>
            <w:tcBorders>
              <w:top w:val="nil"/>
              <w:left w:val="single" w:sz="6" w:space="0" w:color="000000"/>
              <w:bottom w:val="nil"/>
              <w:right w:val="single" w:sz="6" w:space="0" w:color="000000"/>
            </w:tcBorders>
          </w:tcPr>
          <w:p>
            <w:pPr>
              <w:pStyle w:val="TableParagraph"/>
              <w:spacing w:line="177" w:lineRule="exact" w:before="109"/>
              <w:ind w:left="26"/>
              <w:jc w:val="center"/>
              <w:rPr>
                <w:rFonts w:ascii="Times New Roman"/>
                <w:sz w:val="16"/>
              </w:rPr>
            </w:pPr>
            <w:r>
              <w:rPr>
                <w:rFonts w:ascii="Times New Roman"/>
                <w:w w:val="100"/>
                <w:sz w:val="16"/>
              </w:rPr>
              <w:t>3</w:t>
            </w:r>
          </w:p>
        </w:tc>
        <w:tc>
          <w:tcPr>
            <w:tcW w:w="982" w:type="dxa"/>
            <w:tcBorders>
              <w:top w:val="nil"/>
              <w:left w:val="single" w:sz="6" w:space="0" w:color="000000"/>
              <w:bottom w:val="nil"/>
              <w:right w:val="single" w:sz="6" w:space="0" w:color="000000"/>
            </w:tcBorders>
          </w:tcPr>
          <w:p>
            <w:pPr>
              <w:pStyle w:val="TableParagraph"/>
              <w:spacing w:line="177" w:lineRule="exact" w:before="109"/>
              <w:ind w:left="25"/>
              <w:jc w:val="center"/>
              <w:rPr>
                <w:rFonts w:ascii="Times New Roman"/>
                <w:sz w:val="16"/>
              </w:rPr>
            </w:pPr>
            <w:r>
              <w:rPr>
                <w:rFonts w:ascii="Times New Roman"/>
                <w:w w:val="100"/>
                <w:sz w:val="16"/>
              </w:rPr>
              <w:t>3</w:t>
            </w:r>
          </w:p>
        </w:tc>
        <w:tc>
          <w:tcPr>
            <w:tcW w:w="1143" w:type="dxa"/>
            <w:tcBorders>
              <w:top w:val="nil"/>
              <w:left w:val="single" w:sz="6" w:space="0" w:color="000000"/>
              <w:bottom w:val="nil"/>
              <w:right w:val="single" w:sz="6" w:space="0" w:color="000000"/>
            </w:tcBorders>
          </w:tcPr>
          <w:p>
            <w:pPr>
              <w:pStyle w:val="TableParagraph"/>
              <w:spacing w:line="177" w:lineRule="exact" w:before="109"/>
              <w:ind w:left="26"/>
              <w:jc w:val="center"/>
              <w:rPr>
                <w:rFonts w:ascii="Times New Roman"/>
                <w:sz w:val="16"/>
              </w:rPr>
            </w:pPr>
            <w:r>
              <w:rPr>
                <w:rFonts w:ascii="Times New Roman"/>
                <w:w w:val="100"/>
                <w:sz w:val="16"/>
              </w:rPr>
              <w:t>3</w:t>
            </w:r>
          </w:p>
        </w:tc>
        <w:tc>
          <w:tcPr>
            <w:tcW w:w="982" w:type="dxa"/>
            <w:tcBorders>
              <w:top w:val="nil"/>
              <w:left w:val="single" w:sz="6" w:space="0" w:color="000000"/>
              <w:bottom w:val="nil"/>
              <w:right w:val="single" w:sz="6" w:space="0" w:color="000000"/>
            </w:tcBorders>
          </w:tcPr>
          <w:p>
            <w:pPr>
              <w:pStyle w:val="TableParagraph"/>
              <w:spacing w:line="177" w:lineRule="exact" w:before="109"/>
              <w:ind w:left="23"/>
              <w:jc w:val="center"/>
              <w:rPr>
                <w:rFonts w:ascii="Times New Roman"/>
                <w:sz w:val="16"/>
              </w:rPr>
            </w:pPr>
            <w:r>
              <w:rPr>
                <w:rFonts w:ascii="Times New Roman"/>
                <w:sz w:val="16"/>
              </w:rPr>
              <w:t>12</w:t>
            </w:r>
          </w:p>
        </w:tc>
        <w:tc>
          <w:tcPr>
            <w:tcW w:w="1143" w:type="dxa"/>
            <w:tcBorders>
              <w:top w:val="nil"/>
              <w:left w:val="single" w:sz="6" w:space="0" w:color="000000"/>
              <w:bottom w:val="nil"/>
              <w:right w:val="single" w:sz="6" w:space="0" w:color="000000"/>
            </w:tcBorders>
          </w:tcPr>
          <w:p>
            <w:pPr>
              <w:pStyle w:val="TableParagraph"/>
              <w:spacing w:line="177" w:lineRule="exact" w:before="109"/>
              <w:ind w:left="26"/>
              <w:jc w:val="center"/>
              <w:rPr>
                <w:rFonts w:ascii="Times New Roman"/>
                <w:sz w:val="16"/>
              </w:rPr>
            </w:pPr>
            <w:r>
              <w:rPr>
                <w:rFonts w:ascii="Times New Roman"/>
                <w:w w:val="100"/>
                <w:sz w:val="16"/>
              </w:rPr>
              <w:t>9</w:t>
            </w:r>
          </w:p>
        </w:tc>
        <w:tc>
          <w:tcPr>
            <w:tcW w:w="1159" w:type="dxa"/>
            <w:tcBorders>
              <w:top w:val="nil"/>
              <w:left w:val="single" w:sz="6" w:space="0" w:color="000000"/>
              <w:bottom w:val="nil"/>
            </w:tcBorders>
          </w:tcPr>
          <w:p>
            <w:pPr>
              <w:pStyle w:val="TableParagraph"/>
              <w:spacing w:line="177" w:lineRule="exact" w:before="109"/>
              <w:ind w:left="37"/>
              <w:jc w:val="center"/>
              <w:rPr>
                <w:rFonts w:ascii="Times New Roman"/>
                <w:sz w:val="16"/>
              </w:rPr>
            </w:pPr>
            <w:r>
              <w:rPr>
                <w:rFonts w:ascii="Times New Roman"/>
                <w:sz w:val="16"/>
              </w:rPr>
              <w:t>30</w:t>
            </w:r>
          </w:p>
        </w:tc>
      </w:tr>
      <w:tr>
        <w:trPr>
          <w:trHeight w:val="203" w:hRule="atLeast"/>
        </w:trPr>
        <w:tc>
          <w:tcPr>
            <w:tcW w:w="808" w:type="dxa"/>
            <w:tcBorders>
              <w:top w:val="nil"/>
              <w:bottom w:val="nil"/>
              <w:right w:val="nil"/>
            </w:tcBorders>
          </w:tcPr>
          <w:p>
            <w:pPr>
              <w:pStyle w:val="TableParagraph"/>
              <w:spacing w:line="158" w:lineRule="exact" w:before="25"/>
              <w:ind w:left="173"/>
              <w:rPr>
                <w:rFonts w:ascii="Times New Roman"/>
                <w:sz w:val="14"/>
              </w:rPr>
            </w:pPr>
            <w:r>
              <w:rPr>
                <w:rFonts w:ascii="Times New Roman"/>
                <w:w w:val="105"/>
                <w:sz w:val="14"/>
              </w:rPr>
              <w:t>Closed</w:t>
            </w:r>
          </w:p>
        </w:tc>
        <w:tc>
          <w:tcPr>
            <w:tcW w:w="2402" w:type="dxa"/>
            <w:tcBorders>
              <w:top w:val="nil"/>
              <w:left w:val="nil"/>
              <w:bottom w:val="nil"/>
              <w:right w:val="single" w:sz="6" w:space="0" w:color="000000"/>
            </w:tcBorders>
          </w:tcPr>
          <w:p>
            <w:pPr>
              <w:pStyle w:val="TableParagraph"/>
              <w:rPr>
                <w:rFonts w:ascii="Times New Roman"/>
                <w:sz w:val="14"/>
              </w:rPr>
            </w:pPr>
          </w:p>
        </w:tc>
        <w:tc>
          <w:tcPr>
            <w:tcW w:w="982" w:type="dxa"/>
            <w:tcBorders>
              <w:top w:val="nil"/>
              <w:left w:val="single" w:sz="6" w:space="0" w:color="000000"/>
              <w:bottom w:val="nil"/>
              <w:right w:val="single" w:sz="6" w:space="0" w:color="000000"/>
            </w:tcBorders>
          </w:tcPr>
          <w:p>
            <w:pPr>
              <w:pStyle w:val="TableParagraph"/>
              <w:spacing w:line="158" w:lineRule="exact" w:before="25"/>
              <w:ind w:left="30"/>
              <w:jc w:val="center"/>
              <w:rPr>
                <w:rFonts w:ascii="Times New Roman"/>
                <w:sz w:val="14"/>
              </w:rPr>
            </w:pPr>
            <w:r>
              <w:rPr>
                <w:rFonts w:ascii="Times New Roman"/>
                <w:w w:val="105"/>
                <w:sz w:val="14"/>
              </w:rPr>
              <w:t>118</w:t>
            </w:r>
          </w:p>
        </w:tc>
        <w:tc>
          <w:tcPr>
            <w:tcW w:w="982" w:type="dxa"/>
            <w:tcBorders>
              <w:top w:val="nil"/>
              <w:left w:val="single" w:sz="6" w:space="0" w:color="000000"/>
              <w:bottom w:val="nil"/>
              <w:right w:val="single" w:sz="6" w:space="0" w:color="000000"/>
            </w:tcBorders>
          </w:tcPr>
          <w:p>
            <w:pPr>
              <w:pStyle w:val="TableParagraph"/>
              <w:spacing w:line="177" w:lineRule="exact" w:before="7"/>
              <w:ind w:left="28"/>
              <w:jc w:val="center"/>
              <w:rPr>
                <w:rFonts w:ascii="Times New Roman"/>
                <w:sz w:val="16"/>
              </w:rPr>
            </w:pPr>
            <w:r>
              <w:rPr>
                <w:rFonts w:ascii="Times New Roman"/>
                <w:sz w:val="16"/>
              </w:rPr>
              <w:t>113</w:t>
            </w:r>
          </w:p>
        </w:tc>
        <w:tc>
          <w:tcPr>
            <w:tcW w:w="982" w:type="dxa"/>
            <w:tcBorders>
              <w:top w:val="nil"/>
              <w:left w:val="single" w:sz="6" w:space="0" w:color="000000"/>
              <w:bottom w:val="nil"/>
              <w:right w:val="single" w:sz="6" w:space="0" w:color="000000"/>
            </w:tcBorders>
          </w:tcPr>
          <w:p>
            <w:pPr>
              <w:pStyle w:val="TableParagraph"/>
              <w:spacing w:line="177" w:lineRule="exact" w:before="7"/>
              <w:ind w:left="28"/>
              <w:jc w:val="center"/>
              <w:rPr>
                <w:rFonts w:ascii="Times New Roman"/>
                <w:sz w:val="16"/>
              </w:rPr>
            </w:pPr>
            <w:r>
              <w:rPr>
                <w:rFonts w:ascii="Times New Roman"/>
                <w:sz w:val="16"/>
              </w:rPr>
              <w:t>137</w:t>
            </w:r>
          </w:p>
        </w:tc>
        <w:tc>
          <w:tcPr>
            <w:tcW w:w="982" w:type="dxa"/>
            <w:tcBorders>
              <w:top w:val="nil"/>
              <w:left w:val="single" w:sz="6" w:space="0" w:color="000000"/>
              <w:bottom w:val="nil"/>
              <w:right w:val="single" w:sz="6" w:space="0" w:color="000000"/>
            </w:tcBorders>
          </w:tcPr>
          <w:p>
            <w:pPr>
              <w:pStyle w:val="TableParagraph"/>
              <w:spacing w:line="177" w:lineRule="exact" w:before="7"/>
              <w:ind w:left="28"/>
              <w:jc w:val="center"/>
              <w:rPr>
                <w:rFonts w:ascii="Times New Roman"/>
                <w:sz w:val="16"/>
              </w:rPr>
            </w:pPr>
            <w:r>
              <w:rPr>
                <w:rFonts w:ascii="Times New Roman"/>
                <w:sz w:val="16"/>
              </w:rPr>
              <w:t>126</w:t>
            </w:r>
          </w:p>
        </w:tc>
        <w:tc>
          <w:tcPr>
            <w:tcW w:w="982" w:type="dxa"/>
            <w:tcBorders>
              <w:top w:val="nil"/>
              <w:left w:val="single" w:sz="6" w:space="0" w:color="000000"/>
              <w:bottom w:val="nil"/>
              <w:right w:val="single" w:sz="6" w:space="0" w:color="000000"/>
            </w:tcBorders>
          </w:tcPr>
          <w:p>
            <w:pPr>
              <w:pStyle w:val="TableParagraph"/>
              <w:spacing w:line="177" w:lineRule="exact" w:before="7"/>
              <w:ind w:left="26"/>
              <w:jc w:val="center"/>
              <w:rPr>
                <w:rFonts w:ascii="Times New Roman"/>
                <w:sz w:val="16"/>
              </w:rPr>
            </w:pPr>
            <w:r>
              <w:rPr>
                <w:rFonts w:ascii="Times New Roman"/>
                <w:sz w:val="16"/>
              </w:rPr>
              <w:t>104</w:t>
            </w:r>
          </w:p>
        </w:tc>
        <w:tc>
          <w:tcPr>
            <w:tcW w:w="982" w:type="dxa"/>
            <w:tcBorders>
              <w:top w:val="nil"/>
              <w:left w:val="single" w:sz="6" w:space="0" w:color="000000"/>
              <w:bottom w:val="nil"/>
              <w:right w:val="single" w:sz="6" w:space="0" w:color="000000"/>
            </w:tcBorders>
          </w:tcPr>
          <w:p>
            <w:pPr>
              <w:pStyle w:val="TableParagraph"/>
              <w:spacing w:line="177" w:lineRule="exact" w:before="7"/>
              <w:ind w:left="26"/>
              <w:jc w:val="center"/>
              <w:rPr>
                <w:rFonts w:ascii="Times New Roman"/>
                <w:sz w:val="16"/>
              </w:rPr>
            </w:pPr>
            <w:r>
              <w:rPr>
                <w:rFonts w:ascii="Times New Roman"/>
                <w:sz w:val="16"/>
              </w:rPr>
              <w:t>96</w:t>
            </w:r>
          </w:p>
        </w:tc>
        <w:tc>
          <w:tcPr>
            <w:tcW w:w="1143" w:type="dxa"/>
            <w:tcBorders>
              <w:top w:val="nil"/>
              <w:left w:val="single" w:sz="6" w:space="0" w:color="000000"/>
              <w:bottom w:val="nil"/>
              <w:right w:val="single" w:sz="6" w:space="0" w:color="000000"/>
            </w:tcBorders>
          </w:tcPr>
          <w:p>
            <w:pPr>
              <w:pStyle w:val="TableParagraph"/>
              <w:spacing w:line="177" w:lineRule="exact" w:before="7"/>
              <w:ind w:left="30" w:right="3"/>
              <w:jc w:val="center"/>
              <w:rPr>
                <w:rFonts w:ascii="Times New Roman"/>
                <w:sz w:val="16"/>
              </w:rPr>
            </w:pPr>
            <w:r>
              <w:rPr>
                <w:rFonts w:ascii="Times New Roman"/>
                <w:sz w:val="16"/>
              </w:rPr>
              <w:t>84</w:t>
            </w:r>
          </w:p>
        </w:tc>
        <w:tc>
          <w:tcPr>
            <w:tcW w:w="982" w:type="dxa"/>
            <w:tcBorders>
              <w:top w:val="nil"/>
              <w:left w:val="single" w:sz="6" w:space="0" w:color="000000"/>
              <w:bottom w:val="nil"/>
              <w:right w:val="single" w:sz="6" w:space="0" w:color="000000"/>
            </w:tcBorders>
          </w:tcPr>
          <w:p>
            <w:pPr>
              <w:pStyle w:val="TableParagraph"/>
              <w:spacing w:line="177" w:lineRule="exact" w:before="7"/>
              <w:ind w:left="24"/>
              <w:jc w:val="center"/>
              <w:rPr>
                <w:rFonts w:ascii="Times New Roman"/>
                <w:sz w:val="16"/>
              </w:rPr>
            </w:pPr>
            <w:r>
              <w:rPr>
                <w:rFonts w:ascii="Times New Roman"/>
                <w:sz w:val="16"/>
              </w:rPr>
              <w:t>89</w:t>
            </w:r>
          </w:p>
        </w:tc>
        <w:tc>
          <w:tcPr>
            <w:tcW w:w="1143" w:type="dxa"/>
            <w:tcBorders>
              <w:top w:val="nil"/>
              <w:left w:val="single" w:sz="6" w:space="0" w:color="000000"/>
              <w:bottom w:val="nil"/>
              <w:right w:val="single" w:sz="6" w:space="0" w:color="000000"/>
            </w:tcBorders>
          </w:tcPr>
          <w:p>
            <w:pPr>
              <w:pStyle w:val="TableParagraph"/>
              <w:spacing w:line="177" w:lineRule="exact" w:before="7"/>
              <w:ind w:left="29" w:right="3"/>
              <w:jc w:val="center"/>
              <w:rPr>
                <w:rFonts w:ascii="Times New Roman"/>
                <w:sz w:val="16"/>
              </w:rPr>
            </w:pPr>
            <w:r>
              <w:rPr>
                <w:rFonts w:ascii="Times New Roman"/>
                <w:sz w:val="16"/>
              </w:rPr>
              <w:t>74</w:t>
            </w:r>
          </w:p>
        </w:tc>
        <w:tc>
          <w:tcPr>
            <w:tcW w:w="1159" w:type="dxa"/>
            <w:tcBorders>
              <w:top w:val="nil"/>
              <w:left w:val="single" w:sz="6" w:space="0" w:color="000000"/>
              <w:bottom w:val="nil"/>
            </w:tcBorders>
          </w:tcPr>
          <w:p>
            <w:pPr>
              <w:pStyle w:val="TableParagraph"/>
              <w:spacing w:line="177" w:lineRule="exact" w:before="7"/>
              <w:ind w:left="39"/>
              <w:jc w:val="center"/>
              <w:rPr>
                <w:rFonts w:ascii="Times New Roman"/>
                <w:sz w:val="16"/>
              </w:rPr>
            </w:pPr>
            <w:r>
              <w:rPr>
                <w:rFonts w:ascii="Times New Roman"/>
                <w:sz w:val="16"/>
              </w:rPr>
              <w:t>74</w:t>
            </w:r>
          </w:p>
        </w:tc>
      </w:tr>
      <w:tr>
        <w:trPr>
          <w:trHeight w:val="313" w:hRule="atLeast"/>
        </w:trPr>
        <w:tc>
          <w:tcPr>
            <w:tcW w:w="808" w:type="dxa"/>
            <w:tcBorders>
              <w:top w:val="nil"/>
              <w:bottom w:val="nil"/>
              <w:right w:val="nil"/>
            </w:tcBorders>
          </w:tcPr>
          <w:p>
            <w:pPr>
              <w:pStyle w:val="TableParagraph"/>
              <w:spacing w:before="25"/>
              <w:ind w:left="173"/>
              <w:rPr>
                <w:rFonts w:ascii="Times New Roman"/>
                <w:sz w:val="14"/>
              </w:rPr>
            </w:pPr>
            <w:r>
              <w:rPr>
                <w:rFonts w:ascii="Times New Roman"/>
                <w:w w:val="105"/>
                <w:sz w:val="14"/>
              </w:rPr>
              <w:t>Total</w:t>
            </w:r>
          </w:p>
        </w:tc>
        <w:tc>
          <w:tcPr>
            <w:tcW w:w="2402" w:type="dxa"/>
            <w:tcBorders>
              <w:top w:val="nil"/>
              <w:left w:val="nil"/>
              <w:bottom w:val="nil"/>
              <w:right w:val="single" w:sz="6" w:space="0" w:color="000000"/>
            </w:tcBorders>
          </w:tcPr>
          <w:p>
            <w:pPr>
              <w:pStyle w:val="TableParagraph"/>
              <w:rPr>
                <w:rFonts w:ascii="Times New Roman"/>
                <w:sz w:val="14"/>
              </w:rPr>
            </w:pPr>
          </w:p>
        </w:tc>
        <w:tc>
          <w:tcPr>
            <w:tcW w:w="982" w:type="dxa"/>
            <w:tcBorders>
              <w:top w:val="nil"/>
              <w:left w:val="single" w:sz="6" w:space="0" w:color="000000"/>
              <w:bottom w:val="nil"/>
              <w:right w:val="single" w:sz="6" w:space="0" w:color="000000"/>
            </w:tcBorders>
          </w:tcPr>
          <w:p>
            <w:pPr>
              <w:pStyle w:val="TableParagraph"/>
              <w:spacing w:before="25"/>
              <w:ind w:left="31"/>
              <w:jc w:val="center"/>
              <w:rPr>
                <w:rFonts w:ascii="Times New Roman"/>
                <w:b/>
                <w:sz w:val="14"/>
              </w:rPr>
            </w:pPr>
            <w:r>
              <w:rPr>
                <w:rFonts w:ascii="Times New Roman"/>
                <w:b/>
                <w:w w:val="105"/>
                <w:sz w:val="14"/>
              </w:rPr>
              <w:t>120</w:t>
            </w:r>
          </w:p>
        </w:tc>
        <w:tc>
          <w:tcPr>
            <w:tcW w:w="982" w:type="dxa"/>
            <w:tcBorders>
              <w:top w:val="nil"/>
              <w:left w:val="single" w:sz="6" w:space="0" w:color="000000"/>
              <w:bottom w:val="nil"/>
              <w:right w:val="single" w:sz="6" w:space="0" w:color="000000"/>
            </w:tcBorders>
          </w:tcPr>
          <w:p>
            <w:pPr>
              <w:pStyle w:val="TableParagraph"/>
              <w:spacing w:before="25"/>
              <w:ind w:left="30"/>
              <w:jc w:val="center"/>
              <w:rPr>
                <w:rFonts w:ascii="Times New Roman"/>
                <w:b/>
                <w:sz w:val="14"/>
              </w:rPr>
            </w:pPr>
            <w:r>
              <w:rPr>
                <w:rFonts w:ascii="Times New Roman"/>
                <w:b/>
                <w:w w:val="105"/>
                <w:sz w:val="14"/>
              </w:rPr>
              <w:t>117</w:t>
            </w:r>
          </w:p>
        </w:tc>
        <w:tc>
          <w:tcPr>
            <w:tcW w:w="982" w:type="dxa"/>
            <w:tcBorders>
              <w:top w:val="nil"/>
              <w:left w:val="single" w:sz="6" w:space="0" w:color="000000"/>
              <w:bottom w:val="nil"/>
              <w:right w:val="single" w:sz="6" w:space="0" w:color="000000"/>
            </w:tcBorders>
          </w:tcPr>
          <w:p>
            <w:pPr>
              <w:pStyle w:val="TableParagraph"/>
              <w:spacing w:before="25"/>
              <w:ind w:left="30"/>
              <w:jc w:val="center"/>
              <w:rPr>
                <w:rFonts w:ascii="Times New Roman"/>
                <w:b/>
                <w:sz w:val="14"/>
              </w:rPr>
            </w:pPr>
            <w:r>
              <w:rPr>
                <w:rFonts w:ascii="Times New Roman"/>
                <w:b/>
                <w:w w:val="105"/>
                <w:sz w:val="14"/>
              </w:rPr>
              <w:t>140</w:t>
            </w:r>
          </w:p>
        </w:tc>
        <w:tc>
          <w:tcPr>
            <w:tcW w:w="982" w:type="dxa"/>
            <w:tcBorders>
              <w:top w:val="nil"/>
              <w:left w:val="single" w:sz="6" w:space="0" w:color="000000"/>
              <w:bottom w:val="nil"/>
              <w:right w:val="single" w:sz="6" w:space="0" w:color="000000"/>
            </w:tcBorders>
          </w:tcPr>
          <w:p>
            <w:pPr>
              <w:pStyle w:val="TableParagraph"/>
              <w:spacing w:before="25"/>
              <w:ind w:left="31"/>
              <w:jc w:val="center"/>
              <w:rPr>
                <w:rFonts w:ascii="Times New Roman"/>
                <w:b/>
                <w:sz w:val="14"/>
              </w:rPr>
            </w:pPr>
            <w:r>
              <w:rPr>
                <w:rFonts w:ascii="Times New Roman"/>
                <w:b/>
                <w:w w:val="105"/>
                <w:sz w:val="14"/>
              </w:rPr>
              <w:t>129</w:t>
            </w:r>
          </w:p>
        </w:tc>
        <w:tc>
          <w:tcPr>
            <w:tcW w:w="982" w:type="dxa"/>
            <w:tcBorders>
              <w:top w:val="nil"/>
              <w:left w:val="single" w:sz="6" w:space="0" w:color="000000"/>
              <w:bottom w:val="nil"/>
              <w:right w:val="single" w:sz="6" w:space="0" w:color="000000"/>
            </w:tcBorders>
          </w:tcPr>
          <w:p>
            <w:pPr>
              <w:pStyle w:val="TableParagraph"/>
              <w:spacing w:before="25"/>
              <w:ind w:left="29"/>
              <w:jc w:val="center"/>
              <w:rPr>
                <w:rFonts w:ascii="Times New Roman"/>
                <w:b/>
                <w:sz w:val="14"/>
              </w:rPr>
            </w:pPr>
            <w:r>
              <w:rPr>
                <w:rFonts w:ascii="Times New Roman"/>
                <w:b/>
                <w:w w:val="105"/>
                <w:sz w:val="14"/>
              </w:rPr>
              <w:t>107</w:t>
            </w:r>
          </w:p>
        </w:tc>
        <w:tc>
          <w:tcPr>
            <w:tcW w:w="982" w:type="dxa"/>
            <w:tcBorders>
              <w:top w:val="nil"/>
              <w:left w:val="single" w:sz="6" w:space="0" w:color="000000"/>
              <w:bottom w:val="nil"/>
              <w:right w:val="single" w:sz="6" w:space="0" w:color="000000"/>
            </w:tcBorders>
          </w:tcPr>
          <w:p>
            <w:pPr>
              <w:pStyle w:val="TableParagraph"/>
              <w:spacing w:before="25"/>
              <w:ind w:left="30"/>
              <w:jc w:val="center"/>
              <w:rPr>
                <w:rFonts w:ascii="Times New Roman"/>
                <w:b/>
                <w:sz w:val="14"/>
              </w:rPr>
            </w:pPr>
            <w:r>
              <w:rPr>
                <w:rFonts w:ascii="Times New Roman"/>
                <w:b/>
                <w:w w:val="105"/>
                <w:sz w:val="14"/>
              </w:rPr>
              <w:t>99</w:t>
            </w:r>
          </w:p>
        </w:tc>
        <w:tc>
          <w:tcPr>
            <w:tcW w:w="1143" w:type="dxa"/>
            <w:tcBorders>
              <w:top w:val="nil"/>
              <w:left w:val="single" w:sz="6" w:space="0" w:color="000000"/>
              <w:bottom w:val="nil"/>
              <w:right w:val="single" w:sz="6" w:space="0" w:color="000000"/>
            </w:tcBorders>
          </w:tcPr>
          <w:p>
            <w:pPr>
              <w:pStyle w:val="TableParagraph"/>
              <w:spacing w:before="25"/>
              <w:ind w:left="35" w:right="3"/>
              <w:jc w:val="center"/>
              <w:rPr>
                <w:rFonts w:ascii="Times New Roman"/>
                <w:b/>
                <w:sz w:val="14"/>
              </w:rPr>
            </w:pPr>
            <w:r>
              <w:rPr>
                <w:rFonts w:ascii="Times New Roman"/>
                <w:b/>
                <w:w w:val="105"/>
                <w:sz w:val="14"/>
              </w:rPr>
              <w:t>87</w:t>
            </w:r>
          </w:p>
        </w:tc>
        <w:tc>
          <w:tcPr>
            <w:tcW w:w="982" w:type="dxa"/>
            <w:tcBorders>
              <w:top w:val="nil"/>
              <w:left w:val="single" w:sz="6" w:space="0" w:color="000000"/>
              <w:bottom w:val="nil"/>
              <w:right w:val="single" w:sz="6" w:space="0" w:color="000000"/>
            </w:tcBorders>
          </w:tcPr>
          <w:p>
            <w:pPr>
              <w:pStyle w:val="TableParagraph"/>
              <w:spacing w:before="25"/>
              <w:ind w:left="27"/>
              <w:jc w:val="center"/>
              <w:rPr>
                <w:rFonts w:ascii="Times New Roman"/>
                <w:b/>
                <w:sz w:val="14"/>
              </w:rPr>
            </w:pPr>
            <w:r>
              <w:rPr>
                <w:rFonts w:ascii="Times New Roman"/>
                <w:b/>
                <w:w w:val="105"/>
                <w:sz w:val="14"/>
              </w:rPr>
              <w:t>101</w:t>
            </w:r>
          </w:p>
        </w:tc>
        <w:tc>
          <w:tcPr>
            <w:tcW w:w="1143" w:type="dxa"/>
            <w:tcBorders>
              <w:top w:val="nil"/>
              <w:left w:val="single" w:sz="6" w:space="0" w:color="000000"/>
              <w:bottom w:val="nil"/>
              <w:right w:val="single" w:sz="6" w:space="0" w:color="000000"/>
            </w:tcBorders>
          </w:tcPr>
          <w:p>
            <w:pPr>
              <w:pStyle w:val="TableParagraph"/>
              <w:spacing w:before="25"/>
              <w:ind w:left="32" w:right="3"/>
              <w:jc w:val="center"/>
              <w:rPr>
                <w:rFonts w:ascii="Times New Roman"/>
                <w:b/>
                <w:sz w:val="14"/>
              </w:rPr>
            </w:pPr>
            <w:r>
              <w:rPr>
                <w:rFonts w:ascii="Times New Roman"/>
                <w:b/>
                <w:w w:val="105"/>
                <w:sz w:val="14"/>
              </w:rPr>
              <w:t>83</w:t>
            </w:r>
          </w:p>
        </w:tc>
        <w:tc>
          <w:tcPr>
            <w:tcW w:w="1159" w:type="dxa"/>
            <w:tcBorders>
              <w:top w:val="nil"/>
              <w:left w:val="single" w:sz="6" w:space="0" w:color="000000"/>
              <w:bottom w:val="nil"/>
            </w:tcBorders>
          </w:tcPr>
          <w:p>
            <w:pPr>
              <w:pStyle w:val="TableParagraph"/>
              <w:spacing w:before="7"/>
              <w:ind w:left="36"/>
              <w:jc w:val="center"/>
              <w:rPr>
                <w:rFonts w:ascii="Times New Roman"/>
                <w:b/>
                <w:sz w:val="16"/>
              </w:rPr>
            </w:pPr>
            <w:r>
              <w:rPr>
                <w:rFonts w:ascii="Times New Roman"/>
                <w:b/>
                <w:sz w:val="16"/>
              </w:rPr>
              <w:t>104</w:t>
            </w:r>
          </w:p>
        </w:tc>
      </w:tr>
      <w:tr>
        <w:trPr>
          <w:trHeight w:val="502" w:hRule="atLeast"/>
        </w:trPr>
        <w:tc>
          <w:tcPr>
            <w:tcW w:w="808" w:type="dxa"/>
            <w:tcBorders>
              <w:top w:val="nil"/>
              <w:bottom w:val="nil"/>
              <w:right w:val="nil"/>
            </w:tcBorders>
          </w:tcPr>
          <w:p>
            <w:pPr>
              <w:pStyle w:val="TableParagraph"/>
              <w:rPr>
                <w:rFonts w:ascii="Times New Roman"/>
                <w:sz w:val="16"/>
              </w:rPr>
            </w:pPr>
          </w:p>
          <w:p>
            <w:pPr>
              <w:pStyle w:val="TableParagraph"/>
              <w:spacing w:line="158" w:lineRule="exact" w:before="140"/>
              <w:ind w:left="173"/>
              <w:rPr>
                <w:rFonts w:ascii="Times New Roman"/>
                <w:sz w:val="14"/>
              </w:rPr>
            </w:pPr>
            <w:r>
              <w:rPr>
                <w:rFonts w:ascii="Times New Roman"/>
                <w:w w:val="105"/>
                <w:sz w:val="14"/>
              </w:rPr>
              <w:t>Incurred</w:t>
            </w:r>
          </w:p>
        </w:tc>
        <w:tc>
          <w:tcPr>
            <w:tcW w:w="2402" w:type="dxa"/>
            <w:tcBorders>
              <w:top w:val="nil"/>
              <w:left w:val="nil"/>
              <w:bottom w:val="nil"/>
              <w:right w:val="single" w:sz="6" w:space="0" w:color="000000"/>
            </w:tcBorders>
          </w:tcPr>
          <w:p>
            <w:pPr>
              <w:pStyle w:val="TableParagraph"/>
              <w:spacing w:before="120"/>
              <w:ind w:left="109" w:right="1170"/>
              <w:jc w:val="center"/>
              <w:rPr>
                <w:rFonts w:ascii="Times New Roman"/>
                <w:b/>
                <w:sz w:val="14"/>
              </w:rPr>
            </w:pPr>
            <w:r>
              <w:rPr>
                <w:rFonts w:ascii="Times New Roman"/>
                <w:b/>
                <w:spacing w:val="-105"/>
                <w:w w:val="105"/>
                <w:sz w:val="14"/>
                <w:u w:val="single"/>
              </w:rPr>
              <w:t>C</w:t>
            </w:r>
            <w:r>
              <w:rPr>
                <w:rFonts w:ascii="Times New Roman"/>
                <w:b/>
                <w:spacing w:val="65"/>
                <w:w w:val="105"/>
                <w:sz w:val="14"/>
              </w:rPr>
              <w:t> </w:t>
            </w:r>
            <w:r>
              <w:rPr>
                <w:rFonts w:ascii="Times New Roman"/>
                <w:b/>
                <w:w w:val="105"/>
                <w:sz w:val="14"/>
                <w:u w:val="single"/>
              </w:rPr>
              <w:t>laim Values</w:t>
            </w:r>
          </w:p>
        </w:tc>
        <w:tc>
          <w:tcPr>
            <w:tcW w:w="982" w:type="dxa"/>
            <w:tcBorders>
              <w:top w:val="nil"/>
              <w:left w:val="single" w:sz="6" w:space="0" w:color="000000"/>
              <w:bottom w:val="nil"/>
              <w:right w:val="single" w:sz="6" w:space="0" w:color="000000"/>
            </w:tcBorders>
          </w:tcPr>
          <w:p>
            <w:pPr>
              <w:pStyle w:val="TableParagraph"/>
              <w:rPr>
                <w:rFonts w:ascii="Times New Roman"/>
                <w:sz w:val="16"/>
              </w:rPr>
            </w:pPr>
          </w:p>
          <w:p>
            <w:pPr>
              <w:pStyle w:val="TableParagraph"/>
              <w:spacing w:line="158" w:lineRule="exact" w:before="140"/>
              <w:ind w:left="24"/>
              <w:jc w:val="center"/>
              <w:rPr>
                <w:rFonts w:ascii="Times New Roman"/>
                <w:sz w:val="14"/>
              </w:rPr>
            </w:pPr>
            <w:r>
              <w:rPr>
                <w:rFonts w:ascii="Times New Roman"/>
                <w:w w:val="105"/>
                <w:sz w:val="14"/>
              </w:rPr>
              <w:t>$ 2,747,440</w:t>
            </w:r>
          </w:p>
        </w:tc>
        <w:tc>
          <w:tcPr>
            <w:tcW w:w="982" w:type="dxa"/>
            <w:tcBorders>
              <w:top w:val="nil"/>
              <w:left w:val="single" w:sz="6" w:space="0" w:color="000000"/>
              <w:bottom w:val="nil"/>
              <w:right w:val="single" w:sz="6" w:space="0" w:color="000000"/>
            </w:tcBorders>
          </w:tcPr>
          <w:p>
            <w:pPr>
              <w:pStyle w:val="TableParagraph"/>
              <w:spacing w:before="6"/>
              <w:rPr>
                <w:rFonts w:ascii="Times New Roman"/>
                <w:sz w:val="26"/>
              </w:rPr>
            </w:pPr>
          </w:p>
          <w:p>
            <w:pPr>
              <w:pStyle w:val="TableParagraph"/>
              <w:spacing w:line="177" w:lineRule="exact"/>
              <w:ind w:left="12"/>
              <w:jc w:val="center"/>
              <w:rPr>
                <w:rFonts w:ascii="Times New Roman"/>
                <w:sz w:val="16"/>
              </w:rPr>
            </w:pPr>
            <w:r>
              <w:rPr>
                <w:rFonts w:ascii="Times New Roman"/>
                <w:sz w:val="16"/>
              </w:rPr>
              <w:t>$ 2,893,348</w:t>
            </w:r>
          </w:p>
        </w:tc>
        <w:tc>
          <w:tcPr>
            <w:tcW w:w="982" w:type="dxa"/>
            <w:tcBorders>
              <w:top w:val="nil"/>
              <w:left w:val="single" w:sz="6" w:space="0" w:color="000000"/>
              <w:bottom w:val="nil"/>
              <w:right w:val="single" w:sz="6" w:space="0" w:color="000000"/>
            </w:tcBorders>
          </w:tcPr>
          <w:p>
            <w:pPr>
              <w:pStyle w:val="TableParagraph"/>
              <w:spacing w:before="6"/>
              <w:rPr>
                <w:rFonts w:ascii="Times New Roman"/>
                <w:sz w:val="26"/>
              </w:rPr>
            </w:pPr>
          </w:p>
          <w:p>
            <w:pPr>
              <w:pStyle w:val="TableParagraph"/>
              <w:spacing w:line="177" w:lineRule="exact"/>
              <w:ind w:left="11"/>
              <w:jc w:val="center"/>
              <w:rPr>
                <w:rFonts w:ascii="Times New Roman"/>
                <w:sz w:val="16"/>
              </w:rPr>
            </w:pPr>
            <w:r>
              <w:rPr>
                <w:rFonts w:ascii="Times New Roman"/>
                <w:sz w:val="16"/>
              </w:rPr>
              <w:t>$ 2,432,191</w:t>
            </w:r>
          </w:p>
        </w:tc>
        <w:tc>
          <w:tcPr>
            <w:tcW w:w="982" w:type="dxa"/>
            <w:tcBorders>
              <w:top w:val="nil"/>
              <w:left w:val="single" w:sz="6" w:space="0" w:color="000000"/>
              <w:bottom w:val="nil"/>
              <w:right w:val="single" w:sz="6" w:space="0" w:color="000000"/>
            </w:tcBorders>
          </w:tcPr>
          <w:p>
            <w:pPr>
              <w:pStyle w:val="TableParagraph"/>
              <w:spacing w:before="6"/>
              <w:rPr>
                <w:rFonts w:ascii="Times New Roman"/>
                <w:sz w:val="26"/>
              </w:rPr>
            </w:pPr>
          </w:p>
          <w:p>
            <w:pPr>
              <w:pStyle w:val="TableParagraph"/>
              <w:spacing w:line="177" w:lineRule="exact"/>
              <w:ind w:left="11"/>
              <w:jc w:val="center"/>
              <w:rPr>
                <w:rFonts w:ascii="Times New Roman"/>
                <w:sz w:val="16"/>
              </w:rPr>
            </w:pPr>
            <w:r>
              <w:rPr>
                <w:rFonts w:ascii="Times New Roman"/>
                <w:sz w:val="16"/>
              </w:rPr>
              <w:t>$ 1,592,762</w:t>
            </w:r>
          </w:p>
        </w:tc>
        <w:tc>
          <w:tcPr>
            <w:tcW w:w="982" w:type="dxa"/>
            <w:tcBorders>
              <w:top w:val="nil"/>
              <w:left w:val="single" w:sz="6" w:space="0" w:color="000000"/>
              <w:bottom w:val="nil"/>
              <w:right w:val="single" w:sz="6" w:space="0" w:color="000000"/>
            </w:tcBorders>
          </w:tcPr>
          <w:p>
            <w:pPr>
              <w:pStyle w:val="TableParagraph"/>
              <w:spacing w:before="6"/>
              <w:rPr>
                <w:rFonts w:ascii="Times New Roman"/>
                <w:sz w:val="26"/>
              </w:rPr>
            </w:pPr>
          </w:p>
          <w:p>
            <w:pPr>
              <w:pStyle w:val="TableParagraph"/>
              <w:spacing w:line="177" w:lineRule="exact"/>
              <w:ind w:left="10"/>
              <w:jc w:val="center"/>
              <w:rPr>
                <w:rFonts w:ascii="Times New Roman"/>
                <w:sz w:val="16"/>
              </w:rPr>
            </w:pPr>
            <w:r>
              <w:rPr>
                <w:rFonts w:ascii="Times New Roman"/>
                <w:sz w:val="16"/>
              </w:rPr>
              <w:t>$ 1,850,989</w:t>
            </w:r>
          </w:p>
        </w:tc>
        <w:tc>
          <w:tcPr>
            <w:tcW w:w="982" w:type="dxa"/>
            <w:tcBorders>
              <w:top w:val="nil"/>
              <w:left w:val="single" w:sz="6" w:space="0" w:color="000000"/>
              <w:bottom w:val="nil"/>
              <w:right w:val="single" w:sz="6" w:space="0" w:color="000000"/>
            </w:tcBorders>
          </w:tcPr>
          <w:p>
            <w:pPr>
              <w:pStyle w:val="TableParagraph"/>
              <w:spacing w:before="6"/>
              <w:rPr>
                <w:rFonts w:ascii="Times New Roman"/>
                <w:sz w:val="26"/>
              </w:rPr>
            </w:pPr>
          </w:p>
          <w:p>
            <w:pPr>
              <w:pStyle w:val="TableParagraph"/>
              <w:spacing w:line="177" w:lineRule="exact"/>
              <w:ind w:left="9"/>
              <w:jc w:val="center"/>
              <w:rPr>
                <w:rFonts w:ascii="Times New Roman"/>
                <w:sz w:val="16"/>
              </w:rPr>
            </w:pPr>
            <w:r>
              <w:rPr>
                <w:rFonts w:ascii="Times New Roman"/>
                <w:sz w:val="16"/>
              </w:rPr>
              <w:t>$ 1,382,492</w:t>
            </w:r>
          </w:p>
        </w:tc>
        <w:tc>
          <w:tcPr>
            <w:tcW w:w="1143" w:type="dxa"/>
            <w:tcBorders>
              <w:top w:val="nil"/>
              <w:left w:val="single" w:sz="6" w:space="0" w:color="000000"/>
              <w:bottom w:val="nil"/>
              <w:right w:val="single" w:sz="6" w:space="0" w:color="000000"/>
            </w:tcBorders>
          </w:tcPr>
          <w:p>
            <w:pPr>
              <w:pStyle w:val="TableParagraph"/>
              <w:spacing w:before="6"/>
              <w:rPr>
                <w:rFonts w:ascii="Times New Roman"/>
                <w:sz w:val="26"/>
              </w:rPr>
            </w:pPr>
          </w:p>
          <w:p>
            <w:pPr>
              <w:pStyle w:val="TableParagraph"/>
              <w:tabs>
                <w:tab w:pos="330" w:val="left" w:leader="none"/>
              </w:tabs>
              <w:spacing w:line="177" w:lineRule="exact"/>
              <w:ind w:left="8"/>
              <w:jc w:val="center"/>
              <w:rPr>
                <w:rFonts w:ascii="Times New Roman"/>
                <w:sz w:val="16"/>
              </w:rPr>
            </w:pPr>
            <w:r>
              <w:rPr>
                <w:rFonts w:ascii="Times New Roman"/>
                <w:sz w:val="16"/>
              </w:rPr>
              <w:t>$</w:t>
              <w:tab/>
              <w:t>3,147,524</w:t>
            </w:r>
          </w:p>
        </w:tc>
        <w:tc>
          <w:tcPr>
            <w:tcW w:w="982" w:type="dxa"/>
            <w:tcBorders>
              <w:top w:val="nil"/>
              <w:left w:val="single" w:sz="6" w:space="0" w:color="000000"/>
              <w:bottom w:val="nil"/>
              <w:right w:val="single" w:sz="6" w:space="0" w:color="000000"/>
            </w:tcBorders>
          </w:tcPr>
          <w:p>
            <w:pPr>
              <w:pStyle w:val="TableParagraph"/>
              <w:spacing w:before="6"/>
              <w:rPr>
                <w:rFonts w:ascii="Times New Roman"/>
                <w:sz w:val="26"/>
              </w:rPr>
            </w:pPr>
          </w:p>
          <w:p>
            <w:pPr>
              <w:pStyle w:val="TableParagraph"/>
              <w:spacing w:line="177" w:lineRule="exact"/>
              <w:ind w:left="7"/>
              <w:jc w:val="center"/>
              <w:rPr>
                <w:rFonts w:ascii="Times New Roman"/>
                <w:sz w:val="16"/>
              </w:rPr>
            </w:pPr>
            <w:r>
              <w:rPr>
                <w:rFonts w:ascii="Times New Roman"/>
                <w:sz w:val="16"/>
              </w:rPr>
              <w:t>$ 1,766,347</w:t>
            </w:r>
          </w:p>
        </w:tc>
        <w:tc>
          <w:tcPr>
            <w:tcW w:w="1143" w:type="dxa"/>
            <w:tcBorders>
              <w:top w:val="nil"/>
              <w:left w:val="single" w:sz="6" w:space="0" w:color="000000"/>
              <w:bottom w:val="nil"/>
              <w:right w:val="single" w:sz="6" w:space="0" w:color="000000"/>
            </w:tcBorders>
          </w:tcPr>
          <w:p>
            <w:pPr>
              <w:pStyle w:val="TableParagraph"/>
              <w:spacing w:before="6"/>
              <w:rPr>
                <w:rFonts w:ascii="Times New Roman"/>
                <w:sz w:val="26"/>
              </w:rPr>
            </w:pPr>
          </w:p>
          <w:p>
            <w:pPr>
              <w:pStyle w:val="TableParagraph"/>
              <w:tabs>
                <w:tab w:pos="450" w:val="left" w:leader="none"/>
              </w:tabs>
              <w:spacing w:line="177" w:lineRule="exact"/>
              <w:ind w:left="6"/>
              <w:jc w:val="center"/>
              <w:rPr>
                <w:rFonts w:ascii="Times New Roman"/>
                <w:sz w:val="16"/>
              </w:rPr>
            </w:pPr>
            <w:r>
              <w:rPr>
                <w:rFonts w:ascii="Times New Roman"/>
                <w:sz w:val="16"/>
              </w:rPr>
              <w:t>$</w:t>
              <w:tab/>
              <w:t>409,492</w:t>
            </w:r>
          </w:p>
        </w:tc>
        <w:tc>
          <w:tcPr>
            <w:tcW w:w="1159" w:type="dxa"/>
            <w:tcBorders>
              <w:top w:val="nil"/>
              <w:left w:val="single" w:sz="6" w:space="0" w:color="000000"/>
              <w:bottom w:val="nil"/>
            </w:tcBorders>
          </w:tcPr>
          <w:p>
            <w:pPr>
              <w:pStyle w:val="TableParagraph"/>
              <w:spacing w:before="6"/>
              <w:rPr>
                <w:rFonts w:ascii="Times New Roman"/>
                <w:sz w:val="26"/>
              </w:rPr>
            </w:pPr>
          </w:p>
          <w:p>
            <w:pPr>
              <w:pStyle w:val="TableParagraph"/>
              <w:tabs>
                <w:tab w:pos="478" w:val="left" w:leader="none"/>
              </w:tabs>
              <w:spacing w:line="177" w:lineRule="exact"/>
              <w:ind w:left="19"/>
              <w:jc w:val="center"/>
              <w:rPr>
                <w:rFonts w:ascii="Times New Roman"/>
                <w:sz w:val="16"/>
              </w:rPr>
            </w:pPr>
            <w:r>
              <w:rPr>
                <w:rFonts w:ascii="Times New Roman"/>
                <w:sz w:val="16"/>
              </w:rPr>
              <w:t>$</w:t>
              <w:tab/>
              <w:t>472,630</w:t>
            </w:r>
          </w:p>
        </w:tc>
      </w:tr>
      <w:tr>
        <w:trPr>
          <w:trHeight w:val="203" w:hRule="atLeast"/>
        </w:trPr>
        <w:tc>
          <w:tcPr>
            <w:tcW w:w="808" w:type="dxa"/>
            <w:tcBorders>
              <w:top w:val="nil"/>
              <w:bottom w:val="nil"/>
              <w:right w:val="nil"/>
            </w:tcBorders>
          </w:tcPr>
          <w:p>
            <w:pPr>
              <w:pStyle w:val="TableParagraph"/>
              <w:spacing w:line="158" w:lineRule="exact" w:before="25"/>
              <w:ind w:left="173"/>
              <w:rPr>
                <w:rFonts w:ascii="Times New Roman"/>
                <w:sz w:val="14"/>
              </w:rPr>
            </w:pPr>
            <w:r>
              <w:rPr>
                <w:rFonts w:ascii="Times New Roman"/>
                <w:w w:val="105"/>
                <w:sz w:val="14"/>
              </w:rPr>
              <w:t>Paid</w:t>
            </w:r>
          </w:p>
        </w:tc>
        <w:tc>
          <w:tcPr>
            <w:tcW w:w="2402" w:type="dxa"/>
            <w:tcBorders>
              <w:top w:val="nil"/>
              <w:left w:val="nil"/>
              <w:bottom w:val="nil"/>
              <w:right w:val="single" w:sz="6" w:space="0" w:color="000000"/>
            </w:tcBorders>
          </w:tcPr>
          <w:p>
            <w:pPr>
              <w:pStyle w:val="TableParagraph"/>
              <w:rPr>
                <w:rFonts w:ascii="Times New Roman"/>
                <w:sz w:val="14"/>
              </w:rPr>
            </w:pPr>
          </w:p>
        </w:tc>
        <w:tc>
          <w:tcPr>
            <w:tcW w:w="982" w:type="dxa"/>
            <w:tcBorders>
              <w:top w:val="nil"/>
              <w:left w:val="single" w:sz="6" w:space="0" w:color="000000"/>
              <w:bottom w:val="nil"/>
              <w:right w:val="single" w:sz="6" w:space="0" w:color="000000"/>
            </w:tcBorders>
          </w:tcPr>
          <w:p>
            <w:pPr>
              <w:pStyle w:val="TableParagraph"/>
              <w:spacing w:line="158" w:lineRule="exact" w:before="25"/>
              <w:ind w:left="24"/>
              <w:jc w:val="center"/>
              <w:rPr>
                <w:rFonts w:ascii="Times New Roman"/>
                <w:sz w:val="14"/>
              </w:rPr>
            </w:pPr>
            <w:r>
              <w:rPr>
                <w:rFonts w:ascii="Times New Roman"/>
                <w:w w:val="105"/>
                <w:sz w:val="14"/>
              </w:rPr>
              <w:t>$ 2,539,524</w:t>
            </w:r>
          </w:p>
        </w:tc>
        <w:tc>
          <w:tcPr>
            <w:tcW w:w="982" w:type="dxa"/>
            <w:tcBorders>
              <w:top w:val="nil"/>
              <w:left w:val="single" w:sz="6" w:space="0" w:color="000000"/>
              <w:bottom w:val="nil"/>
              <w:right w:val="single" w:sz="6" w:space="0" w:color="000000"/>
            </w:tcBorders>
          </w:tcPr>
          <w:p>
            <w:pPr>
              <w:pStyle w:val="TableParagraph"/>
              <w:spacing w:line="177" w:lineRule="exact" w:before="7"/>
              <w:ind w:left="12"/>
              <w:jc w:val="center"/>
              <w:rPr>
                <w:rFonts w:ascii="Times New Roman"/>
                <w:sz w:val="16"/>
              </w:rPr>
            </w:pPr>
            <w:r>
              <w:rPr>
                <w:rFonts w:ascii="Times New Roman"/>
                <w:sz w:val="16"/>
              </w:rPr>
              <w:t>$ 2,589,604</w:t>
            </w:r>
          </w:p>
        </w:tc>
        <w:tc>
          <w:tcPr>
            <w:tcW w:w="982" w:type="dxa"/>
            <w:tcBorders>
              <w:top w:val="nil"/>
              <w:left w:val="single" w:sz="6" w:space="0" w:color="000000"/>
              <w:bottom w:val="nil"/>
              <w:right w:val="single" w:sz="6" w:space="0" w:color="000000"/>
            </w:tcBorders>
          </w:tcPr>
          <w:p>
            <w:pPr>
              <w:pStyle w:val="TableParagraph"/>
              <w:spacing w:line="177" w:lineRule="exact" w:before="7"/>
              <w:ind w:left="11"/>
              <w:jc w:val="center"/>
              <w:rPr>
                <w:rFonts w:ascii="Times New Roman"/>
                <w:sz w:val="16"/>
              </w:rPr>
            </w:pPr>
            <w:r>
              <w:rPr>
                <w:rFonts w:ascii="Times New Roman"/>
                <w:sz w:val="16"/>
              </w:rPr>
              <w:t>$ 2,309,186</w:t>
            </w:r>
          </w:p>
        </w:tc>
        <w:tc>
          <w:tcPr>
            <w:tcW w:w="982" w:type="dxa"/>
            <w:tcBorders>
              <w:top w:val="nil"/>
              <w:left w:val="single" w:sz="6" w:space="0" w:color="000000"/>
              <w:bottom w:val="nil"/>
              <w:right w:val="single" w:sz="6" w:space="0" w:color="000000"/>
            </w:tcBorders>
          </w:tcPr>
          <w:p>
            <w:pPr>
              <w:pStyle w:val="TableParagraph"/>
              <w:spacing w:line="177" w:lineRule="exact" w:before="7"/>
              <w:ind w:left="11"/>
              <w:jc w:val="center"/>
              <w:rPr>
                <w:rFonts w:ascii="Times New Roman"/>
                <w:sz w:val="16"/>
              </w:rPr>
            </w:pPr>
            <w:r>
              <w:rPr>
                <w:rFonts w:ascii="Times New Roman"/>
                <w:sz w:val="16"/>
              </w:rPr>
              <w:t>$ 1,533,538</w:t>
            </w:r>
          </w:p>
        </w:tc>
        <w:tc>
          <w:tcPr>
            <w:tcW w:w="982" w:type="dxa"/>
            <w:tcBorders>
              <w:top w:val="nil"/>
              <w:left w:val="single" w:sz="6" w:space="0" w:color="000000"/>
              <w:bottom w:val="nil"/>
              <w:right w:val="single" w:sz="6" w:space="0" w:color="000000"/>
            </w:tcBorders>
          </w:tcPr>
          <w:p>
            <w:pPr>
              <w:pStyle w:val="TableParagraph"/>
              <w:spacing w:line="177" w:lineRule="exact" w:before="7"/>
              <w:ind w:left="10"/>
              <w:jc w:val="center"/>
              <w:rPr>
                <w:rFonts w:ascii="Times New Roman"/>
                <w:sz w:val="16"/>
              </w:rPr>
            </w:pPr>
            <w:r>
              <w:rPr>
                <w:rFonts w:ascii="Times New Roman"/>
                <w:sz w:val="16"/>
              </w:rPr>
              <w:t>$ 1,617,265</w:t>
            </w:r>
          </w:p>
        </w:tc>
        <w:tc>
          <w:tcPr>
            <w:tcW w:w="982" w:type="dxa"/>
            <w:tcBorders>
              <w:top w:val="nil"/>
              <w:left w:val="single" w:sz="6" w:space="0" w:color="000000"/>
              <w:bottom w:val="nil"/>
              <w:right w:val="single" w:sz="6" w:space="0" w:color="000000"/>
            </w:tcBorders>
          </w:tcPr>
          <w:p>
            <w:pPr>
              <w:pStyle w:val="TableParagraph"/>
              <w:spacing w:line="177" w:lineRule="exact" w:before="7"/>
              <w:ind w:left="9"/>
              <w:jc w:val="center"/>
              <w:rPr>
                <w:rFonts w:ascii="Times New Roman"/>
                <w:sz w:val="16"/>
              </w:rPr>
            </w:pPr>
            <w:r>
              <w:rPr>
                <w:rFonts w:ascii="Times New Roman"/>
                <w:sz w:val="16"/>
              </w:rPr>
              <w:t>$ 1,203,740</w:t>
            </w:r>
          </w:p>
        </w:tc>
        <w:tc>
          <w:tcPr>
            <w:tcW w:w="1143" w:type="dxa"/>
            <w:tcBorders>
              <w:top w:val="nil"/>
              <w:left w:val="single" w:sz="6" w:space="0" w:color="000000"/>
              <w:bottom w:val="nil"/>
              <w:right w:val="single" w:sz="6" w:space="0" w:color="000000"/>
            </w:tcBorders>
          </w:tcPr>
          <w:p>
            <w:pPr>
              <w:pStyle w:val="TableParagraph"/>
              <w:tabs>
                <w:tab w:pos="330" w:val="left" w:leader="none"/>
              </w:tabs>
              <w:spacing w:line="177" w:lineRule="exact" w:before="7"/>
              <w:ind w:left="8"/>
              <w:jc w:val="center"/>
              <w:rPr>
                <w:rFonts w:ascii="Times New Roman"/>
                <w:sz w:val="16"/>
              </w:rPr>
            </w:pPr>
            <w:r>
              <w:rPr>
                <w:rFonts w:ascii="Times New Roman"/>
                <w:sz w:val="16"/>
              </w:rPr>
              <w:t>$</w:t>
              <w:tab/>
              <w:t>3,073,898</w:t>
            </w:r>
          </w:p>
        </w:tc>
        <w:tc>
          <w:tcPr>
            <w:tcW w:w="982" w:type="dxa"/>
            <w:tcBorders>
              <w:top w:val="nil"/>
              <w:left w:val="single" w:sz="6" w:space="0" w:color="000000"/>
              <w:bottom w:val="nil"/>
              <w:right w:val="single" w:sz="6" w:space="0" w:color="000000"/>
            </w:tcBorders>
          </w:tcPr>
          <w:p>
            <w:pPr>
              <w:pStyle w:val="TableParagraph"/>
              <w:spacing w:line="177" w:lineRule="exact" w:before="7"/>
              <w:ind w:left="7"/>
              <w:jc w:val="center"/>
              <w:rPr>
                <w:rFonts w:ascii="Times New Roman"/>
                <w:sz w:val="16"/>
              </w:rPr>
            </w:pPr>
            <w:r>
              <w:rPr>
                <w:rFonts w:ascii="Times New Roman"/>
                <w:sz w:val="16"/>
              </w:rPr>
              <w:t>$ 1,076,900</w:t>
            </w:r>
          </w:p>
        </w:tc>
        <w:tc>
          <w:tcPr>
            <w:tcW w:w="1143" w:type="dxa"/>
            <w:tcBorders>
              <w:top w:val="nil"/>
              <w:left w:val="single" w:sz="6" w:space="0" w:color="000000"/>
              <w:bottom w:val="nil"/>
              <w:right w:val="single" w:sz="6" w:space="0" w:color="000000"/>
            </w:tcBorders>
          </w:tcPr>
          <w:p>
            <w:pPr>
              <w:pStyle w:val="TableParagraph"/>
              <w:tabs>
                <w:tab w:pos="450" w:val="left" w:leader="none"/>
              </w:tabs>
              <w:spacing w:line="177" w:lineRule="exact" w:before="7"/>
              <w:ind w:left="6"/>
              <w:jc w:val="center"/>
              <w:rPr>
                <w:rFonts w:ascii="Times New Roman"/>
                <w:sz w:val="16"/>
              </w:rPr>
            </w:pPr>
            <w:r>
              <w:rPr>
                <w:rFonts w:ascii="Times New Roman"/>
                <w:sz w:val="16"/>
              </w:rPr>
              <w:t>$</w:t>
              <w:tab/>
              <w:t>205,390</w:t>
            </w:r>
          </w:p>
        </w:tc>
        <w:tc>
          <w:tcPr>
            <w:tcW w:w="1159" w:type="dxa"/>
            <w:tcBorders>
              <w:top w:val="nil"/>
              <w:left w:val="single" w:sz="6" w:space="0" w:color="000000"/>
              <w:bottom w:val="nil"/>
            </w:tcBorders>
          </w:tcPr>
          <w:p>
            <w:pPr>
              <w:pStyle w:val="TableParagraph"/>
              <w:tabs>
                <w:tab w:pos="478" w:val="left" w:leader="none"/>
              </w:tabs>
              <w:spacing w:line="177" w:lineRule="exact" w:before="7"/>
              <w:ind w:left="19"/>
              <w:jc w:val="center"/>
              <w:rPr>
                <w:rFonts w:ascii="Times New Roman"/>
                <w:sz w:val="16"/>
              </w:rPr>
            </w:pPr>
            <w:r>
              <w:rPr>
                <w:rFonts w:ascii="Times New Roman"/>
                <w:sz w:val="16"/>
              </w:rPr>
              <w:t>$</w:t>
              <w:tab/>
              <w:t>254,056</w:t>
            </w:r>
          </w:p>
        </w:tc>
      </w:tr>
      <w:tr>
        <w:trPr>
          <w:trHeight w:val="396" w:hRule="atLeast"/>
        </w:trPr>
        <w:tc>
          <w:tcPr>
            <w:tcW w:w="808" w:type="dxa"/>
            <w:tcBorders>
              <w:top w:val="nil"/>
              <w:right w:val="nil"/>
            </w:tcBorders>
          </w:tcPr>
          <w:p>
            <w:pPr>
              <w:pStyle w:val="TableParagraph"/>
              <w:spacing w:before="25"/>
              <w:ind w:left="173"/>
              <w:rPr>
                <w:rFonts w:ascii="Times New Roman"/>
                <w:sz w:val="14"/>
              </w:rPr>
            </w:pPr>
            <w:r>
              <w:rPr>
                <w:rFonts w:ascii="Times New Roman"/>
                <w:w w:val="105"/>
                <w:sz w:val="14"/>
              </w:rPr>
              <w:t>Reserve</w:t>
            </w:r>
          </w:p>
        </w:tc>
        <w:tc>
          <w:tcPr>
            <w:tcW w:w="2402" w:type="dxa"/>
            <w:tcBorders>
              <w:top w:val="nil"/>
              <w:left w:val="nil"/>
              <w:right w:val="single" w:sz="6" w:space="0" w:color="000000"/>
            </w:tcBorders>
          </w:tcPr>
          <w:p>
            <w:pPr>
              <w:pStyle w:val="TableParagraph"/>
              <w:rPr>
                <w:rFonts w:ascii="Times New Roman"/>
                <w:sz w:val="14"/>
              </w:rPr>
            </w:pPr>
          </w:p>
        </w:tc>
        <w:tc>
          <w:tcPr>
            <w:tcW w:w="982" w:type="dxa"/>
            <w:tcBorders>
              <w:top w:val="nil"/>
              <w:left w:val="single" w:sz="6" w:space="0" w:color="000000"/>
              <w:right w:val="single" w:sz="6" w:space="0" w:color="000000"/>
            </w:tcBorders>
          </w:tcPr>
          <w:p>
            <w:pPr>
              <w:pStyle w:val="TableParagraph"/>
              <w:tabs>
                <w:tab w:pos="374" w:val="left" w:leader="none"/>
              </w:tabs>
              <w:spacing w:before="25"/>
              <w:ind w:left="24"/>
              <w:jc w:val="center"/>
              <w:rPr>
                <w:rFonts w:ascii="Times New Roman"/>
                <w:sz w:val="14"/>
              </w:rPr>
            </w:pPr>
            <w:r>
              <w:rPr>
                <w:rFonts w:ascii="Times New Roman"/>
                <w:w w:val="105"/>
                <w:sz w:val="14"/>
              </w:rPr>
              <w:t>$</w:t>
              <w:tab/>
              <w:t>207,917</w:t>
            </w:r>
          </w:p>
        </w:tc>
        <w:tc>
          <w:tcPr>
            <w:tcW w:w="982" w:type="dxa"/>
            <w:tcBorders>
              <w:top w:val="nil"/>
              <w:left w:val="single" w:sz="6" w:space="0" w:color="000000"/>
              <w:right w:val="single" w:sz="6" w:space="0" w:color="000000"/>
            </w:tcBorders>
          </w:tcPr>
          <w:p>
            <w:pPr>
              <w:pStyle w:val="TableParagraph"/>
              <w:tabs>
                <w:tab w:pos="376" w:val="left" w:leader="none"/>
              </w:tabs>
              <w:spacing w:before="25"/>
              <w:ind w:left="24"/>
              <w:jc w:val="center"/>
              <w:rPr>
                <w:rFonts w:ascii="Times New Roman"/>
                <w:sz w:val="14"/>
              </w:rPr>
            </w:pPr>
            <w:r>
              <w:rPr>
                <w:rFonts w:ascii="Times New Roman"/>
                <w:w w:val="105"/>
                <w:sz w:val="14"/>
              </w:rPr>
              <w:t>$</w:t>
              <w:tab/>
              <w:t>303,735</w:t>
            </w:r>
          </w:p>
        </w:tc>
        <w:tc>
          <w:tcPr>
            <w:tcW w:w="982" w:type="dxa"/>
            <w:tcBorders>
              <w:top w:val="nil"/>
              <w:left w:val="single" w:sz="6" w:space="0" w:color="000000"/>
              <w:right w:val="single" w:sz="6" w:space="0" w:color="000000"/>
            </w:tcBorders>
          </w:tcPr>
          <w:p>
            <w:pPr>
              <w:pStyle w:val="TableParagraph"/>
              <w:tabs>
                <w:tab w:pos="375" w:val="left" w:leader="none"/>
              </w:tabs>
              <w:spacing w:before="25"/>
              <w:ind w:left="23"/>
              <w:jc w:val="center"/>
              <w:rPr>
                <w:rFonts w:ascii="Times New Roman"/>
                <w:sz w:val="14"/>
              </w:rPr>
            </w:pPr>
            <w:r>
              <w:rPr>
                <w:rFonts w:ascii="Times New Roman"/>
                <w:w w:val="105"/>
                <w:sz w:val="14"/>
              </w:rPr>
              <w:t>$</w:t>
              <w:tab/>
              <w:t>123,006</w:t>
            </w:r>
          </w:p>
        </w:tc>
        <w:tc>
          <w:tcPr>
            <w:tcW w:w="982" w:type="dxa"/>
            <w:tcBorders>
              <w:top w:val="nil"/>
              <w:left w:val="single" w:sz="6" w:space="0" w:color="000000"/>
              <w:right w:val="single" w:sz="6" w:space="0" w:color="000000"/>
            </w:tcBorders>
          </w:tcPr>
          <w:p>
            <w:pPr>
              <w:pStyle w:val="TableParagraph"/>
              <w:tabs>
                <w:tab w:pos="446" w:val="left" w:leader="none"/>
              </w:tabs>
              <w:spacing w:before="25"/>
              <w:ind w:left="23"/>
              <w:jc w:val="center"/>
              <w:rPr>
                <w:rFonts w:ascii="Times New Roman"/>
                <w:sz w:val="14"/>
              </w:rPr>
            </w:pPr>
            <w:r>
              <w:rPr>
                <w:rFonts w:ascii="Times New Roman"/>
                <w:w w:val="105"/>
                <w:sz w:val="14"/>
              </w:rPr>
              <w:t>$</w:t>
              <w:tab/>
              <w:t>59,217</w:t>
            </w:r>
          </w:p>
        </w:tc>
        <w:tc>
          <w:tcPr>
            <w:tcW w:w="982" w:type="dxa"/>
            <w:tcBorders>
              <w:top w:val="nil"/>
              <w:left w:val="single" w:sz="6" w:space="0" w:color="000000"/>
              <w:right w:val="single" w:sz="6" w:space="0" w:color="000000"/>
            </w:tcBorders>
          </w:tcPr>
          <w:p>
            <w:pPr>
              <w:pStyle w:val="TableParagraph"/>
              <w:tabs>
                <w:tab w:pos="373" w:val="left" w:leader="none"/>
              </w:tabs>
              <w:spacing w:before="25"/>
              <w:ind w:left="22"/>
              <w:jc w:val="center"/>
              <w:rPr>
                <w:rFonts w:ascii="Times New Roman"/>
                <w:sz w:val="14"/>
              </w:rPr>
            </w:pPr>
            <w:r>
              <w:rPr>
                <w:rFonts w:ascii="Times New Roman"/>
                <w:w w:val="105"/>
                <w:sz w:val="14"/>
              </w:rPr>
              <w:t>$</w:t>
              <w:tab/>
              <w:t>233,725</w:t>
            </w:r>
          </w:p>
        </w:tc>
        <w:tc>
          <w:tcPr>
            <w:tcW w:w="982" w:type="dxa"/>
            <w:tcBorders>
              <w:top w:val="nil"/>
              <w:left w:val="single" w:sz="6" w:space="0" w:color="000000"/>
              <w:right w:val="single" w:sz="6" w:space="0" w:color="000000"/>
            </w:tcBorders>
          </w:tcPr>
          <w:p>
            <w:pPr>
              <w:pStyle w:val="TableParagraph"/>
              <w:tabs>
                <w:tab w:pos="372" w:val="left" w:leader="none"/>
              </w:tabs>
              <w:spacing w:before="25"/>
              <w:ind w:left="21"/>
              <w:jc w:val="center"/>
              <w:rPr>
                <w:rFonts w:ascii="Times New Roman"/>
                <w:sz w:val="14"/>
              </w:rPr>
            </w:pPr>
            <w:r>
              <w:rPr>
                <w:rFonts w:ascii="Times New Roman"/>
                <w:w w:val="105"/>
                <w:sz w:val="14"/>
              </w:rPr>
              <w:t>$</w:t>
              <w:tab/>
              <w:t>178,753</w:t>
            </w:r>
          </w:p>
        </w:tc>
        <w:tc>
          <w:tcPr>
            <w:tcW w:w="1143" w:type="dxa"/>
            <w:tcBorders>
              <w:top w:val="nil"/>
              <w:left w:val="single" w:sz="6" w:space="0" w:color="000000"/>
              <w:right w:val="single" w:sz="6" w:space="0" w:color="000000"/>
            </w:tcBorders>
          </w:tcPr>
          <w:p>
            <w:pPr>
              <w:pStyle w:val="TableParagraph"/>
              <w:tabs>
                <w:tab w:pos="533" w:val="left" w:leader="none"/>
              </w:tabs>
              <w:spacing w:before="7"/>
              <w:ind w:left="8"/>
              <w:jc w:val="center"/>
              <w:rPr>
                <w:rFonts w:ascii="Times New Roman"/>
                <w:sz w:val="16"/>
              </w:rPr>
            </w:pPr>
            <w:r>
              <w:rPr>
                <w:rFonts w:ascii="Times New Roman"/>
                <w:sz w:val="16"/>
              </w:rPr>
              <w:t>$</w:t>
              <w:tab/>
              <w:t>73,626</w:t>
            </w:r>
          </w:p>
        </w:tc>
        <w:tc>
          <w:tcPr>
            <w:tcW w:w="982" w:type="dxa"/>
            <w:tcBorders>
              <w:top w:val="nil"/>
              <w:left w:val="single" w:sz="6" w:space="0" w:color="000000"/>
              <w:right w:val="single" w:sz="6" w:space="0" w:color="000000"/>
            </w:tcBorders>
          </w:tcPr>
          <w:p>
            <w:pPr>
              <w:pStyle w:val="TableParagraph"/>
              <w:tabs>
                <w:tab w:pos="291" w:val="left" w:leader="none"/>
              </w:tabs>
              <w:spacing w:before="7"/>
              <w:ind w:left="7"/>
              <w:jc w:val="center"/>
              <w:rPr>
                <w:rFonts w:ascii="Times New Roman"/>
                <w:sz w:val="16"/>
              </w:rPr>
            </w:pPr>
            <w:r>
              <w:rPr>
                <w:rFonts w:ascii="Times New Roman"/>
                <w:sz w:val="16"/>
              </w:rPr>
              <w:t>$</w:t>
              <w:tab/>
              <w:t>689,448</w:t>
            </w:r>
          </w:p>
        </w:tc>
        <w:tc>
          <w:tcPr>
            <w:tcW w:w="1143" w:type="dxa"/>
            <w:tcBorders>
              <w:top w:val="nil"/>
              <w:left w:val="single" w:sz="6" w:space="0" w:color="000000"/>
              <w:right w:val="single" w:sz="6" w:space="0" w:color="000000"/>
            </w:tcBorders>
          </w:tcPr>
          <w:p>
            <w:pPr>
              <w:pStyle w:val="TableParagraph"/>
              <w:tabs>
                <w:tab w:pos="450" w:val="left" w:leader="none"/>
              </w:tabs>
              <w:spacing w:before="7"/>
              <w:ind w:left="6"/>
              <w:jc w:val="center"/>
              <w:rPr>
                <w:rFonts w:ascii="Times New Roman"/>
                <w:sz w:val="16"/>
              </w:rPr>
            </w:pPr>
            <w:r>
              <w:rPr>
                <w:rFonts w:ascii="Times New Roman"/>
                <w:sz w:val="16"/>
              </w:rPr>
              <w:t>$</w:t>
              <w:tab/>
              <w:t>204,100</w:t>
            </w:r>
          </w:p>
        </w:tc>
        <w:tc>
          <w:tcPr>
            <w:tcW w:w="1159" w:type="dxa"/>
            <w:tcBorders>
              <w:top w:val="nil"/>
              <w:left w:val="single" w:sz="6" w:space="0" w:color="000000"/>
            </w:tcBorders>
          </w:tcPr>
          <w:p>
            <w:pPr>
              <w:pStyle w:val="TableParagraph"/>
              <w:tabs>
                <w:tab w:pos="478" w:val="left" w:leader="none"/>
              </w:tabs>
              <w:spacing w:before="7"/>
              <w:ind w:left="19"/>
              <w:jc w:val="center"/>
              <w:rPr>
                <w:rFonts w:ascii="Times New Roman"/>
                <w:sz w:val="16"/>
              </w:rPr>
            </w:pPr>
            <w:r>
              <w:rPr>
                <w:rFonts w:ascii="Times New Roman"/>
                <w:sz w:val="16"/>
              </w:rPr>
              <w:t>$</w:t>
              <w:tab/>
              <w:t>218,570</w:t>
            </w:r>
          </w:p>
        </w:tc>
      </w:tr>
    </w:tbl>
    <w:p>
      <w:pPr>
        <w:spacing w:after="0"/>
        <w:jc w:val="center"/>
        <w:rPr>
          <w:rFonts w:ascii="Times New Roman"/>
          <w:sz w:val="16"/>
        </w:rPr>
        <w:sectPr>
          <w:headerReference w:type="default" r:id="rId176"/>
          <w:footerReference w:type="default" r:id="rId177"/>
          <w:pgSz w:w="15840" w:h="12240" w:orient="landscape"/>
          <w:pgMar w:header="0" w:footer="0" w:top="1100" w:bottom="280" w:left="0" w:right="2160"/>
        </w:sectPr>
      </w:pPr>
    </w:p>
    <w:p>
      <w:pPr>
        <w:pStyle w:val="BodyText"/>
        <w:spacing w:before="5"/>
        <w:rPr>
          <w:sz w:val="4"/>
        </w:rPr>
      </w:pPr>
    </w:p>
    <w:p>
      <w:pPr>
        <w:pStyle w:val="BodyText"/>
        <w:ind w:left="268"/>
        <w:rPr>
          <w:sz w:val="20"/>
        </w:rPr>
      </w:pPr>
      <w:r>
        <w:rPr>
          <w:position w:val="0"/>
          <w:sz w:val="20"/>
        </w:rPr>
        <w:pict>
          <v:shape style="width:500.55pt;height:78pt;mso-position-horizontal-relative:char;mso-position-vertical-relative:line" type="#_x0000_t202" filled="false" stroked="true" strokeweight=".839997pt" strokecolor="#000000">
            <w10:anchorlock/>
            <v:textbox inset="0,0,0,0">
              <w:txbxContent>
                <w:p>
                  <w:pPr>
                    <w:pStyle w:val="BodyText"/>
                    <w:spacing w:before="5"/>
                    <w:rPr>
                      <w:sz w:val="41"/>
                    </w:rPr>
                  </w:pPr>
                </w:p>
                <w:p>
                  <w:pPr>
                    <w:spacing w:before="0"/>
                    <w:ind w:left="2947" w:right="2933" w:firstLine="0"/>
                    <w:jc w:val="center"/>
                    <w:rPr>
                      <w:rFonts w:ascii="Times New Roman"/>
                      <w:b/>
                      <w:sz w:val="39"/>
                    </w:rPr>
                  </w:pPr>
                  <w:r>
                    <w:rPr>
                      <w:rFonts w:ascii="Times New Roman"/>
                      <w:b/>
                      <w:color w:val="FF6600"/>
                      <w:sz w:val="39"/>
                    </w:rPr>
                    <w:t>Claim Expense Estimate</w:t>
                  </w:r>
                </w:p>
                <w:p>
                  <w:pPr>
                    <w:spacing w:before="36"/>
                    <w:ind w:left="2947" w:right="2933" w:firstLine="0"/>
                    <w:jc w:val="center"/>
                    <w:rPr>
                      <w:rFonts w:ascii="Times New Roman"/>
                      <w:b/>
                      <w:sz w:val="28"/>
                    </w:rPr>
                  </w:pPr>
                  <w:r>
                    <w:rPr>
                      <w:rFonts w:ascii="Times New Roman"/>
                      <w:b/>
                      <w:color w:val="FF6600"/>
                      <w:w w:val="105"/>
                      <w:sz w:val="28"/>
                    </w:rPr>
                    <w:t>as of 6/30/2025</w:t>
                  </w:r>
                </w:p>
              </w:txbxContent>
            </v:textbox>
            <v:stroke linestyle="thinThin" dashstyle="solid"/>
          </v:shape>
        </w:pict>
      </w:r>
      <w:r>
        <w:rPr>
          <w:position w:val="0"/>
          <w:sz w:val="20"/>
        </w:rPr>
      </w:r>
    </w:p>
    <w:p>
      <w:pPr>
        <w:pStyle w:val="BodyText"/>
        <w:rPr>
          <w:sz w:val="20"/>
        </w:rPr>
      </w:pPr>
    </w:p>
    <w:p>
      <w:pPr>
        <w:pStyle w:val="BodyText"/>
        <w:rPr>
          <w:sz w:val="20"/>
        </w:rPr>
      </w:pPr>
    </w:p>
    <w:p>
      <w:pPr>
        <w:pStyle w:val="BodyText"/>
        <w:rPr>
          <w:sz w:val="20"/>
        </w:rPr>
      </w:pPr>
    </w:p>
    <w:p>
      <w:pPr>
        <w:pStyle w:val="BodyText"/>
        <w:spacing w:before="1"/>
        <w:rPr>
          <w:sz w:val="26"/>
        </w:rPr>
      </w:pPr>
    </w:p>
    <w:tbl>
      <w:tblPr>
        <w:tblW w:w="0" w:type="auto"/>
        <w:jc w:val="left"/>
        <w:tblInd w:w="1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7"/>
        <w:gridCol w:w="847"/>
        <w:gridCol w:w="921"/>
        <w:gridCol w:w="847"/>
        <w:gridCol w:w="1027"/>
        <w:gridCol w:w="847"/>
        <w:gridCol w:w="921"/>
        <w:gridCol w:w="847"/>
        <w:gridCol w:w="1209"/>
      </w:tblGrid>
      <w:tr>
        <w:trPr>
          <w:trHeight w:val="263" w:hRule="atLeast"/>
        </w:trPr>
        <w:tc>
          <w:tcPr>
            <w:tcW w:w="847" w:type="dxa"/>
          </w:tcPr>
          <w:p>
            <w:pPr>
              <w:pStyle w:val="TableParagraph"/>
              <w:spacing w:line="234" w:lineRule="exact" w:before="8"/>
              <w:ind w:right="167"/>
              <w:jc w:val="right"/>
              <w:rPr>
                <w:rFonts w:ascii="Times New Roman"/>
                <w:b/>
                <w:sz w:val="21"/>
              </w:rPr>
            </w:pPr>
            <w:r>
              <w:rPr>
                <w:rFonts w:ascii="Times New Roman"/>
                <w:b/>
                <w:spacing w:val="-156"/>
                <w:w w:val="105"/>
                <w:sz w:val="21"/>
                <w:u w:val="thick"/>
              </w:rPr>
              <w:t>Y</w:t>
            </w:r>
            <w:r>
              <w:rPr>
                <w:rFonts w:ascii="Times New Roman"/>
                <w:b/>
                <w:spacing w:val="93"/>
                <w:w w:val="105"/>
                <w:sz w:val="21"/>
              </w:rPr>
              <w:t> </w:t>
            </w:r>
            <w:r>
              <w:rPr>
                <w:rFonts w:ascii="Times New Roman"/>
                <w:b/>
                <w:w w:val="105"/>
                <w:sz w:val="21"/>
                <w:u w:val="thick"/>
              </w:rPr>
              <w:t>ear</w:t>
            </w:r>
          </w:p>
        </w:tc>
        <w:tc>
          <w:tcPr>
            <w:tcW w:w="847" w:type="dxa"/>
          </w:tcPr>
          <w:p>
            <w:pPr>
              <w:pStyle w:val="TableParagraph"/>
              <w:rPr>
                <w:rFonts w:ascii="Times New Roman"/>
                <w:sz w:val="18"/>
              </w:rPr>
            </w:pPr>
          </w:p>
        </w:tc>
        <w:tc>
          <w:tcPr>
            <w:tcW w:w="921" w:type="dxa"/>
          </w:tcPr>
          <w:p>
            <w:pPr>
              <w:pStyle w:val="TableParagraph"/>
              <w:spacing w:line="234" w:lineRule="exact" w:before="8"/>
              <w:ind w:left="35"/>
              <w:jc w:val="center"/>
              <w:rPr>
                <w:rFonts w:ascii="Times New Roman"/>
                <w:b/>
                <w:sz w:val="21"/>
              </w:rPr>
            </w:pPr>
            <w:r>
              <w:rPr>
                <w:rFonts w:ascii="Times New Roman"/>
                <w:b/>
                <w:spacing w:val="-156"/>
                <w:w w:val="105"/>
                <w:sz w:val="21"/>
                <w:u w:val="thick"/>
              </w:rPr>
              <w:t>C</w:t>
            </w:r>
            <w:r>
              <w:rPr>
                <w:rFonts w:ascii="Times New Roman"/>
                <w:b/>
                <w:spacing w:val="100"/>
                <w:w w:val="105"/>
                <w:sz w:val="21"/>
              </w:rPr>
              <w:t> </w:t>
            </w:r>
            <w:r>
              <w:rPr>
                <w:rFonts w:ascii="Times New Roman"/>
                <w:b/>
                <w:w w:val="105"/>
                <w:sz w:val="21"/>
                <w:u w:val="thick"/>
              </w:rPr>
              <w:t>M</w:t>
            </w:r>
          </w:p>
        </w:tc>
        <w:tc>
          <w:tcPr>
            <w:tcW w:w="847" w:type="dxa"/>
          </w:tcPr>
          <w:p>
            <w:pPr>
              <w:pStyle w:val="TableParagraph"/>
              <w:rPr>
                <w:rFonts w:ascii="Times New Roman"/>
                <w:sz w:val="18"/>
              </w:rPr>
            </w:pPr>
          </w:p>
        </w:tc>
        <w:tc>
          <w:tcPr>
            <w:tcW w:w="1027" w:type="dxa"/>
          </w:tcPr>
          <w:p>
            <w:pPr>
              <w:pStyle w:val="TableParagraph"/>
              <w:spacing w:line="234" w:lineRule="exact" w:before="8"/>
              <w:ind w:left="33"/>
              <w:jc w:val="center"/>
              <w:rPr>
                <w:rFonts w:ascii="Times New Roman"/>
                <w:b/>
                <w:sz w:val="21"/>
              </w:rPr>
            </w:pPr>
            <w:r>
              <w:rPr>
                <w:rFonts w:ascii="Times New Roman"/>
                <w:b/>
                <w:spacing w:val="-156"/>
                <w:w w:val="105"/>
                <w:sz w:val="21"/>
                <w:u w:val="thick"/>
              </w:rPr>
              <w:t>C</w:t>
            </w:r>
            <w:r>
              <w:rPr>
                <w:rFonts w:ascii="Times New Roman"/>
                <w:b/>
                <w:spacing w:val="101"/>
                <w:w w:val="105"/>
                <w:sz w:val="21"/>
              </w:rPr>
              <w:t> </w:t>
            </w:r>
            <w:r>
              <w:rPr>
                <w:rFonts w:ascii="Times New Roman"/>
                <w:b/>
                <w:w w:val="105"/>
                <w:sz w:val="21"/>
                <w:u w:val="thick"/>
              </w:rPr>
              <w:t>B</w:t>
            </w:r>
          </w:p>
        </w:tc>
        <w:tc>
          <w:tcPr>
            <w:tcW w:w="847" w:type="dxa"/>
          </w:tcPr>
          <w:p>
            <w:pPr>
              <w:pStyle w:val="TableParagraph"/>
              <w:rPr>
                <w:rFonts w:ascii="Times New Roman"/>
                <w:sz w:val="18"/>
              </w:rPr>
            </w:pPr>
          </w:p>
        </w:tc>
        <w:tc>
          <w:tcPr>
            <w:tcW w:w="921" w:type="dxa"/>
          </w:tcPr>
          <w:p>
            <w:pPr>
              <w:pStyle w:val="TableParagraph"/>
              <w:spacing w:line="234" w:lineRule="exact" w:before="8"/>
              <w:ind w:left="37"/>
              <w:jc w:val="center"/>
              <w:rPr>
                <w:rFonts w:ascii="Times New Roman"/>
                <w:b/>
                <w:sz w:val="21"/>
              </w:rPr>
            </w:pPr>
            <w:r>
              <w:rPr>
                <w:rFonts w:ascii="Times New Roman"/>
                <w:b/>
                <w:spacing w:val="-84"/>
                <w:w w:val="105"/>
                <w:sz w:val="21"/>
                <w:u w:val="thick"/>
              </w:rPr>
              <w:t>I</w:t>
            </w:r>
            <w:r>
              <w:rPr>
                <w:rFonts w:ascii="Times New Roman"/>
                <w:b/>
                <w:spacing w:val="21"/>
                <w:w w:val="105"/>
                <w:sz w:val="21"/>
              </w:rPr>
              <w:t> </w:t>
            </w:r>
            <w:r>
              <w:rPr>
                <w:rFonts w:ascii="Times New Roman"/>
                <w:b/>
                <w:w w:val="105"/>
                <w:sz w:val="21"/>
                <w:u w:val="thick"/>
              </w:rPr>
              <w:t>ncident</w:t>
            </w:r>
          </w:p>
        </w:tc>
        <w:tc>
          <w:tcPr>
            <w:tcW w:w="847" w:type="dxa"/>
          </w:tcPr>
          <w:p>
            <w:pPr>
              <w:pStyle w:val="TableParagraph"/>
              <w:rPr>
                <w:rFonts w:ascii="Times New Roman"/>
                <w:sz w:val="18"/>
              </w:rPr>
            </w:pPr>
          </w:p>
        </w:tc>
        <w:tc>
          <w:tcPr>
            <w:tcW w:w="1209" w:type="dxa"/>
          </w:tcPr>
          <w:p>
            <w:pPr>
              <w:pStyle w:val="TableParagraph"/>
              <w:spacing w:line="234" w:lineRule="exact" w:before="8"/>
              <w:ind w:left="69"/>
              <w:rPr>
                <w:rFonts w:ascii="Times New Roman"/>
                <w:b/>
                <w:sz w:val="21"/>
              </w:rPr>
            </w:pPr>
            <w:r>
              <w:rPr>
                <w:rFonts w:ascii="Times New Roman"/>
                <w:b/>
                <w:spacing w:val="-144"/>
                <w:w w:val="105"/>
                <w:sz w:val="21"/>
                <w:u w:val="thick"/>
              </w:rPr>
              <w:t>T</w:t>
            </w:r>
            <w:r>
              <w:rPr>
                <w:rFonts w:ascii="Times New Roman"/>
                <w:b/>
                <w:spacing w:val="77"/>
                <w:w w:val="105"/>
                <w:sz w:val="21"/>
              </w:rPr>
              <w:t> </w:t>
            </w:r>
            <w:r>
              <w:rPr>
                <w:rFonts w:ascii="Times New Roman"/>
                <w:b/>
                <w:w w:val="105"/>
                <w:sz w:val="21"/>
                <w:u w:val="thick"/>
              </w:rPr>
              <w:t>otal Billed</w:t>
            </w:r>
          </w:p>
        </w:tc>
      </w:tr>
      <w:tr>
        <w:trPr>
          <w:trHeight w:val="263" w:hRule="atLeast"/>
        </w:trPr>
        <w:tc>
          <w:tcPr>
            <w:tcW w:w="84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02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209" w:type="dxa"/>
          </w:tcPr>
          <w:p>
            <w:pPr>
              <w:pStyle w:val="TableParagraph"/>
              <w:rPr>
                <w:rFonts w:ascii="Times New Roman"/>
                <w:sz w:val="18"/>
              </w:rPr>
            </w:pPr>
          </w:p>
        </w:tc>
      </w:tr>
      <w:tr>
        <w:trPr>
          <w:trHeight w:val="263" w:hRule="atLeast"/>
        </w:trPr>
        <w:tc>
          <w:tcPr>
            <w:tcW w:w="847" w:type="dxa"/>
          </w:tcPr>
          <w:p>
            <w:pPr>
              <w:pStyle w:val="TableParagraph"/>
              <w:spacing w:line="234" w:lineRule="exact" w:before="8"/>
              <w:ind w:right="180"/>
              <w:jc w:val="right"/>
              <w:rPr>
                <w:rFonts w:ascii="Times New Roman"/>
                <w:sz w:val="21"/>
              </w:rPr>
            </w:pPr>
            <w:r>
              <w:rPr>
                <w:rFonts w:ascii="Times New Roman"/>
                <w:sz w:val="21"/>
              </w:rPr>
              <w:t>2019</w:t>
            </w:r>
          </w:p>
        </w:tc>
        <w:tc>
          <w:tcPr>
            <w:tcW w:w="847" w:type="dxa"/>
          </w:tcPr>
          <w:p>
            <w:pPr>
              <w:pStyle w:val="TableParagraph"/>
              <w:rPr>
                <w:rFonts w:ascii="Times New Roman"/>
                <w:sz w:val="18"/>
              </w:rPr>
            </w:pPr>
          </w:p>
        </w:tc>
        <w:tc>
          <w:tcPr>
            <w:tcW w:w="921" w:type="dxa"/>
          </w:tcPr>
          <w:p>
            <w:pPr>
              <w:pStyle w:val="TableParagraph"/>
              <w:spacing w:line="234" w:lineRule="exact" w:before="8"/>
              <w:ind w:left="35"/>
              <w:jc w:val="center"/>
              <w:rPr>
                <w:rFonts w:ascii="Times New Roman"/>
                <w:sz w:val="21"/>
              </w:rPr>
            </w:pPr>
            <w:r>
              <w:rPr>
                <w:rFonts w:ascii="Times New Roman"/>
                <w:w w:val="105"/>
                <w:sz w:val="21"/>
              </w:rPr>
              <w:t>21</w:t>
            </w:r>
          </w:p>
        </w:tc>
        <w:tc>
          <w:tcPr>
            <w:tcW w:w="847" w:type="dxa"/>
          </w:tcPr>
          <w:p>
            <w:pPr>
              <w:pStyle w:val="TableParagraph"/>
              <w:rPr>
                <w:rFonts w:ascii="Times New Roman"/>
                <w:sz w:val="18"/>
              </w:rPr>
            </w:pPr>
          </w:p>
        </w:tc>
        <w:tc>
          <w:tcPr>
            <w:tcW w:w="1027" w:type="dxa"/>
          </w:tcPr>
          <w:p>
            <w:pPr>
              <w:pStyle w:val="TableParagraph"/>
              <w:spacing w:line="234" w:lineRule="exact" w:before="8"/>
              <w:ind w:left="32"/>
              <w:jc w:val="center"/>
              <w:rPr>
                <w:rFonts w:ascii="Times New Roman"/>
                <w:sz w:val="21"/>
              </w:rPr>
            </w:pPr>
            <w:r>
              <w:rPr>
                <w:rFonts w:ascii="Times New Roman"/>
                <w:w w:val="105"/>
                <w:sz w:val="21"/>
              </w:rPr>
              <w:t>42</w:t>
            </w:r>
          </w:p>
        </w:tc>
        <w:tc>
          <w:tcPr>
            <w:tcW w:w="847" w:type="dxa"/>
          </w:tcPr>
          <w:p>
            <w:pPr>
              <w:pStyle w:val="TableParagraph"/>
              <w:rPr>
                <w:rFonts w:ascii="Times New Roman"/>
                <w:sz w:val="18"/>
              </w:rPr>
            </w:pPr>
          </w:p>
        </w:tc>
        <w:tc>
          <w:tcPr>
            <w:tcW w:w="921" w:type="dxa"/>
          </w:tcPr>
          <w:p>
            <w:pPr>
              <w:pStyle w:val="TableParagraph"/>
              <w:spacing w:line="234" w:lineRule="exact" w:before="8"/>
              <w:ind w:left="33"/>
              <w:jc w:val="center"/>
              <w:rPr>
                <w:rFonts w:ascii="Times New Roman"/>
                <w:sz w:val="21"/>
              </w:rPr>
            </w:pPr>
            <w:r>
              <w:rPr>
                <w:rFonts w:ascii="Times New Roman"/>
                <w:w w:val="105"/>
                <w:sz w:val="21"/>
              </w:rPr>
              <w:t>44</w:t>
            </w:r>
          </w:p>
        </w:tc>
        <w:tc>
          <w:tcPr>
            <w:tcW w:w="847" w:type="dxa"/>
          </w:tcPr>
          <w:p>
            <w:pPr>
              <w:pStyle w:val="TableParagraph"/>
              <w:rPr>
                <w:rFonts w:ascii="Times New Roman"/>
                <w:sz w:val="18"/>
              </w:rPr>
            </w:pPr>
          </w:p>
        </w:tc>
        <w:tc>
          <w:tcPr>
            <w:tcW w:w="1209" w:type="dxa"/>
          </w:tcPr>
          <w:p>
            <w:pPr>
              <w:pStyle w:val="TableParagraph"/>
              <w:tabs>
                <w:tab w:pos="501" w:val="left" w:leader="none"/>
              </w:tabs>
              <w:spacing w:line="234" w:lineRule="exact" w:before="8"/>
              <w:ind w:left="110"/>
              <w:rPr>
                <w:rFonts w:ascii="Times New Roman"/>
                <w:sz w:val="21"/>
              </w:rPr>
            </w:pPr>
            <w:r>
              <w:rPr>
                <w:rFonts w:ascii="Times New Roman"/>
                <w:w w:val="105"/>
                <w:sz w:val="21"/>
              </w:rPr>
              <w:t>$</w:t>
              <w:tab/>
              <w:t>64,075</w:t>
            </w:r>
          </w:p>
        </w:tc>
      </w:tr>
      <w:tr>
        <w:trPr>
          <w:trHeight w:val="263" w:hRule="atLeast"/>
        </w:trPr>
        <w:tc>
          <w:tcPr>
            <w:tcW w:w="84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02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209" w:type="dxa"/>
          </w:tcPr>
          <w:p>
            <w:pPr>
              <w:pStyle w:val="TableParagraph"/>
              <w:rPr>
                <w:rFonts w:ascii="Times New Roman"/>
                <w:sz w:val="18"/>
              </w:rPr>
            </w:pPr>
          </w:p>
        </w:tc>
      </w:tr>
      <w:tr>
        <w:trPr>
          <w:trHeight w:val="263" w:hRule="atLeast"/>
        </w:trPr>
        <w:tc>
          <w:tcPr>
            <w:tcW w:w="847" w:type="dxa"/>
          </w:tcPr>
          <w:p>
            <w:pPr>
              <w:pStyle w:val="TableParagraph"/>
              <w:spacing w:line="234" w:lineRule="exact" w:before="8"/>
              <w:ind w:right="180"/>
              <w:jc w:val="right"/>
              <w:rPr>
                <w:rFonts w:ascii="Times New Roman"/>
                <w:sz w:val="21"/>
              </w:rPr>
            </w:pPr>
            <w:r>
              <w:rPr>
                <w:rFonts w:ascii="Times New Roman"/>
                <w:sz w:val="21"/>
              </w:rPr>
              <w:t>2020</w:t>
            </w:r>
          </w:p>
        </w:tc>
        <w:tc>
          <w:tcPr>
            <w:tcW w:w="847" w:type="dxa"/>
          </w:tcPr>
          <w:p>
            <w:pPr>
              <w:pStyle w:val="TableParagraph"/>
              <w:rPr>
                <w:rFonts w:ascii="Times New Roman"/>
                <w:sz w:val="18"/>
              </w:rPr>
            </w:pPr>
          </w:p>
        </w:tc>
        <w:tc>
          <w:tcPr>
            <w:tcW w:w="921" w:type="dxa"/>
          </w:tcPr>
          <w:p>
            <w:pPr>
              <w:pStyle w:val="TableParagraph"/>
              <w:spacing w:line="234" w:lineRule="exact" w:before="8"/>
              <w:ind w:left="35"/>
              <w:jc w:val="center"/>
              <w:rPr>
                <w:rFonts w:ascii="Times New Roman"/>
                <w:sz w:val="21"/>
              </w:rPr>
            </w:pPr>
            <w:r>
              <w:rPr>
                <w:rFonts w:ascii="Times New Roman"/>
                <w:w w:val="105"/>
                <w:sz w:val="21"/>
              </w:rPr>
              <w:t>23</w:t>
            </w:r>
          </w:p>
        </w:tc>
        <w:tc>
          <w:tcPr>
            <w:tcW w:w="847" w:type="dxa"/>
          </w:tcPr>
          <w:p>
            <w:pPr>
              <w:pStyle w:val="TableParagraph"/>
              <w:rPr>
                <w:rFonts w:ascii="Times New Roman"/>
                <w:sz w:val="18"/>
              </w:rPr>
            </w:pPr>
          </w:p>
        </w:tc>
        <w:tc>
          <w:tcPr>
            <w:tcW w:w="1027" w:type="dxa"/>
          </w:tcPr>
          <w:p>
            <w:pPr>
              <w:pStyle w:val="TableParagraph"/>
              <w:spacing w:line="234" w:lineRule="exact" w:before="8"/>
              <w:ind w:left="32"/>
              <w:jc w:val="center"/>
              <w:rPr>
                <w:rFonts w:ascii="Times New Roman"/>
                <w:sz w:val="21"/>
              </w:rPr>
            </w:pPr>
            <w:r>
              <w:rPr>
                <w:rFonts w:ascii="Times New Roman"/>
                <w:w w:val="105"/>
                <w:sz w:val="21"/>
              </w:rPr>
              <w:t>42</w:t>
            </w:r>
          </w:p>
        </w:tc>
        <w:tc>
          <w:tcPr>
            <w:tcW w:w="847" w:type="dxa"/>
          </w:tcPr>
          <w:p>
            <w:pPr>
              <w:pStyle w:val="TableParagraph"/>
              <w:rPr>
                <w:rFonts w:ascii="Times New Roman"/>
                <w:sz w:val="18"/>
              </w:rPr>
            </w:pPr>
          </w:p>
        </w:tc>
        <w:tc>
          <w:tcPr>
            <w:tcW w:w="921" w:type="dxa"/>
          </w:tcPr>
          <w:p>
            <w:pPr>
              <w:pStyle w:val="TableParagraph"/>
              <w:spacing w:line="234" w:lineRule="exact" w:before="8"/>
              <w:ind w:left="33"/>
              <w:jc w:val="center"/>
              <w:rPr>
                <w:rFonts w:ascii="Times New Roman"/>
                <w:sz w:val="21"/>
              </w:rPr>
            </w:pPr>
            <w:r>
              <w:rPr>
                <w:rFonts w:ascii="Times New Roman"/>
                <w:w w:val="105"/>
                <w:sz w:val="21"/>
              </w:rPr>
              <w:t>34</w:t>
            </w:r>
          </w:p>
        </w:tc>
        <w:tc>
          <w:tcPr>
            <w:tcW w:w="847" w:type="dxa"/>
          </w:tcPr>
          <w:p>
            <w:pPr>
              <w:pStyle w:val="TableParagraph"/>
              <w:rPr>
                <w:rFonts w:ascii="Times New Roman"/>
                <w:sz w:val="18"/>
              </w:rPr>
            </w:pPr>
          </w:p>
        </w:tc>
        <w:tc>
          <w:tcPr>
            <w:tcW w:w="1209" w:type="dxa"/>
          </w:tcPr>
          <w:p>
            <w:pPr>
              <w:pStyle w:val="TableParagraph"/>
              <w:tabs>
                <w:tab w:pos="501" w:val="left" w:leader="none"/>
              </w:tabs>
              <w:spacing w:line="234" w:lineRule="exact" w:before="8"/>
              <w:ind w:left="110"/>
              <w:rPr>
                <w:rFonts w:ascii="Times New Roman"/>
                <w:sz w:val="21"/>
              </w:rPr>
            </w:pPr>
            <w:r>
              <w:rPr>
                <w:rFonts w:ascii="Times New Roman"/>
                <w:w w:val="105"/>
                <w:sz w:val="21"/>
              </w:rPr>
              <w:t>$</w:t>
              <w:tab/>
              <w:t>64,805</w:t>
            </w:r>
          </w:p>
        </w:tc>
      </w:tr>
      <w:tr>
        <w:trPr>
          <w:trHeight w:val="263" w:hRule="atLeast"/>
        </w:trPr>
        <w:tc>
          <w:tcPr>
            <w:tcW w:w="84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02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209" w:type="dxa"/>
          </w:tcPr>
          <w:p>
            <w:pPr>
              <w:pStyle w:val="TableParagraph"/>
              <w:rPr>
                <w:rFonts w:ascii="Times New Roman"/>
                <w:sz w:val="18"/>
              </w:rPr>
            </w:pPr>
          </w:p>
        </w:tc>
      </w:tr>
      <w:tr>
        <w:trPr>
          <w:trHeight w:val="263" w:hRule="atLeast"/>
        </w:trPr>
        <w:tc>
          <w:tcPr>
            <w:tcW w:w="847" w:type="dxa"/>
          </w:tcPr>
          <w:p>
            <w:pPr>
              <w:pStyle w:val="TableParagraph"/>
              <w:spacing w:line="234" w:lineRule="exact" w:before="8"/>
              <w:ind w:right="180"/>
              <w:jc w:val="right"/>
              <w:rPr>
                <w:rFonts w:ascii="Times New Roman"/>
                <w:sz w:val="21"/>
              </w:rPr>
            </w:pPr>
            <w:r>
              <w:rPr>
                <w:rFonts w:ascii="Times New Roman"/>
                <w:sz w:val="21"/>
              </w:rPr>
              <w:t>2021</w:t>
            </w:r>
          </w:p>
        </w:tc>
        <w:tc>
          <w:tcPr>
            <w:tcW w:w="847" w:type="dxa"/>
          </w:tcPr>
          <w:p>
            <w:pPr>
              <w:pStyle w:val="TableParagraph"/>
              <w:rPr>
                <w:rFonts w:ascii="Times New Roman"/>
                <w:sz w:val="18"/>
              </w:rPr>
            </w:pPr>
          </w:p>
        </w:tc>
        <w:tc>
          <w:tcPr>
            <w:tcW w:w="921" w:type="dxa"/>
          </w:tcPr>
          <w:p>
            <w:pPr>
              <w:pStyle w:val="TableParagraph"/>
              <w:spacing w:line="234" w:lineRule="exact" w:before="8"/>
              <w:ind w:left="35"/>
              <w:jc w:val="center"/>
              <w:rPr>
                <w:rFonts w:ascii="Times New Roman"/>
                <w:sz w:val="21"/>
              </w:rPr>
            </w:pPr>
            <w:r>
              <w:rPr>
                <w:rFonts w:ascii="Times New Roman"/>
                <w:w w:val="105"/>
                <w:sz w:val="21"/>
              </w:rPr>
              <w:t>17</w:t>
            </w:r>
          </w:p>
        </w:tc>
        <w:tc>
          <w:tcPr>
            <w:tcW w:w="847" w:type="dxa"/>
          </w:tcPr>
          <w:p>
            <w:pPr>
              <w:pStyle w:val="TableParagraph"/>
              <w:rPr>
                <w:rFonts w:ascii="Times New Roman"/>
                <w:sz w:val="18"/>
              </w:rPr>
            </w:pPr>
          </w:p>
        </w:tc>
        <w:tc>
          <w:tcPr>
            <w:tcW w:w="1027" w:type="dxa"/>
          </w:tcPr>
          <w:p>
            <w:pPr>
              <w:pStyle w:val="TableParagraph"/>
              <w:spacing w:line="234" w:lineRule="exact" w:before="8"/>
              <w:ind w:left="32"/>
              <w:jc w:val="center"/>
              <w:rPr>
                <w:rFonts w:ascii="Times New Roman"/>
                <w:sz w:val="21"/>
              </w:rPr>
            </w:pPr>
            <w:r>
              <w:rPr>
                <w:rFonts w:ascii="Times New Roman"/>
                <w:w w:val="105"/>
                <w:sz w:val="21"/>
              </w:rPr>
              <w:t>49</w:t>
            </w:r>
          </w:p>
        </w:tc>
        <w:tc>
          <w:tcPr>
            <w:tcW w:w="847" w:type="dxa"/>
          </w:tcPr>
          <w:p>
            <w:pPr>
              <w:pStyle w:val="TableParagraph"/>
              <w:rPr>
                <w:rFonts w:ascii="Times New Roman"/>
                <w:sz w:val="18"/>
              </w:rPr>
            </w:pPr>
          </w:p>
        </w:tc>
        <w:tc>
          <w:tcPr>
            <w:tcW w:w="921" w:type="dxa"/>
          </w:tcPr>
          <w:p>
            <w:pPr>
              <w:pStyle w:val="TableParagraph"/>
              <w:spacing w:line="234" w:lineRule="exact" w:before="8"/>
              <w:ind w:left="33"/>
              <w:jc w:val="center"/>
              <w:rPr>
                <w:rFonts w:ascii="Times New Roman"/>
                <w:sz w:val="21"/>
              </w:rPr>
            </w:pPr>
            <w:r>
              <w:rPr>
                <w:rFonts w:ascii="Times New Roman"/>
                <w:w w:val="105"/>
                <w:sz w:val="21"/>
              </w:rPr>
              <w:t>21</w:t>
            </w:r>
          </w:p>
        </w:tc>
        <w:tc>
          <w:tcPr>
            <w:tcW w:w="847" w:type="dxa"/>
          </w:tcPr>
          <w:p>
            <w:pPr>
              <w:pStyle w:val="TableParagraph"/>
              <w:rPr>
                <w:rFonts w:ascii="Times New Roman"/>
                <w:sz w:val="18"/>
              </w:rPr>
            </w:pPr>
          </w:p>
        </w:tc>
        <w:tc>
          <w:tcPr>
            <w:tcW w:w="1209" w:type="dxa"/>
          </w:tcPr>
          <w:p>
            <w:pPr>
              <w:pStyle w:val="TableParagraph"/>
              <w:tabs>
                <w:tab w:pos="501" w:val="left" w:leader="none"/>
              </w:tabs>
              <w:spacing w:line="234" w:lineRule="exact" w:before="8"/>
              <w:ind w:left="110"/>
              <w:rPr>
                <w:rFonts w:ascii="Times New Roman"/>
                <w:sz w:val="21"/>
              </w:rPr>
            </w:pPr>
            <w:r>
              <w:rPr>
                <w:rFonts w:ascii="Times New Roman"/>
                <w:w w:val="105"/>
                <w:sz w:val="21"/>
              </w:rPr>
              <w:t>$</w:t>
              <w:tab/>
              <w:t>72,770</w:t>
            </w:r>
          </w:p>
        </w:tc>
      </w:tr>
      <w:tr>
        <w:trPr>
          <w:trHeight w:val="263" w:hRule="atLeast"/>
        </w:trPr>
        <w:tc>
          <w:tcPr>
            <w:tcW w:w="84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02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209" w:type="dxa"/>
          </w:tcPr>
          <w:p>
            <w:pPr>
              <w:pStyle w:val="TableParagraph"/>
              <w:rPr>
                <w:rFonts w:ascii="Times New Roman"/>
                <w:sz w:val="18"/>
              </w:rPr>
            </w:pPr>
          </w:p>
        </w:tc>
      </w:tr>
      <w:tr>
        <w:trPr>
          <w:trHeight w:val="263" w:hRule="atLeast"/>
        </w:trPr>
        <w:tc>
          <w:tcPr>
            <w:tcW w:w="847" w:type="dxa"/>
          </w:tcPr>
          <w:p>
            <w:pPr>
              <w:pStyle w:val="TableParagraph"/>
              <w:spacing w:line="234" w:lineRule="exact" w:before="8"/>
              <w:ind w:right="180"/>
              <w:jc w:val="right"/>
              <w:rPr>
                <w:rFonts w:ascii="Times New Roman"/>
                <w:sz w:val="21"/>
              </w:rPr>
            </w:pPr>
            <w:r>
              <w:rPr>
                <w:rFonts w:ascii="Times New Roman"/>
                <w:sz w:val="21"/>
              </w:rPr>
              <w:t>2022</w:t>
            </w:r>
          </w:p>
        </w:tc>
        <w:tc>
          <w:tcPr>
            <w:tcW w:w="847" w:type="dxa"/>
          </w:tcPr>
          <w:p>
            <w:pPr>
              <w:pStyle w:val="TableParagraph"/>
              <w:rPr>
                <w:rFonts w:ascii="Times New Roman"/>
                <w:sz w:val="18"/>
              </w:rPr>
            </w:pPr>
          </w:p>
        </w:tc>
        <w:tc>
          <w:tcPr>
            <w:tcW w:w="921" w:type="dxa"/>
          </w:tcPr>
          <w:p>
            <w:pPr>
              <w:pStyle w:val="TableParagraph"/>
              <w:spacing w:line="234" w:lineRule="exact" w:before="8"/>
              <w:ind w:left="35"/>
              <w:jc w:val="center"/>
              <w:rPr>
                <w:rFonts w:ascii="Times New Roman"/>
                <w:sz w:val="21"/>
              </w:rPr>
            </w:pPr>
            <w:r>
              <w:rPr>
                <w:rFonts w:ascii="Times New Roman"/>
                <w:w w:val="105"/>
                <w:sz w:val="21"/>
              </w:rPr>
              <w:t>25</w:t>
            </w:r>
          </w:p>
        </w:tc>
        <w:tc>
          <w:tcPr>
            <w:tcW w:w="847" w:type="dxa"/>
          </w:tcPr>
          <w:p>
            <w:pPr>
              <w:pStyle w:val="TableParagraph"/>
              <w:rPr>
                <w:rFonts w:ascii="Times New Roman"/>
                <w:sz w:val="18"/>
              </w:rPr>
            </w:pPr>
          </w:p>
        </w:tc>
        <w:tc>
          <w:tcPr>
            <w:tcW w:w="1027" w:type="dxa"/>
          </w:tcPr>
          <w:p>
            <w:pPr>
              <w:pStyle w:val="TableParagraph"/>
              <w:spacing w:line="234" w:lineRule="exact" w:before="8"/>
              <w:ind w:left="32"/>
              <w:jc w:val="center"/>
              <w:rPr>
                <w:rFonts w:ascii="Times New Roman"/>
                <w:sz w:val="21"/>
              </w:rPr>
            </w:pPr>
            <w:r>
              <w:rPr>
                <w:rFonts w:ascii="Times New Roman"/>
                <w:w w:val="105"/>
                <w:sz w:val="21"/>
              </w:rPr>
              <w:t>55</w:t>
            </w:r>
          </w:p>
        </w:tc>
        <w:tc>
          <w:tcPr>
            <w:tcW w:w="847" w:type="dxa"/>
          </w:tcPr>
          <w:p>
            <w:pPr>
              <w:pStyle w:val="TableParagraph"/>
              <w:rPr>
                <w:rFonts w:ascii="Times New Roman"/>
                <w:sz w:val="18"/>
              </w:rPr>
            </w:pPr>
          </w:p>
        </w:tc>
        <w:tc>
          <w:tcPr>
            <w:tcW w:w="921" w:type="dxa"/>
          </w:tcPr>
          <w:p>
            <w:pPr>
              <w:pStyle w:val="TableParagraph"/>
              <w:spacing w:line="234" w:lineRule="exact" w:before="8"/>
              <w:ind w:left="33"/>
              <w:jc w:val="center"/>
              <w:rPr>
                <w:rFonts w:ascii="Times New Roman"/>
                <w:sz w:val="21"/>
              </w:rPr>
            </w:pPr>
            <w:r>
              <w:rPr>
                <w:rFonts w:ascii="Times New Roman"/>
                <w:w w:val="105"/>
                <w:sz w:val="21"/>
              </w:rPr>
              <w:t>26</w:t>
            </w:r>
          </w:p>
        </w:tc>
        <w:tc>
          <w:tcPr>
            <w:tcW w:w="847" w:type="dxa"/>
          </w:tcPr>
          <w:p>
            <w:pPr>
              <w:pStyle w:val="TableParagraph"/>
              <w:rPr>
                <w:rFonts w:ascii="Times New Roman"/>
                <w:sz w:val="18"/>
              </w:rPr>
            </w:pPr>
          </w:p>
        </w:tc>
        <w:tc>
          <w:tcPr>
            <w:tcW w:w="1209" w:type="dxa"/>
          </w:tcPr>
          <w:p>
            <w:pPr>
              <w:pStyle w:val="TableParagraph"/>
              <w:tabs>
                <w:tab w:pos="501" w:val="left" w:leader="none"/>
              </w:tabs>
              <w:spacing w:line="234" w:lineRule="exact" w:before="8"/>
              <w:ind w:left="110"/>
              <w:rPr>
                <w:rFonts w:ascii="Times New Roman"/>
                <w:sz w:val="21"/>
              </w:rPr>
            </w:pPr>
            <w:r>
              <w:rPr>
                <w:rFonts w:ascii="Times New Roman"/>
                <w:w w:val="105"/>
                <w:sz w:val="21"/>
              </w:rPr>
              <w:t>$</w:t>
              <w:tab/>
              <w:t>75,815</w:t>
            </w:r>
          </w:p>
        </w:tc>
      </w:tr>
      <w:tr>
        <w:trPr>
          <w:trHeight w:val="263" w:hRule="atLeast"/>
        </w:trPr>
        <w:tc>
          <w:tcPr>
            <w:tcW w:w="84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02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209" w:type="dxa"/>
          </w:tcPr>
          <w:p>
            <w:pPr>
              <w:pStyle w:val="TableParagraph"/>
              <w:rPr>
                <w:rFonts w:ascii="Times New Roman"/>
                <w:sz w:val="18"/>
              </w:rPr>
            </w:pPr>
          </w:p>
        </w:tc>
      </w:tr>
      <w:tr>
        <w:trPr>
          <w:trHeight w:val="263" w:hRule="atLeast"/>
        </w:trPr>
        <w:tc>
          <w:tcPr>
            <w:tcW w:w="847" w:type="dxa"/>
          </w:tcPr>
          <w:p>
            <w:pPr>
              <w:pStyle w:val="TableParagraph"/>
              <w:spacing w:line="234" w:lineRule="exact" w:before="8"/>
              <w:ind w:right="180"/>
              <w:jc w:val="right"/>
              <w:rPr>
                <w:rFonts w:ascii="Times New Roman"/>
                <w:sz w:val="21"/>
              </w:rPr>
            </w:pPr>
            <w:r>
              <w:rPr>
                <w:rFonts w:ascii="Times New Roman"/>
                <w:sz w:val="21"/>
              </w:rPr>
              <w:t>2023</w:t>
            </w:r>
          </w:p>
        </w:tc>
        <w:tc>
          <w:tcPr>
            <w:tcW w:w="847" w:type="dxa"/>
          </w:tcPr>
          <w:p>
            <w:pPr>
              <w:pStyle w:val="TableParagraph"/>
              <w:rPr>
                <w:rFonts w:ascii="Times New Roman"/>
                <w:sz w:val="18"/>
              </w:rPr>
            </w:pPr>
          </w:p>
        </w:tc>
        <w:tc>
          <w:tcPr>
            <w:tcW w:w="921" w:type="dxa"/>
          </w:tcPr>
          <w:p>
            <w:pPr>
              <w:pStyle w:val="TableParagraph"/>
              <w:spacing w:line="234" w:lineRule="exact" w:before="8"/>
              <w:ind w:left="35"/>
              <w:jc w:val="center"/>
              <w:rPr>
                <w:rFonts w:ascii="Times New Roman"/>
                <w:sz w:val="21"/>
              </w:rPr>
            </w:pPr>
            <w:r>
              <w:rPr>
                <w:rFonts w:ascii="Times New Roman"/>
                <w:w w:val="105"/>
                <w:sz w:val="21"/>
              </w:rPr>
              <w:t>16</w:t>
            </w:r>
          </w:p>
        </w:tc>
        <w:tc>
          <w:tcPr>
            <w:tcW w:w="847" w:type="dxa"/>
          </w:tcPr>
          <w:p>
            <w:pPr>
              <w:pStyle w:val="TableParagraph"/>
              <w:rPr>
                <w:rFonts w:ascii="Times New Roman"/>
                <w:sz w:val="18"/>
              </w:rPr>
            </w:pPr>
          </w:p>
        </w:tc>
        <w:tc>
          <w:tcPr>
            <w:tcW w:w="1027" w:type="dxa"/>
          </w:tcPr>
          <w:p>
            <w:pPr>
              <w:pStyle w:val="TableParagraph"/>
              <w:spacing w:line="234" w:lineRule="exact" w:before="8"/>
              <w:ind w:left="32"/>
              <w:jc w:val="center"/>
              <w:rPr>
                <w:rFonts w:ascii="Times New Roman"/>
                <w:sz w:val="21"/>
              </w:rPr>
            </w:pPr>
            <w:r>
              <w:rPr>
                <w:rFonts w:ascii="Times New Roman"/>
                <w:w w:val="105"/>
                <w:sz w:val="21"/>
              </w:rPr>
              <w:t>41</w:t>
            </w:r>
          </w:p>
        </w:tc>
        <w:tc>
          <w:tcPr>
            <w:tcW w:w="847" w:type="dxa"/>
          </w:tcPr>
          <w:p>
            <w:pPr>
              <w:pStyle w:val="TableParagraph"/>
              <w:rPr>
                <w:rFonts w:ascii="Times New Roman"/>
                <w:sz w:val="18"/>
              </w:rPr>
            </w:pPr>
          </w:p>
        </w:tc>
        <w:tc>
          <w:tcPr>
            <w:tcW w:w="921" w:type="dxa"/>
          </w:tcPr>
          <w:p>
            <w:pPr>
              <w:pStyle w:val="TableParagraph"/>
              <w:spacing w:line="234" w:lineRule="exact" w:before="8"/>
              <w:ind w:left="33"/>
              <w:jc w:val="center"/>
              <w:rPr>
                <w:rFonts w:ascii="Times New Roman"/>
                <w:sz w:val="21"/>
              </w:rPr>
            </w:pPr>
            <w:r>
              <w:rPr>
                <w:rFonts w:ascii="Times New Roman"/>
                <w:w w:val="105"/>
                <w:sz w:val="21"/>
              </w:rPr>
              <w:t>26</w:t>
            </w:r>
          </w:p>
        </w:tc>
        <w:tc>
          <w:tcPr>
            <w:tcW w:w="847" w:type="dxa"/>
          </w:tcPr>
          <w:p>
            <w:pPr>
              <w:pStyle w:val="TableParagraph"/>
              <w:rPr>
                <w:rFonts w:ascii="Times New Roman"/>
                <w:sz w:val="18"/>
              </w:rPr>
            </w:pPr>
          </w:p>
        </w:tc>
        <w:tc>
          <w:tcPr>
            <w:tcW w:w="1209" w:type="dxa"/>
          </w:tcPr>
          <w:p>
            <w:pPr>
              <w:pStyle w:val="TableParagraph"/>
              <w:tabs>
                <w:tab w:pos="501" w:val="left" w:leader="none"/>
              </w:tabs>
              <w:spacing w:line="234" w:lineRule="exact" w:before="8"/>
              <w:ind w:left="110"/>
              <w:rPr>
                <w:rFonts w:ascii="Times New Roman"/>
                <w:sz w:val="21"/>
              </w:rPr>
            </w:pPr>
            <w:r>
              <w:rPr>
                <w:rFonts w:ascii="Times New Roman"/>
                <w:w w:val="105"/>
                <w:sz w:val="21"/>
              </w:rPr>
              <w:t>$</w:t>
              <w:tab/>
              <w:t>58,415</w:t>
            </w:r>
          </w:p>
        </w:tc>
      </w:tr>
      <w:tr>
        <w:trPr>
          <w:trHeight w:val="263" w:hRule="atLeast"/>
        </w:trPr>
        <w:tc>
          <w:tcPr>
            <w:tcW w:w="84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02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209" w:type="dxa"/>
          </w:tcPr>
          <w:p>
            <w:pPr>
              <w:pStyle w:val="TableParagraph"/>
              <w:rPr>
                <w:rFonts w:ascii="Times New Roman"/>
                <w:sz w:val="18"/>
              </w:rPr>
            </w:pPr>
          </w:p>
        </w:tc>
      </w:tr>
      <w:tr>
        <w:trPr>
          <w:trHeight w:val="263" w:hRule="atLeast"/>
        </w:trPr>
        <w:tc>
          <w:tcPr>
            <w:tcW w:w="847" w:type="dxa"/>
          </w:tcPr>
          <w:p>
            <w:pPr>
              <w:pStyle w:val="TableParagraph"/>
              <w:spacing w:line="234" w:lineRule="exact" w:before="8"/>
              <w:ind w:right="180"/>
              <w:jc w:val="right"/>
              <w:rPr>
                <w:rFonts w:ascii="Times New Roman"/>
                <w:sz w:val="21"/>
              </w:rPr>
            </w:pPr>
            <w:r>
              <w:rPr>
                <w:rFonts w:ascii="Times New Roman"/>
                <w:sz w:val="21"/>
              </w:rPr>
              <w:t>2024</w:t>
            </w:r>
          </w:p>
        </w:tc>
        <w:tc>
          <w:tcPr>
            <w:tcW w:w="847" w:type="dxa"/>
          </w:tcPr>
          <w:p>
            <w:pPr>
              <w:pStyle w:val="TableParagraph"/>
              <w:rPr>
                <w:rFonts w:ascii="Times New Roman"/>
                <w:sz w:val="18"/>
              </w:rPr>
            </w:pPr>
          </w:p>
        </w:tc>
        <w:tc>
          <w:tcPr>
            <w:tcW w:w="921" w:type="dxa"/>
          </w:tcPr>
          <w:p>
            <w:pPr>
              <w:pStyle w:val="TableParagraph"/>
              <w:spacing w:line="234" w:lineRule="exact" w:before="8"/>
              <w:ind w:left="35"/>
              <w:jc w:val="center"/>
              <w:rPr>
                <w:rFonts w:ascii="Times New Roman"/>
                <w:sz w:val="21"/>
              </w:rPr>
            </w:pPr>
            <w:r>
              <w:rPr>
                <w:rFonts w:ascii="Times New Roman"/>
                <w:w w:val="105"/>
                <w:sz w:val="21"/>
              </w:rPr>
              <w:t>19</w:t>
            </w:r>
          </w:p>
        </w:tc>
        <w:tc>
          <w:tcPr>
            <w:tcW w:w="847" w:type="dxa"/>
          </w:tcPr>
          <w:p>
            <w:pPr>
              <w:pStyle w:val="TableParagraph"/>
              <w:rPr>
                <w:rFonts w:ascii="Times New Roman"/>
                <w:sz w:val="18"/>
              </w:rPr>
            </w:pPr>
          </w:p>
        </w:tc>
        <w:tc>
          <w:tcPr>
            <w:tcW w:w="1027" w:type="dxa"/>
          </w:tcPr>
          <w:p>
            <w:pPr>
              <w:pStyle w:val="TableParagraph"/>
              <w:spacing w:line="234" w:lineRule="exact" w:before="8"/>
              <w:ind w:left="32"/>
              <w:jc w:val="center"/>
              <w:rPr>
                <w:rFonts w:ascii="Times New Roman"/>
                <w:sz w:val="21"/>
              </w:rPr>
            </w:pPr>
            <w:r>
              <w:rPr>
                <w:rFonts w:ascii="Times New Roman"/>
                <w:w w:val="105"/>
                <w:sz w:val="21"/>
              </w:rPr>
              <w:t>45</w:t>
            </w:r>
          </w:p>
        </w:tc>
        <w:tc>
          <w:tcPr>
            <w:tcW w:w="847" w:type="dxa"/>
          </w:tcPr>
          <w:p>
            <w:pPr>
              <w:pStyle w:val="TableParagraph"/>
              <w:rPr>
                <w:rFonts w:ascii="Times New Roman"/>
                <w:sz w:val="18"/>
              </w:rPr>
            </w:pPr>
          </w:p>
        </w:tc>
        <w:tc>
          <w:tcPr>
            <w:tcW w:w="921" w:type="dxa"/>
          </w:tcPr>
          <w:p>
            <w:pPr>
              <w:pStyle w:val="TableParagraph"/>
              <w:spacing w:line="234" w:lineRule="exact" w:before="8"/>
              <w:ind w:left="33"/>
              <w:jc w:val="center"/>
              <w:rPr>
                <w:rFonts w:ascii="Times New Roman"/>
                <w:sz w:val="21"/>
              </w:rPr>
            </w:pPr>
            <w:r>
              <w:rPr>
                <w:rFonts w:ascii="Times New Roman"/>
                <w:w w:val="105"/>
                <w:sz w:val="21"/>
              </w:rPr>
              <w:t>30</w:t>
            </w:r>
          </w:p>
        </w:tc>
        <w:tc>
          <w:tcPr>
            <w:tcW w:w="847" w:type="dxa"/>
          </w:tcPr>
          <w:p>
            <w:pPr>
              <w:pStyle w:val="TableParagraph"/>
              <w:rPr>
                <w:rFonts w:ascii="Times New Roman"/>
                <w:sz w:val="18"/>
              </w:rPr>
            </w:pPr>
          </w:p>
        </w:tc>
        <w:tc>
          <w:tcPr>
            <w:tcW w:w="1209" w:type="dxa"/>
          </w:tcPr>
          <w:p>
            <w:pPr>
              <w:pStyle w:val="TableParagraph"/>
              <w:tabs>
                <w:tab w:pos="501" w:val="left" w:leader="none"/>
              </w:tabs>
              <w:spacing w:line="234" w:lineRule="exact" w:before="8"/>
              <w:ind w:left="110"/>
              <w:rPr>
                <w:rFonts w:ascii="Times New Roman"/>
                <w:sz w:val="21"/>
              </w:rPr>
            </w:pPr>
            <w:r>
              <w:rPr>
                <w:rFonts w:ascii="Times New Roman"/>
                <w:w w:val="105"/>
                <w:sz w:val="21"/>
              </w:rPr>
              <w:t>$</w:t>
              <w:tab/>
              <w:t>64,615</w:t>
            </w:r>
          </w:p>
        </w:tc>
      </w:tr>
      <w:tr>
        <w:trPr>
          <w:trHeight w:val="263" w:hRule="atLeast"/>
        </w:trPr>
        <w:tc>
          <w:tcPr>
            <w:tcW w:w="84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027" w:type="dxa"/>
          </w:tcPr>
          <w:p>
            <w:pPr>
              <w:pStyle w:val="TableParagraph"/>
              <w:rPr>
                <w:rFonts w:ascii="Times New Roman"/>
                <w:sz w:val="18"/>
              </w:rPr>
            </w:pPr>
          </w:p>
        </w:tc>
        <w:tc>
          <w:tcPr>
            <w:tcW w:w="847" w:type="dxa"/>
          </w:tcPr>
          <w:p>
            <w:pPr>
              <w:pStyle w:val="TableParagraph"/>
              <w:rPr>
                <w:rFonts w:ascii="Times New Roman"/>
                <w:sz w:val="18"/>
              </w:rPr>
            </w:pPr>
          </w:p>
        </w:tc>
        <w:tc>
          <w:tcPr>
            <w:tcW w:w="921" w:type="dxa"/>
          </w:tcPr>
          <w:p>
            <w:pPr>
              <w:pStyle w:val="TableParagraph"/>
              <w:rPr>
                <w:rFonts w:ascii="Times New Roman"/>
                <w:sz w:val="18"/>
              </w:rPr>
            </w:pPr>
          </w:p>
        </w:tc>
        <w:tc>
          <w:tcPr>
            <w:tcW w:w="847" w:type="dxa"/>
          </w:tcPr>
          <w:p>
            <w:pPr>
              <w:pStyle w:val="TableParagraph"/>
              <w:rPr>
                <w:rFonts w:ascii="Times New Roman"/>
                <w:sz w:val="18"/>
              </w:rPr>
            </w:pPr>
          </w:p>
        </w:tc>
        <w:tc>
          <w:tcPr>
            <w:tcW w:w="1209" w:type="dxa"/>
          </w:tcPr>
          <w:p>
            <w:pPr>
              <w:pStyle w:val="TableParagraph"/>
              <w:rPr>
                <w:rFonts w:ascii="Times New Roman"/>
                <w:sz w:val="18"/>
              </w:rPr>
            </w:pPr>
          </w:p>
        </w:tc>
      </w:tr>
      <w:tr>
        <w:trPr>
          <w:trHeight w:val="263" w:hRule="atLeast"/>
        </w:trPr>
        <w:tc>
          <w:tcPr>
            <w:tcW w:w="847" w:type="dxa"/>
          </w:tcPr>
          <w:p>
            <w:pPr>
              <w:pStyle w:val="TableParagraph"/>
              <w:spacing w:line="234" w:lineRule="exact" w:before="8"/>
              <w:ind w:left="35"/>
              <w:rPr>
                <w:rFonts w:ascii="Times New Roman"/>
                <w:sz w:val="21"/>
              </w:rPr>
            </w:pPr>
            <w:r>
              <w:rPr>
                <w:rFonts w:ascii="Times New Roman"/>
                <w:w w:val="105"/>
                <w:sz w:val="21"/>
              </w:rPr>
              <w:t>Total</w:t>
            </w:r>
          </w:p>
        </w:tc>
        <w:tc>
          <w:tcPr>
            <w:tcW w:w="847" w:type="dxa"/>
          </w:tcPr>
          <w:p>
            <w:pPr>
              <w:pStyle w:val="TableParagraph"/>
              <w:rPr>
                <w:rFonts w:ascii="Times New Roman"/>
                <w:sz w:val="18"/>
              </w:rPr>
            </w:pPr>
          </w:p>
        </w:tc>
        <w:tc>
          <w:tcPr>
            <w:tcW w:w="921" w:type="dxa"/>
          </w:tcPr>
          <w:p>
            <w:pPr>
              <w:pStyle w:val="TableParagraph"/>
              <w:spacing w:line="234" w:lineRule="exact" w:before="8"/>
              <w:ind w:left="30"/>
              <w:jc w:val="center"/>
              <w:rPr>
                <w:rFonts w:ascii="Times New Roman"/>
                <w:sz w:val="21"/>
              </w:rPr>
            </w:pPr>
            <w:r>
              <w:rPr>
                <w:rFonts w:ascii="Times New Roman"/>
                <w:w w:val="105"/>
                <w:sz w:val="21"/>
              </w:rPr>
              <w:t>121</w:t>
            </w:r>
          </w:p>
        </w:tc>
        <w:tc>
          <w:tcPr>
            <w:tcW w:w="847" w:type="dxa"/>
          </w:tcPr>
          <w:p>
            <w:pPr>
              <w:pStyle w:val="TableParagraph"/>
              <w:rPr>
                <w:rFonts w:ascii="Times New Roman"/>
                <w:sz w:val="18"/>
              </w:rPr>
            </w:pPr>
          </w:p>
        </w:tc>
        <w:tc>
          <w:tcPr>
            <w:tcW w:w="1027" w:type="dxa"/>
          </w:tcPr>
          <w:p>
            <w:pPr>
              <w:pStyle w:val="TableParagraph"/>
              <w:spacing w:line="234" w:lineRule="exact" w:before="8"/>
              <w:ind w:left="30"/>
              <w:jc w:val="center"/>
              <w:rPr>
                <w:rFonts w:ascii="Times New Roman"/>
                <w:sz w:val="21"/>
              </w:rPr>
            </w:pPr>
            <w:r>
              <w:rPr>
                <w:rFonts w:ascii="Times New Roman"/>
                <w:w w:val="105"/>
                <w:sz w:val="21"/>
              </w:rPr>
              <w:t>274</w:t>
            </w:r>
          </w:p>
        </w:tc>
        <w:tc>
          <w:tcPr>
            <w:tcW w:w="847" w:type="dxa"/>
          </w:tcPr>
          <w:p>
            <w:pPr>
              <w:pStyle w:val="TableParagraph"/>
              <w:rPr>
                <w:rFonts w:ascii="Times New Roman"/>
                <w:sz w:val="18"/>
              </w:rPr>
            </w:pPr>
          </w:p>
        </w:tc>
        <w:tc>
          <w:tcPr>
            <w:tcW w:w="921" w:type="dxa"/>
          </w:tcPr>
          <w:p>
            <w:pPr>
              <w:pStyle w:val="TableParagraph"/>
              <w:spacing w:line="234" w:lineRule="exact" w:before="8"/>
              <w:ind w:left="31"/>
              <w:jc w:val="center"/>
              <w:rPr>
                <w:rFonts w:ascii="Times New Roman"/>
                <w:sz w:val="21"/>
              </w:rPr>
            </w:pPr>
            <w:r>
              <w:rPr>
                <w:rFonts w:ascii="Times New Roman"/>
                <w:w w:val="105"/>
                <w:sz w:val="21"/>
              </w:rPr>
              <w:t>181</w:t>
            </w:r>
          </w:p>
        </w:tc>
        <w:tc>
          <w:tcPr>
            <w:tcW w:w="847" w:type="dxa"/>
          </w:tcPr>
          <w:p>
            <w:pPr>
              <w:pStyle w:val="TableParagraph"/>
              <w:rPr>
                <w:rFonts w:ascii="Times New Roman"/>
                <w:sz w:val="18"/>
              </w:rPr>
            </w:pPr>
          </w:p>
        </w:tc>
        <w:tc>
          <w:tcPr>
            <w:tcW w:w="1209" w:type="dxa"/>
          </w:tcPr>
          <w:p>
            <w:pPr>
              <w:pStyle w:val="TableParagraph"/>
              <w:spacing w:line="234" w:lineRule="exact" w:before="8"/>
              <w:ind w:left="110"/>
              <w:rPr>
                <w:rFonts w:ascii="Times New Roman"/>
                <w:sz w:val="21"/>
              </w:rPr>
            </w:pPr>
            <w:r>
              <w:rPr>
                <w:rFonts w:ascii="Times New Roman"/>
                <w:w w:val="105"/>
                <w:sz w:val="21"/>
              </w:rPr>
              <w:t>$</w:t>
            </w:r>
            <w:r>
              <w:rPr>
                <w:rFonts w:ascii="Times New Roman"/>
                <w:spacing w:val="54"/>
                <w:w w:val="105"/>
                <w:sz w:val="21"/>
              </w:rPr>
              <w:t> </w:t>
            </w:r>
            <w:r>
              <w:rPr>
                <w:rFonts w:ascii="Times New Roman"/>
                <w:w w:val="105"/>
                <w:sz w:val="21"/>
              </w:rPr>
              <w:t>400,495</w:t>
            </w:r>
          </w:p>
        </w:tc>
      </w:tr>
      <w:tr>
        <w:trPr>
          <w:trHeight w:val="207" w:hRule="atLeast"/>
        </w:trPr>
        <w:tc>
          <w:tcPr>
            <w:tcW w:w="847" w:type="dxa"/>
          </w:tcPr>
          <w:p>
            <w:pPr>
              <w:pStyle w:val="TableParagraph"/>
              <w:rPr>
                <w:rFonts w:ascii="Times New Roman"/>
                <w:sz w:val="14"/>
              </w:rPr>
            </w:pPr>
          </w:p>
        </w:tc>
        <w:tc>
          <w:tcPr>
            <w:tcW w:w="847" w:type="dxa"/>
          </w:tcPr>
          <w:p>
            <w:pPr>
              <w:pStyle w:val="TableParagraph"/>
              <w:rPr>
                <w:rFonts w:ascii="Times New Roman"/>
                <w:sz w:val="14"/>
              </w:rPr>
            </w:pPr>
          </w:p>
        </w:tc>
        <w:tc>
          <w:tcPr>
            <w:tcW w:w="921" w:type="dxa"/>
          </w:tcPr>
          <w:p>
            <w:pPr>
              <w:pStyle w:val="TableParagraph"/>
              <w:rPr>
                <w:rFonts w:ascii="Times New Roman"/>
                <w:sz w:val="14"/>
              </w:rPr>
            </w:pPr>
          </w:p>
        </w:tc>
        <w:tc>
          <w:tcPr>
            <w:tcW w:w="847" w:type="dxa"/>
          </w:tcPr>
          <w:p>
            <w:pPr>
              <w:pStyle w:val="TableParagraph"/>
              <w:rPr>
                <w:rFonts w:ascii="Times New Roman"/>
                <w:sz w:val="14"/>
              </w:rPr>
            </w:pPr>
          </w:p>
        </w:tc>
        <w:tc>
          <w:tcPr>
            <w:tcW w:w="1027" w:type="dxa"/>
          </w:tcPr>
          <w:p>
            <w:pPr>
              <w:pStyle w:val="TableParagraph"/>
              <w:rPr>
                <w:rFonts w:ascii="Times New Roman"/>
                <w:sz w:val="14"/>
              </w:rPr>
            </w:pPr>
          </w:p>
        </w:tc>
        <w:tc>
          <w:tcPr>
            <w:tcW w:w="847" w:type="dxa"/>
          </w:tcPr>
          <w:p>
            <w:pPr>
              <w:pStyle w:val="TableParagraph"/>
              <w:rPr>
                <w:rFonts w:ascii="Times New Roman"/>
                <w:sz w:val="14"/>
              </w:rPr>
            </w:pPr>
          </w:p>
        </w:tc>
        <w:tc>
          <w:tcPr>
            <w:tcW w:w="921" w:type="dxa"/>
          </w:tcPr>
          <w:p>
            <w:pPr>
              <w:pStyle w:val="TableParagraph"/>
              <w:rPr>
                <w:rFonts w:ascii="Times New Roman"/>
                <w:sz w:val="14"/>
              </w:rPr>
            </w:pPr>
          </w:p>
        </w:tc>
        <w:tc>
          <w:tcPr>
            <w:tcW w:w="847" w:type="dxa"/>
          </w:tcPr>
          <w:p>
            <w:pPr>
              <w:pStyle w:val="TableParagraph"/>
              <w:rPr>
                <w:rFonts w:ascii="Times New Roman"/>
                <w:sz w:val="14"/>
              </w:rPr>
            </w:pPr>
          </w:p>
        </w:tc>
        <w:tc>
          <w:tcPr>
            <w:tcW w:w="1209" w:type="dxa"/>
          </w:tcPr>
          <w:p>
            <w:pPr>
              <w:pStyle w:val="TableParagraph"/>
              <w:rPr>
                <w:rFonts w:ascii="Times New Roman"/>
                <w:sz w:val="14"/>
              </w:rPr>
            </w:pPr>
          </w:p>
        </w:tc>
      </w:tr>
      <w:tr>
        <w:trPr>
          <w:trHeight w:val="263" w:hRule="atLeast"/>
        </w:trPr>
        <w:tc>
          <w:tcPr>
            <w:tcW w:w="1694" w:type="dxa"/>
            <w:gridSpan w:val="2"/>
          </w:tcPr>
          <w:p>
            <w:pPr>
              <w:pStyle w:val="TableParagraph"/>
              <w:spacing w:line="234" w:lineRule="exact" w:before="8"/>
              <w:ind w:left="35"/>
              <w:rPr>
                <w:rFonts w:ascii="Times New Roman"/>
                <w:b/>
                <w:i/>
                <w:sz w:val="21"/>
              </w:rPr>
            </w:pPr>
            <w:r>
              <w:rPr>
                <w:rFonts w:ascii="Times New Roman"/>
                <w:b/>
                <w:i/>
                <w:w w:val="105"/>
                <w:sz w:val="21"/>
              </w:rPr>
              <w:t>Annual Average</w:t>
            </w:r>
          </w:p>
        </w:tc>
        <w:tc>
          <w:tcPr>
            <w:tcW w:w="921" w:type="dxa"/>
          </w:tcPr>
          <w:p>
            <w:pPr>
              <w:pStyle w:val="TableParagraph"/>
              <w:spacing w:line="234" w:lineRule="exact" w:before="8"/>
              <w:ind w:left="32"/>
              <w:jc w:val="center"/>
              <w:rPr>
                <w:rFonts w:ascii="Times New Roman"/>
                <w:sz w:val="21"/>
              </w:rPr>
            </w:pPr>
            <w:r>
              <w:rPr>
                <w:rFonts w:ascii="Times New Roman"/>
                <w:w w:val="105"/>
                <w:sz w:val="21"/>
              </w:rPr>
              <w:t>24.20</w:t>
            </w:r>
          </w:p>
        </w:tc>
        <w:tc>
          <w:tcPr>
            <w:tcW w:w="847" w:type="dxa"/>
          </w:tcPr>
          <w:p>
            <w:pPr>
              <w:pStyle w:val="TableParagraph"/>
              <w:rPr>
                <w:rFonts w:ascii="Times New Roman"/>
                <w:sz w:val="18"/>
              </w:rPr>
            </w:pPr>
          </w:p>
        </w:tc>
        <w:tc>
          <w:tcPr>
            <w:tcW w:w="1027" w:type="dxa"/>
          </w:tcPr>
          <w:p>
            <w:pPr>
              <w:pStyle w:val="TableParagraph"/>
              <w:spacing w:line="234" w:lineRule="exact" w:before="8"/>
              <w:ind w:left="31"/>
              <w:jc w:val="center"/>
              <w:rPr>
                <w:rFonts w:ascii="Times New Roman"/>
                <w:sz w:val="21"/>
              </w:rPr>
            </w:pPr>
            <w:r>
              <w:rPr>
                <w:rFonts w:ascii="Times New Roman"/>
                <w:w w:val="105"/>
                <w:sz w:val="21"/>
              </w:rPr>
              <w:t>54.80</w:t>
            </w:r>
          </w:p>
        </w:tc>
        <w:tc>
          <w:tcPr>
            <w:tcW w:w="847" w:type="dxa"/>
          </w:tcPr>
          <w:p>
            <w:pPr>
              <w:pStyle w:val="TableParagraph"/>
              <w:rPr>
                <w:rFonts w:ascii="Times New Roman"/>
                <w:sz w:val="18"/>
              </w:rPr>
            </w:pPr>
          </w:p>
        </w:tc>
        <w:tc>
          <w:tcPr>
            <w:tcW w:w="921" w:type="dxa"/>
          </w:tcPr>
          <w:p>
            <w:pPr>
              <w:pStyle w:val="TableParagraph"/>
              <w:spacing w:line="234" w:lineRule="exact" w:before="8"/>
              <w:ind w:left="35"/>
              <w:jc w:val="center"/>
              <w:rPr>
                <w:rFonts w:ascii="Times New Roman"/>
                <w:sz w:val="21"/>
              </w:rPr>
            </w:pPr>
            <w:r>
              <w:rPr>
                <w:rFonts w:ascii="Times New Roman"/>
                <w:w w:val="105"/>
                <w:sz w:val="21"/>
              </w:rPr>
              <w:t>36</w:t>
            </w:r>
          </w:p>
        </w:tc>
        <w:tc>
          <w:tcPr>
            <w:tcW w:w="847" w:type="dxa"/>
          </w:tcPr>
          <w:p>
            <w:pPr>
              <w:pStyle w:val="TableParagraph"/>
              <w:rPr>
                <w:rFonts w:ascii="Times New Roman"/>
                <w:sz w:val="18"/>
              </w:rPr>
            </w:pPr>
          </w:p>
        </w:tc>
        <w:tc>
          <w:tcPr>
            <w:tcW w:w="1209" w:type="dxa"/>
          </w:tcPr>
          <w:p>
            <w:pPr>
              <w:pStyle w:val="TableParagraph"/>
              <w:tabs>
                <w:tab w:pos="502" w:val="left" w:leader="none"/>
              </w:tabs>
              <w:spacing w:line="234" w:lineRule="exact" w:before="8"/>
              <w:ind w:left="110"/>
              <w:rPr>
                <w:rFonts w:ascii="Times New Roman"/>
                <w:sz w:val="21"/>
              </w:rPr>
            </w:pPr>
            <w:r>
              <w:rPr>
                <w:rFonts w:ascii="Times New Roman"/>
                <w:w w:val="105"/>
                <w:sz w:val="21"/>
              </w:rPr>
              <w:t>$</w:t>
              <w:tab/>
              <w:t>80,099</w:t>
            </w:r>
          </w:p>
        </w:tc>
      </w:tr>
      <w:tr>
        <w:trPr>
          <w:trHeight w:val="208" w:hRule="atLeast"/>
        </w:trPr>
        <w:tc>
          <w:tcPr>
            <w:tcW w:w="847" w:type="dxa"/>
          </w:tcPr>
          <w:p>
            <w:pPr>
              <w:pStyle w:val="TableParagraph"/>
              <w:rPr>
                <w:rFonts w:ascii="Times New Roman"/>
                <w:sz w:val="14"/>
              </w:rPr>
            </w:pPr>
          </w:p>
        </w:tc>
        <w:tc>
          <w:tcPr>
            <w:tcW w:w="847" w:type="dxa"/>
          </w:tcPr>
          <w:p>
            <w:pPr>
              <w:pStyle w:val="TableParagraph"/>
              <w:rPr>
                <w:rFonts w:ascii="Times New Roman"/>
                <w:sz w:val="14"/>
              </w:rPr>
            </w:pPr>
          </w:p>
        </w:tc>
        <w:tc>
          <w:tcPr>
            <w:tcW w:w="921" w:type="dxa"/>
          </w:tcPr>
          <w:p>
            <w:pPr>
              <w:pStyle w:val="TableParagraph"/>
              <w:rPr>
                <w:rFonts w:ascii="Times New Roman"/>
                <w:sz w:val="14"/>
              </w:rPr>
            </w:pPr>
          </w:p>
        </w:tc>
        <w:tc>
          <w:tcPr>
            <w:tcW w:w="847" w:type="dxa"/>
          </w:tcPr>
          <w:p>
            <w:pPr>
              <w:pStyle w:val="TableParagraph"/>
              <w:rPr>
                <w:rFonts w:ascii="Times New Roman"/>
                <w:sz w:val="14"/>
              </w:rPr>
            </w:pPr>
          </w:p>
        </w:tc>
        <w:tc>
          <w:tcPr>
            <w:tcW w:w="1027" w:type="dxa"/>
          </w:tcPr>
          <w:p>
            <w:pPr>
              <w:pStyle w:val="TableParagraph"/>
              <w:rPr>
                <w:rFonts w:ascii="Times New Roman"/>
                <w:sz w:val="14"/>
              </w:rPr>
            </w:pPr>
          </w:p>
        </w:tc>
        <w:tc>
          <w:tcPr>
            <w:tcW w:w="847" w:type="dxa"/>
          </w:tcPr>
          <w:p>
            <w:pPr>
              <w:pStyle w:val="TableParagraph"/>
              <w:rPr>
                <w:rFonts w:ascii="Times New Roman"/>
                <w:sz w:val="14"/>
              </w:rPr>
            </w:pPr>
          </w:p>
        </w:tc>
        <w:tc>
          <w:tcPr>
            <w:tcW w:w="921" w:type="dxa"/>
          </w:tcPr>
          <w:p>
            <w:pPr>
              <w:pStyle w:val="TableParagraph"/>
              <w:rPr>
                <w:rFonts w:ascii="Times New Roman"/>
                <w:sz w:val="14"/>
              </w:rPr>
            </w:pPr>
          </w:p>
        </w:tc>
        <w:tc>
          <w:tcPr>
            <w:tcW w:w="847" w:type="dxa"/>
          </w:tcPr>
          <w:p>
            <w:pPr>
              <w:pStyle w:val="TableParagraph"/>
              <w:rPr>
                <w:rFonts w:ascii="Times New Roman"/>
                <w:sz w:val="14"/>
              </w:rPr>
            </w:pPr>
          </w:p>
        </w:tc>
        <w:tc>
          <w:tcPr>
            <w:tcW w:w="1209" w:type="dxa"/>
          </w:tcPr>
          <w:p>
            <w:pPr>
              <w:pStyle w:val="TableParagraph"/>
              <w:rPr>
                <w:rFonts w:ascii="Times New Roman"/>
                <w:sz w:val="14"/>
              </w:rPr>
            </w:pPr>
          </w:p>
        </w:tc>
      </w:tr>
      <w:tr>
        <w:trPr>
          <w:trHeight w:val="263" w:hRule="atLeast"/>
        </w:trPr>
        <w:tc>
          <w:tcPr>
            <w:tcW w:w="1694" w:type="dxa"/>
            <w:gridSpan w:val="2"/>
          </w:tcPr>
          <w:p>
            <w:pPr>
              <w:pStyle w:val="TableParagraph"/>
              <w:spacing w:line="234" w:lineRule="exact" w:before="8"/>
              <w:ind w:left="35"/>
              <w:rPr>
                <w:rFonts w:ascii="Times New Roman"/>
                <w:b/>
                <w:i/>
                <w:sz w:val="21"/>
              </w:rPr>
            </w:pPr>
            <w:r>
              <w:rPr>
                <w:rFonts w:ascii="Times New Roman"/>
                <w:b/>
                <w:i/>
                <w:w w:val="105"/>
                <w:sz w:val="21"/>
              </w:rPr>
              <w:t>Total Est. Cost</w:t>
            </w:r>
          </w:p>
        </w:tc>
        <w:tc>
          <w:tcPr>
            <w:tcW w:w="921" w:type="dxa"/>
          </w:tcPr>
          <w:p>
            <w:pPr>
              <w:pStyle w:val="TableParagraph"/>
              <w:spacing w:line="234" w:lineRule="exact" w:before="8"/>
              <w:ind w:left="23"/>
              <w:jc w:val="center"/>
              <w:rPr>
                <w:rFonts w:ascii="Times New Roman"/>
                <w:sz w:val="21"/>
              </w:rPr>
            </w:pPr>
            <w:r>
              <w:rPr>
                <w:rFonts w:ascii="Times New Roman"/>
                <w:w w:val="105"/>
                <w:sz w:val="21"/>
              </w:rPr>
              <w:t>$ 3,872</w:t>
            </w:r>
          </w:p>
        </w:tc>
        <w:tc>
          <w:tcPr>
            <w:tcW w:w="847" w:type="dxa"/>
          </w:tcPr>
          <w:p>
            <w:pPr>
              <w:pStyle w:val="TableParagraph"/>
              <w:rPr>
                <w:rFonts w:ascii="Times New Roman"/>
                <w:sz w:val="18"/>
              </w:rPr>
            </w:pPr>
          </w:p>
        </w:tc>
        <w:tc>
          <w:tcPr>
            <w:tcW w:w="1027" w:type="dxa"/>
          </w:tcPr>
          <w:p>
            <w:pPr>
              <w:pStyle w:val="TableParagraph"/>
              <w:spacing w:line="234" w:lineRule="exact" w:before="8"/>
              <w:ind w:left="50"/>
              <w:jc w:val="center"/>
              <w:rPr>
                <w:rFonts w:ascii="Times New Roman"/>
                <w:sz w:val="21"/>
              </w:rPr>
            </w:pPr>
            <w:r>
              <w:rPr>
                <w:rFonts w:ascii="Times New Roman"/>
                <w:w w:val="105"/>
                <w:sz w:val="21"/>
              </w:rPr>
              <w:t>$ 72,610</w:t>
            </w:r>
          </w:p>
        </w:tc>
        <w:tc>
          <w:tcPr>
            <w:tcW w:w="847" w:type="dxa"/>
          </w:tcPr>
          <w:p>
            <w:pPr>
              <w:pStyle w:val="TableParagraph"/>
              <w:rPr>
                <w:rFonts w:ascii="Times New Roman"/>
                <w:sz w:val="18"/>
              </w:rPr>
            </w:pPr>
          </w:p>
        </w:tc>
        <w:tc>
          <w:tcPr>
            <w:tcW w:w="921" w:type="dxa"/>
          </w:tcPr>
          <w:p>
            <w:pPr>
              <w:pStyle w:val="TableParagraph"/>
              <w:spacing w:line="234" w:lineRule="exact" w:before="8"/>
              <w:ind w:left="23"/>
              <w:jc w:val="center"/>
              <w:rPr>
                <w:rFonts w:ascii="Times New Roman"/>
                <w:sz w:val="21"/>
              </w:rPr>
            </w:pPr>
            <w:r>
              <w:rPr>
                <w:rFonts w:ascii="Times New Roman"/>
                <w:w w:val="105"/>
                <w:sz w:val="21"/>
              </w:rPr>
              <w:t>$ 2,353</w:t>
            </w:r>
          </w:p>
        </w:tc>
        <w:tc>
          <w:tcPr>
            <w:tcW w:w="847" w:type="dxa"/>
          </w:tcPr>
          <w:p>
            <w:pPr>
              <w:pStyle w:val="TableParagraph"/>
              <w:rPr>
                <w:rFonts w:ascii="Times New Roman"/>
                <w:sz w:val="18"/>
              </w:rPr>
            </w:pPr>
          </w:p>
        </w:tc>
        <w:tc>
          <w:tcPr>
            <w:tcW w:w="1209" w:type="dxa"/>
          </w:tcPr>
          <w:p>
            <w:pPr>
              <w:pStyle w:val="TableParagraph"/>
              <w:tabs>
                <w:tab w:pos="503" w:val="left" w:leader="none"/>
              </w:tabs>
              <w:spacing w:line="234" w:lineRule="exact" w:before="8"/>
              <w:ind w:left="110"/>
              <w:rPr>
                <w:rFonts w:ascii="Times New Roman"/>
                <w:b/>
                <w:sz w:val="21"/>
              </w:rPr>
            </w:pPr>
            <w:r>
              <w:rPr>
                <w:rFonts w:ascii="Times New Roman"/>
                <w:b/>
                <w:w w:val="105"/>
                <w:sz w:val="21"/>
              </w:rPr>
              <w:t>$</w:t>
              <w:tab/>
              <w:t>78,835</w:t>
            </w:r>
          </w:p>
        </w:tc>
      </w:tr>
      <w:tr>
        <w:trPr>
          <w:trHeight w:val="208" w:hRule="atLeast"/>
        </w:trPr>
        <w:tc>
          <w:tcPr>
            <w:tcW w:w="847" w:type="dxa"/>
          </w:tcPr>
          <w:p>
            <w:pPr>
              <w:pStyle w:val="TableParagraph"/>
              <w:rPr>
                <w:rFonts w:ascii="Times New Roman"/>
                <w:sz w:val="14"/>
              </w:rPr>
            </w:pPr>
          </w:p>
        </w:tc>
        <w:tc>
          <w:tcPr>
            <w:tcW w:w="847" w:type="dxa"/>
          </w:tcPr>
          <w:p>
            <w:pPr>
              <w:pStyle w:val="TableParagraph"/>
              <w:rPr>
                <w:rFonts w:ascii="Times New Roman"/>
                <w:sz w:val="14"/>
              </w:rPr>
            </w:pPr>
          </w:p>
        </w:tc>
        <w:tc>
          <w:tcPr>
            <w:tcW w:w="921" w:type="dxa"/>
          </w:tcPr>
          <w:p>
            <w:pPr>
              <w:pStyle w:val="TableParagraph"/>
              <w:rPr>
                <w:rFonts w:ascii="Times New Roman"/>
                <w:sz w:val="14"/>
              </w:rPr>
            </w:pPr>
          </w:p>
        </w:tc>
        <w:tc>
          <w:tcPr>
            <w:tcW w:w="847" w:type="dxa"/>
          </w:tcPr>
          <w:p>
            <w:pPr>
              <w:pStyle w:val="TableParagraph"/>
              <w:rPr>
                <w:rFonts w:ascii="Times New Roman"/>
                <w:sz w:val="14"/>
              </w:rPr>
            </w:pPr>
          </w:p>
        </w:tc>
        <w:tc>
          <w:tcPr>
            <w:tcW w:w="1027" w:type="dxa"/>
          </w:tcPr>
          <w:p>
            <w:pPr>
              <w:pStyle w:val="TableParagraph"/>
              <w:rPr>
                <w:rFonts w:ascii="Times New Roman"/>
                <w:sz w:val="14"/>
              </w:rPr>
            </w:pPr>
          </w:p>
        </w:tc>
        <w:tc>
          <w:tcPr>
            <w:tcW w:w="847" w:type="dxa"/>
          </w:tcPr>
          <w:p>
            <w:pPr>
              <w:pStyle w:val="TableParagraph"/>
              <w:rPr>
                <w:rFonts w:ascii="Times New Roman"/>
                <w:sz w:val="14"/>
              </w:rPr>
            </w:pPr>
          </w:p>
        </w:tc>
        <w:tc>
          <w:tcPr>
            <w:tcW w:w="921" w:type="dxa"/>
          </w:tcPr>
          <w:p>
            <w:pPr>
              <w:pStyle w:val="TableParagraph"/>
              <w:rPr>
                <w:rFonts w:ascii="Times New Roman"/>
                <w:sz w:val="14"/>
              </w:rPr>
            </w:pPr>
          </w:p>
        </w:tc>
        <w:tc>
          <w:tcPr>
            <w:tcW w:w="847" w:type="dxa"/>
          </w:tcPr>
          <w:p>
            <w:pPr>
              <w:pStyle w:val="TableParagraph"/>
              <w:rPr>
                <w:rFonts w:ascii="Times New Roman"/>
                <w:sz w:val="14"/>
              </w:rPr>
            </w:pPr>
          </w:p>
        </w:tc>
        <w:tc>
          <w:tcPr>
            <w:tcW w:w="1209" w:type="dxa"/>
          </w:tcPr>
          <w:p>
            <w:pPr>
              <w:pStyle w:val="TableParagraph"/>
              <w:rPr>
                <w:rFonts w:ascii="Times New Roman"/>
                <w:sz w:val="14"/>
              </w:rPr>
            </w:pPr>
          </w:p>
        </w:tc>
      </w:tr>
      <w:tr>
        <w:trPr>
          <w:trHeight w:val="208" w:hRule="atLeast"/>
        </w:trPr>
        <w:tc>
          <w:tcPr>
            <w:tcW w:w="847" w:type="dxa"/>
          </w:tcPr>
          <w:p>
            <w:pPr>
              <w:pStyle w:val="TableParagraph"/>
              <w:rPr>
                <w:rFonts w:ascii="Times New Roman"/>
                <w:sz w:val="14"/>
              </w:rPr>
            </w:pPr>
          </w:p>
        </w:tc>
        <w:tc>
          <w:tcPr>
            <w:tcW w:w="847" w:type="dxa"/>
          </w:tcPr>
          <w:p>
            <w:pPr>
              <w:pStyle w:val="TableParagraph"/>
              <w:rPr>
                <w:rFonts w:ascii="Times New Roman"/>
                <w:sz w:val="14"/>
              </w:rPr>
            </w:pPr>
          </w:p>
        </w:tc>
        <w:tc>
          <w:tcPr>
            <w:tcW w:w="921" w:type="dxa"/>
          </w:tcPr>
          <w:p>
            <w:pPr>
              <w:pStyle w:val="TableParagraph"/>
              <w:spacing w:line="188" w:lineRule="exact"/>
              <w:ind w:left="35"/>
              <w:jc w:val="center"/>
              <w:rPr>
                <w:rFonts w:ascii="Times New Roman"/>
                <w:sz w:val="18"/>
              </w:rPr>
            </w:pPr>
            <w:r>
              <w:rPr>
                <w:rFonts w:ascii="Times New Roman"/>
                <w:spacing w:val="-90"/>
                <w:sz w:val="18"/>
                <w:u w:val="single"/>
              </w:rPr>
              <w:t>2</w:t>
            </w:r>
            <w:r>
              <w:rPr>
                <w:rFonts w:ascii="Times New Roman"/>
                <w:spacing w:val="50"/>
                <w:sz w:val="18"/>
              </w:rPr>
              <w:t> </w:t>
            </w:r>
            <w:r>
              <w:rPr>
                <w:rFonts w:ascii="Times New Roman"/>
                <w:sz w:val="18"/>
                <w:u w:val="single"/>
              </w:rPr>
              <w:t>023</w:t>
            </w:r>
          </w:p>
        </w:tc>
        <w:tc>
          <w:tcPr>
            <w:tcW w:w="847" w:type="dxa"/>
          </w:tcPr>
          <w:p>
            <w:pPr>
              <w:pStyle w:val="TableParagraph"/>
              <w:spacing w:line="188" w:lineRule="exact"/>
              <w:ind w:left="33"/>
              <w:jc w:val="center"/>
              <w:rPr>
                <w:rFonts w:ascii="Times New Roman"/>
                <w:sz w:val="18"/>
              </w:rPr>
            </w:pPr>
            <w:r>
              <w:rPr>
                <w:rFonts w:ascii="Times New Roman"/>
                <w:spacing w:val="-90"/>
                <w:sz w:val="18"/>
                <w:u w:val="single"/>
              </w:rPr>
              <w:t>2</w:t>
            </w:r>
            <w:r>
              <w:rPr>
                <w:rFonts w:ascii="Times New Roman"/>
                <w:spacing w:val="50"/>
                <w:sz w:val="18"/>
              </w:rPr>
              <w:t> </w:t>
            </w:r>
            <w:r>
              <w:rPr>
                <w:rFonts w:ascii="Times New Roman"/>
                <w:sz w:val="18"/>
                <w:u w:val="single"/>
              </w:rPr>
              <w:t>024</w:t>
            </w:r>
          </w:p>
        </w:tc>
        <w:tc>
          <w:tcPr>
            <w:tcW w:w="1027" w:type="dxa"/>
          </w:tcPr>
          <w:p>
            <w:pPr>
              <w:pStyle w:val="TableParagraph"/>
              <w:spacing w:line="188" w:lineRule="exact"/>
              <w:ind w:left="36"/>
              <w:jc w:val="center"/>
              <w:rPr>
                <w:rFonts w:ascii="Times New Roman"/>
                <w:sz w:val="18"/>
              </w:rPr>
            </w:pPr>
            <w:r>
              <w:rPr>
                <w:rFonts w:ascii="Times New Roman"/>
                <w:spacing w:val="-90"/>
                <w:sz w:val="18"/>
                <w:u w:val="single"/>
              </w:rPr>
              <w:t>2</w:t>
            </w:r>
            <w:r>
              <w:rPr>
                <w:rFonts w:ascii="Times New Roman"/>
                <w:spacing w:val="50"/>
                <w:sz w:val="18"/>
              </w:rPr>
              <w:t> </w:t>
            </w:r>
            <w:r>
              <w:rPr>
                <w:rFonts w:ascii="Times New Roman"/>
                <w:sz w:val="18"/>
                <w:u w:val="single"/>
              </w:rPr>
              <w:t>025</w:t>
            </w:r>
          </w:p>
        </w:tc>
        <w:tc>
          <w:tcPr>
            <w:tcW w:w="847" w:type="dxa"/>
          </w:tcPr>
          <w:p>
            <w:pPr>
              <w:pStyle w:val="TableParagraph"/>
              <w:rPr>
                <w:rFonts w:ascii="Times New Roman"/>
                <w:sz w:val="14"/>
              </w:rPr>
            </w:pPr>
          </w:p>
        </w:tc>
        <w:tc>
          <w:tcPr>
            <w:tcW w:w="921" w:type="dxa"/>
          </w:tcPr>
          <w:p>
            <w:pPr>
              <w:pStyle w:val="TableParagraph"/>
              <w:rPr>
                <w:rFonts w:ascii="Times New Roman"/>
                <w:sz w:val="14"/>
              </w:rPr>
            </w:pPr>
          </w:p>
        </w:tc>
        <w:tc>
          <w:tcPr>
            <w:tcW w:w="847" w:type="dxa"/>
          </w:tcPr>
          <w:p>
            <w:pPr>
              <w:pStyle w:val="TableParagraph"/>
              <w:rPr>
                <w:rFonts w:ascii="Times New Roman"/>
                <w:sz w:val="14"/>
              </w:rPr>
            </w:pPr>
          </w:p>
        </w:tc>
        <w:tc>
          <w:tcPr>
            <w:tcW w:w="1209" w:type="dxa"/>
          </w:tcPr>
          <w:p>
            <w:pPr>
              <w:pStyle w:val="TableParagraph"/>
              <w:rPr>
                <w:rFonts w:ascii="Times New Roman"/>
                <w:sz w:val="14"/>
              </w:rPr>
            </w:pPr>
          </w:p>
        </w:tc>
      </w:tr>
      <w:tr>
        <w:trPr>
          <w:trHeight w:val="207" w:hRule="atLeast"/>
        </w:trPr>
        <w:tc>
          <w:tcPr>
            <w:tcW w:w="847" w:type="dxa"/>
          </w:tcPr>
          <w:p>
            <w:pPr>
              <w:pStyle w:val="TableParagraph"/>
              <w:spacing w:line="188" w:lineRule="exact"/>
              <w:ind w:left="289"/>
              <w:rPr>
                <w:rFonts w:ascii="Times New Roman"/>
                <w:sz w:val="18"/>
              </w:rPr>
            </w:pPr>
            <w:r>
              <w:rPr>
                <w:rFonts w:ascii="Times New Roman"/>
                <w:sz w:val="18"/>
              </w:rPr>
              <w:t>CM</w:t>
            </w:r>
          </w:p>
        </w:tc>
        <w:tc>
          <w:tcPr>
            <w:tcW w:w="847" w:type="dxa"/>
          </w:tcPr>
          <w:p>
            <w:pPr>
              <w:pStyle w:val="TableParagraph"/>
              <w:rPr>
                <w:rFonts w:ascii="Times New Roman"/>
                <w:sz w:val="14"/>
              </w:rPr>
            </w:pPr>
          </w:p>
        </w:tc>
        <w:tc>
          <w:tcPr>
            <w:tcW w:w="921" w:type="dxa"/>
          </w:tcPr>
          <w:p>
            <w:pPr>
              <w:pStyle w:val="TableParagraph"/>
              <w:tabs>
                <w:tab w:pos="474" w:val="left" w:leader="none"/>
              </w:tabs>
              <w:spacing w:line="188" w:lineRule="exact"/>
              <w:ind w:left="13"/>
              <w:jc w:val="center"/>
              <w:rPr>
                <w:rFonts w:ascii="Times New Roman"/>
                <w:sz w:val="18"/>
              </w:rPr>
            </w:pPr>
            <w:r>
              <w:rPr>
                <w:rFonts w:ascii="Times New Roman"/>
                <w:sz w:val="18"/>
              </w:rPr>
              <w:t>$</w:t>
              <w:tab/>
              <w:t>150</w:t>
            </w:r>
          </w:p>
        </w:tc>
        <w:tc>
          <w:tcPr>
            <w:tcW w:w="847" w:type="dxa"/>
          </w:tcPr>
          <w:p>
            <w:pPr>
              <w:pStyle w:val="TableParagraph"/>
              <w:tabs>
                <w:tab w:pos="400" w:val="left" w:leader="none"/>
              </w:tabs>
              <w:spacing w:line="188" w:lineRule="exact"/>
              <w:ind w:left="14"/>
              <w:jc w:val="center"/>
              <w:rPr>
                <w:rFonts w:ascii="Times New Roman"/>
                <w:sz w:val="18"/>
              </w:rPr>
            </w:pPr>
            <w:r>
              <w:rPr>
                <w:rFonts w:ascii="Times New Roman"/>
                <w:sz w:val="18"/>
              </w:rPr>
              <w:t>$</w:t>
              <w:tab/>
              <w:t>160</w:t>
            </w:r>
          </w:p>
        </w:tc>
        <w:tc>
          <w:tcPr>
            <w:tcW w:w="1027" w:type="dxa"/>
          </w:tcPr>
          <w:p>
            <w:pPr>
              <w:pStyle w:val="TableParagraph"/>
              <w:tabs>
                <w:tab w:pos="581" w:val="left" w:leader="none"/>
              </w:tabs>
              <w:spacing w:line="188" w:lineRule="exact"/>
              <w:ind w:left="15"/>
              <w:jc w:val="center"/>
              <w:rPr>
                <w:rFonts w:ascii="Times New Roman"/>
                <w:sz w:val="18"/>
              </w:rPr>
            </w:pPr>
            <w:r>
              <w:rPr>
                <w:rFonts w:ascii="Times New Roman"/>
                <w:sz w:val="18"/>
              </w:rPr>
              <w:t>$</w:t>
              <w:tab/>
              <w:t>160</w:t>
            </w:r>
          </w:p>
        </w:tc>
        <w:tc>
          <w:tcPr>
            <w:tcW w:w="847" w:type="dxa"/>
          </w:tcPr>
          <w:p>
            <w:pPr>
              <w:pStyle w:val="TableParagraph"/>
              <w:rPr>
                <w:rFonts w:ascii="Times New Roman"/>
                <w:sz w:val="14"/>
              </w:rPr>
            </w:pPr>
          </w:p>
        </w:tc>
        <w:tc>
          <w:tcPr>
            <w:tcW w:w="921" w:type="dxa"/>
          </w:tcPr>
          <w:p>
            <w:pPr>
              <w:pStyle w:val="TableParagraph"/>
              <w:rPr>
                <w:rFonts w:ascii="Times New Roman"/>
                <w:sz w:val="14"/>
              </w:rPr>
            </w:pPr>
          </w:p>
        </w:tc>
        <w:tc>
          <w:tcPr>
            <w:tcW w:w="847" w:type="dxa"/>
          </w:tcPr>
          <w:p>
            <w:pPr>
              <w:pStyle w:val="TableParagraph"/>
              <w:rPr>
                <w:rFonts w:ascii="Times New Roman"/>
                <w:sz w:val="14"/>
              </w:rPr>
            </w:pPr>
          </w:p>
        </w:tc>
        <w:tc>
          <w:tcPr>
            <w:tcW w:w="1209" w:type="dxa"/>
          </w:tcPr>
          <w:p>
            <w:pPr>
              <w:pStyle w:val="TableParagraph"/>
              <w:rPr>
                <w:rFonts w:ascii="Times New Roman"/>
                <w:sz w:val="14"/>
              </w:rPr>
            </w:pPr>
          </w:p>
        </w:tc>
      </w:tr>
      <w:tr>
        <w:trPr>
          <w:trHeight w:val="208" w:hRule="atLeast"/>
        </w:trPr>
        <w:tc>
          <w:tcPr>
            <w:tcW w:w="847" w:type="dxa"/>
          </w:tcPr>
          <w:p>
            <w:pPr>
              <w:pStyle w:val="TableParagraph"/>
              <w:spacing w:line="188" w:lineRule="exact"/>
              <w:ind w:left="31"/>
              <w:jc w:val="center"/>
              <w:rPr>
                <w:rFonts w:ascii="Times New Roman"/>
                <w:sz w:val="18"/>
              </w:rPr>
            </w:pPr>
            <w:r>
              <w:rPr>
                <w:rFonts w:ascii="Times New Roman"/>
                <w:sz w:val="18"/>
              </w:rPr>
              <w:t>CB</w:t>
            </w:r>
          </w:p>
        </w:tc>
        <w:tc>
          <w:tcPr>
            <w:tcW w:w="847" w:type="dxa"/>
          </w:tcPr>
          <w:p>
            <w:pPr>
              <w:pStyle w:val="TableParagraph"/>
              <w:rPr>
                <w:rFonts w:ascii="Times New Roman"/>
                <w:sz w:val="14"/>
              </w:rPr>
            </w:pPr>
          </w:p>
        </w:tc>
        <w:tc>
          <w:tcPr>
            <w:tcW w:w="921" w:type="dxa"/>
          </w:tcPr>
          <w:p>
            <w:pPr>
              <w:pStyle w:val="TableParagraph"/>
              <w:tabs>
                <w:tab w:pos="338" w:val="left" w:leader="none"/>
              </w:tabs>
              <w:spacing w:line="188" w:lineRule="exact"/>
              <w:ind w:left="14"/>
              <w:jc w:val="center"/>
              <w:rPr>
                <w:rFonts w:ascii="Times New Roman"/>
                <w:sz w:val="18"/>
              </w:rPr>
            </w:pPr>
            <w:r>
              <w:rPr>
                <w:rFonts w:ascii="Times New Roman"/>
                <w:sz w:val="18"/>
              </w:rPr>
              <w:t>$</w:t>
              <w:tab/>
              <w:t>1,350</w:t>
            </w:r>
          </w:p>
        </w:tc>
        <w:tc>
          <w:tcPr>
            <w:tcW w:w="847" w:type="dxa"/>
          </w:tcPr>
          <w:p>
            <w:pPr>
              <w:pStyle w:val="TableParagraph"/>
              <w:spacing w:line="188" w:lineRule="exact"/>
              <w:ind w:left="14"/>
              <w:jc w:val="center"/>
              <w:rPr>
                <w:rFonts w:ascii="Times New Roman"/>
                <w:sz w:val="18"/>
              </w:rPr>
            </w:pPr>
            <w:r>
              <w:rPr>
                <w:rFonts w:ascii="Times New Roman"/>
                <w:sz w:val="18"/>
              </w:rPr>
              <w:t>$ 1,325</w:t>
            </w:r>
          </w:p>
        </w:tc>
        <w:tc>
          <w:tcPr>
            <w:tcW w:w="1027" w:type="dxa"/>
          </w:tcPr>
          <w:p>
            <w:pPr>
              <w:pStyle w:val="TableParagraph"/>
              <w:tabs>
                <w:tab w:pos="445" w:val="left" w:leader="none"/>
              </w:tabs>
              <w:spacing w:line="188" w:lineRule="exact"/>
              <w:ind w:left="15"/>
              <w:jc w:val="center"/>
              <w:rPr>
                <w:rFonts w:ascii="Times New Roman"/>
                <w:sz w:val="18"/>
              </w:rPr>
            </w:pPr>
            <w:r>
              <w:rPr>
                <w:rFonts w:ascii="Times New Roman"/>
                <w:sz w:val="18"/>
              </w:rPr>
              <w:t>$</w:t>
              <w:tab/>
              <w:t>1,325</w:t>
            </w:r>
          </w:p>
        </w:tc>
        <w:tc>
          <w:tcPr>
            <w:tcW w:w="847" w:type="dxa"/>
          </w:tcPr>
          <w:p>
            <w:pPr>
              <w:pStyle w:val="TableParagraph"/>
              <w:rPr>
                <w:rFonts w:ascii="Times New Roman"/>
                <w:sz w:val="14"/>
              </w:rPr>
            </w:pPr>
          </w:p>
        </w:tc>
        <w:tc>
          <w:tcPr>
            <w:tcW w:w="921" w:type="dxa"/>
          </w:tcPr>
          <w:p>
            <w:pPr>
              <w:pStyle w:val="TableParagraph"/>
              <w:rPr>
                <w:rFonts w:ascii="Times New Roman"/>
                <w:sz w:val="14"/>
              </w:rPr>
            </w:pPr>
          </w:p>
        </w:tc>
        <w:tc>
          <w:tcPr>
            <w:tcW w:w="847" w:type="dxa"/>
          </w:tcPr>
          <w:p>
            <w:pPr>
              <w:pStyle w:val="TableParagraph"/>
              <w:rPr>
                <w:rFonts w:ascii="Times New Roman"/>
                <w:sz w:val="14"/>
              </w:rPr>
            </w:pPr>
          </w:p>
        </w:tc>
        <w:tc>
          <w:tcPr>
            <w:tcW w:w="1209" w:type="dxa"/>
          </w:tcPr>
          <w:p>
            <w:pPr>
              <w:pStyle w:val="TableParagraph"/>
              <w:rPr>
                <w:rFonts w:ascii="Times New Roman"/>
                <w:sz w:val="14"/>
              </w:rPr>
            </w:pPr>
          </w:p>
        </w:tc>
      </w:tr>
      <w:tr>
        <w:trPr>
          <w:trHeight w:val="208" w:hRule="atLeast"/>
        </w:trPr>
        <w:tc>
          <w:tcPr>
            <w:tcW w:w="847" w:type="dxa"/>
          </w:tcPr>
          <w:p>
            <w:pPr>
              <w:pStyle w:val="TableParagraph"/>
              <w:spacing w:line="188" w:lineRule="exact"/>
              <w:ind w:left="33"/>
              <w:jc w:val="center"/>
              <w:rPr>
                <w:rFonts w:ascii="Times New Roman"/>
                <w:sz w:val="18"/>
              </w:rPr>
            </w:pPr>
            <w:r>
              <w:rPr>
                <w:rFonts w:ascii="Times New Roman"/>
                <w:sz w:val="18"/>
              </w:rPr>
              <w:t>IO</w:t>
            </w:r>
          </w:p>
        </w:tc>
        <w:tc>
          <w:tcPr>
            <w:tcW w:w="847" w:type="dxa"/>
          </w:tcPr>
          <w:p>
            <w:pPr>
              <w:pStyle w:val="TableParagraph"/>
              <w:rPr>
                <w:rFonts w:ascii="Times New Roman"/>
                <w:sz w:val="14"/>
              </w:rPr>
            </w:pPr>
          </w:p>
        </w:tc>
        <w:tc>
          <w:tcPr>
            <w:tcW w:w="921" w:type="dxa"/>
          </w:tcPr>
          <w:p>
            <w:pPr>
              <w:pStyle w:val="TableParagraph"/>
              <w:tabs>
                <w:tab w:pos="567" w:val="left" w:leader="none"/>
              </w:tabs>
              <w:spacing w:line="188" w:lineRule="exact"/>
              <w:ind w:left="15"/>
              <w:jc w:val="center"/>
              <w:rPr>
                <w:rFonts w:ascii="Times New Roman"/>
                <w:sz w:val="18"/>
              </w:rPr>
            </w:pPr>
            <w:r>
              <w:rPr>
                <w:rFonts w:ascii="Times New Roman"/>
                <w:sz w:val="18"/>
              </w:rPr>
              <w:t>$</w:t>
              <w:tab/>
              <w:t>65</w:t>
            </w:r>
          </w:p>
        </w:tc>
        <w:tc>
          <w:tcPr>
            <w:tcW w:w="847" w:type="dxa"/>
          </w:tcPr>
          <w:p>
            <w:pPr>
              <w:pStyle w:val="TableParagraph"/>
              <w:tabs>
                <w:tab w:pos="490" w:val="left" w:leader="none"/>
              </w:tabs>
              <w:spacing w:line="188" w:lineRule="exact"/>
              <w:ind w:left="14"/>
              <w:jc w:val="center"/>
              <w:rPr>
                <w:rFonts w:ascii="Times New Roman"/>
                <w:sz w:val="18"/>
              </w:rPr>
            </w:pPr>
            <w:r>
              <w:rPr>
                <w:rFonts w:ascii="Times New Roman"/>
                <w:sz w:val="18"/>
              </w:rPr>
              <w:t>$</w:t>
              <w:tab/>
              <w:t>65</w:t>
            </w:r>
          </w:p>
        </w:tc>
        <w:tc>
          <w:tcPr>
            <w:tcW w:w="1027" w:type="dxa"/>
          </w:tcPr>
          <w:p>
            <w:pPr>
              <w:pStyle w:val="TableParagraph"/>
              <w:tabs>
                <w:tab w:pos="671" w:val="left" w:leader="none"/>
              </w:tabs>
              <w:spacing w:line="188" w:lineRule="exact"/>
              <w:ind w:left="15"/>
              <w:jc w:val="center"/>
              <w:rPr>
                <w:rFonts w:ascii="Times New Roman"/>
                <w:sz w:val="18"/>
              </w:rPr>
            </w:pPr>
            <w:r>
              <w:rPr>
                <w:rFonts w:ascii="Times New Roman"/>
                <w:sz w:val="18"/>
              </w:rPr>
              <w:t>$</w:t>
              <w:tab/>
              <w:t>65</w:t>
            </w:r>
          </w:p>
        </w:tc>
        <w:tc>
          <w:tcPr>
            <w:tcW w:w="847" w:type="dxa"/>
          </w:tcPr>
          <w:p>
            <w:pPr>
              <w:pStyle w:val="TableParagraph"/>
              <w:rPr>
                <w:rFonts w:ascii="Times New Roman"/>
                <w:sz w:val="14"/>
              </w:rPr>
            </w:pPr>
          </w:p>
        </w:tc>
        <w:tc>
          <w:tcPr>
            <w:tcW w:w="921" w:type="dxa"/>
          </w:tcPr>
          <w:p>
            <w:pPr>
              <w:pStyle w:val="TableParagraph"/>
              <w:rPr>
                <w:rFonts w:ascii="Times New Roman"/>
                <w:sz w:val="14"/>
              </w:rPr>
            </w:pPr>
          </w:p>
        </w:tc>
        <w:tc>
          <w:tcPr>
            <w:tcW w:w="847" w:type="dxa"/>
          </w:tcPr>
          <w:p>
            <w:pPr>
              <w:pStyle w:val="TableParagraph"/>
              <w:rPr>
                <w:rFonts w:ascii="Times New Roman"/>
                <w:sz w:val="14"/>
              </w:rPr>
            </w:pPr>
          </w:p>
        </w:tc>
        <w:tc>
          <w:tcPr>
            <w:tcW w:w="1209" w:type="dxa"/>
          </w:tcPr>
          <w:p>
            <w:pPr>
              <w:pStyle w:val="TableParagraph"/>
              <w:rPr>
                <w:rFonts w:ascii="Times New Roman"/>
                <w:sz w:val="14"/>
              </w:rPr>
            </w:pPr>
          </w:p>
        </w:tc>
      </w:tr>
      <w:tr>
        <w:trPr>
          <w:trHeight w:val="208" w:hRule="atLeast"/>
        </w:trPr>
        <w:tc>
          <w:tcPr>
            <w:tcW w:w="847" w:type="dxa"/>
          </w:tcPr>
          <w:p>
            <w:pPr>
              <w:pStyle w:val="TableParagraph"/>
              <w:rPr>
                <w:rFonts w:ascii="Times New Roman"/>
                <w:sz w:val="14"/>
              </w:rPr>
            </w:pPr>
          </w:p>
        </w:tc>
        <w:tc>
          <w:tcPr>
            <w:tcW w:w="847" w:type="dxa"/>
          </w:tcPr>
          <w:p>
            <w:pPr>
              <w:pStyle w:val="TableParagraph"/>
              <w:rPr>
                <w:rFonts w:ascii="Times New Roman"/>
                <w:sz w:val="14"/>
              </w:rPr>
            </w:pPr>
          </w:p>
        </w:tc>
        <w:tc>
          <w:tcPr>
            <w:tcW w:w="921" w:type="dxa"/>
          </w:tcPr>
          <w:p>
            <w:pPr>
              <w:pStyle w:val="TableParagraph"/>
              <w:rPr>
                <w:rFonts w:ascii="Times New Roman"/>
                <w:sz w:val="14"/>
              </w:rPr>
            </w:pPr>
          </w:p>
        </w:tc>
        <w:tc>
          <w:tcPr>
            <w:tcW w:w="847" w:type="dxa"/>
          </w:tcPr>
          <w:p>
            <w:pPr>
              <w:pStyle w:val="TableParagraph"/>
              <w:rPr>
                <w:rFonts w:ascii="Times New Roman"/>
                <w:sz w:val="14"/>
              </w:rPr>
            </w:pPr>
          </w:p>
        </w:tc>
        <w:tc>
          <w:tcPr>
            <w:tcW w:w="1027" w:type="dxa"/>
          </w:tcPr>
          <w:p>
            <w:pPr>
              <w:pStyle w:val="TableParagraph"/>
              <w:rPr>
                <w:rFonts w:ascii="Times New Roman"/>
                <w:sz w:val="14"/>
              </w:rPr>
            </w:pPr>
          </w:p>
        </w:tc>
        <w:tc>
          <w:tcPr>
            <w:tcW w:w="847" w:type="dxa"/>
          </w:tcPr>
          <w:p>
            <w:pPr>
              <w:pStyle w:val="TableParagraph"/>
              <w:rPr>
                <w:rFonts w:ascii="Times New Roman"/>
                <w:sz w:val="14"/>
              </w:rPr>
            </w:pPr>
          </w:p>
        </w:tc>
        <w:tc>
          <w:tcPr>
            <w:tcW w:w="921" w:type="dxa"/>
          </w:tcPr>
          <w:p>
            <w:pPr>
              <w:pStyle w:val="TableParagraph"/>
              <w:rPr>
                <w:rFonts w:ascii="Times New Roman"/>
                <w:sz w:val="14"/>
              </w:rPr>
            </w:pPr>
          </w:p>
        </w:tc>
        <w:tc>
          <w:tcPr>
            <w:tcW w:w="847" w:type="dxa"/>
          </w:tcPr>
          <w:p>
            <w:pPr>
              <w:pStyle w:val="TableParagraph"/>
              <w:rPr>
                <w:rFonts w:ascii="Times New Roman"/>
                <w:sz w:val="14"/>
              </w:rPr>
            </w:pPr>
          </w:p>
        </w:tc>
        <w:tc>
          <w:tcPr>
            <w:tcW w:w="1209" w:type="dxa"/>
          </w:tcPr>
          <w:p>
            <w:pPr>
              <w:pStyle w:val="TableParagraph"/>
              <w:rPr>
                <w:rFonts w:ascii="Times New Roman"/>
                <w:sz w:val="14"/>
              </w:rPr>
            </w:pPr>
          </w:p>
        </w:tc>
      </w:tr>
    </w:tbl>
    <w:p>
      <w:pPr>
        <w:spacing w:after="0"/>
        <w:rPr>
          <w:rFonts w:ascii="Times New Roman"/>
          <w:sz w:val="14"/>
        </w:rPr>
        <w:sectPr>
          <w:headerReference w:type="default" r:id="rId178"/>
          <w:footerReference w:type="default" r:id="rId179"/>
          <w:pgSz w:w="12240" w:h="15840"/>
          <w:pgMar w:header="0" w:footer="0" w:top="1500" w:bottom="280" w:left="740" w:right="560"/>
        </w:sectPr>
      </w:pPr>
    </w:p>
    <w:p>
      <w:pPr>
        <w:pStyle w:val="BodyText"/>
        <w:spacing w:before="4"/>
        <w:rPr>
          <w:sz w:val="25"/>
        </w:rPr>
      </w:pPr>
    </w:p>
    <w:p>
      <w:pPr>
        <w:pStyle w:val="BodyText"/>
        <w:ind w:left="704"/>
        <w:rPr>
          <w:sz w:val="20"/>
        </w:rPr>
      </w:pPr>
      <w:r>
        <w:rPr>
          <w:sz w:val="20"/>
        </w:rPr>
        <w:pict>
          <v:group style="width:466.6pt;height:76.2pt;mso-position-horizontal-relative:char;mso-position-vertical-relative:line" coordorigin="0,0" coordsize="9332,1524">
            <v:shape style="position:absolute;left:0;top:0;width:44;height:34" coordorigin="0,0" coordsize="44,34" path="m43,5l0,5,0,0,43,0,43,5xm43,34l29,34,29,19,43,19,43,34xe" filled="true" fillcolor="#000000" stroked="false">
              <v:path arrowok="t"/>
              <v:fill type="solid"/>
            </v:shape>
            <v:rect style="position:absolute;left:0;top:1509;width:44;height:15" filled="true" fillcolor="#000000" stroked="false">
              <v:fill type="solid"/>
            </v:rect>
            <v:line style="position:absolute" from="7,0" to="7,1524" stroked="true" strokeweight=".719999pt" strokecolor="#000000">
              <v:stroke dashstyle="solid"/>
            </v:line>
            <v:line style="position:absolute" from="36,19" to="36,1495" stroked="true" strokeweight=".719999pt" strokecolor="#000000">
              <v:stroke dashstyle="solid"/>
            </v:line>
            <v:line style="position:absolute" from="9295,19" to="9295,1495" stroked="true" strokeweight=".71997pt" strokecolor="#000000">
              <v:stroke dashstyle="solid"/>
            </v:line>
            <v:line style="position:absolute" from="9324,0" to="9324,1524" stroked="true" strokeweight=".720017pt" strokecolor="#000000">
              <v:stroke dashstyle="solid"/>
            </v:line>
            <v:line style="position:absolute" from="43,2" to="9331,2" stroked="true" strokeweight=".24pt" strokecolor="#000000">
              <v:stroke dashstyle="solid"/>
            </v:line>
            <v:line style="position:absolute" from="43,26" to="9288,26" stroked="true" strokeweight=".719999pt" strokecolor="#000000">
              <v:stroke dashstyle="solid"/>
            </v:line>
            <v:rect style="position:absolute;left:9288;top:1509;width:44;height:15" filled="true" fillcolor="#000000" stroked="false">
              <v:fill type="solid"/>
            </v:rect>
            <v:line style="position:absolute" from="43,1488" to="9302,1488" stroked="true" strokeweight=".719994pt" strokecolor="#000000">
              <v:stroke dashstyle="solid"/>
            </v:line>
            <v:line style="position:absolute" from="43,1517" to="9288,1517" stroked="true" strokeweight=".720005pt" strokecolor="#000000">
              <v:stroke dashstyle="solid"/>
            </v:line>
            <v:shape style="position:absolute;left:2815;top:132;width:3876;height:948" type="#_x0000_t75" stroked="false">
              <v:imagedata r:id="rId182" o:title=""/>
            </v:shape>
            <v:shape style="position:absolute;left:28;top:24;width:9274;height:1472" type="#_x0000_t202" filled="false" stroked="false">
              <v:textbox inset="0,0,0,0">
                <w:txbxContent>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11"/>
                      <w:rPr>
                        <w:rFonts w:ascii="Times New Roman"/>
                        <w:sz w:val="32"/>
                      </w:rPr>
                    </w:pPr>
                  </w:p>
                  <w:p>
                    <w:pPr>
                      <w:spacing w:before="0"/>
                      <w:ind w:left="2288" w:right="2274" w:firstLine="0"/>
                      <w:jc w:val="center"/>
                      <w:rPr>
                        <w:rFonts w:ascii="Times New Roman"/>
                        <w:b/>
                        <w:sz w:val="21"/>
                      </w:rPr>
                    </w:pPr>
                    <w:r>
                      <w:rPr>
                        <w:rFonts w:ascii="Times New Roman"/>
                        <w:b/>
                        <w:sz w:val="21"/>
                      </w:rPr>
                      <w:t>Workers' Compensation Program Renewal for 2025</w:t>
                    </w:r>
                  </w:p>
                </w:txbxContent>
              </v:textbox>
              <w10:wrap type="none"/>
            </v:shape>
          </v:group>
        </w:pict>
      </w:r>
      <w:r>
        <w:rPr>
          <w:sz w:val="20"/>
        </w:rPr>
      </w:r>
    </w:p>
    <w:p>
      <w:pPr>
        <w:pStyle w:val="BodyText"/>
        <w:spacing w:before="1"/>
        <w:rPr>
          <w:sz w:val="12"/>
        </w:rPr>
      </w:pPr>
    </w:p>
    <w:tbl>
      <w:tblPr>
        <w:tblW w:w="0" w:type="auto"/>
        <w:jc w:val="left"/>
        <w:tblInd w:w="74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4334"/>
        <w:gridCol w:w="2596"/>
        <w:gridCol w:w="2356"/>
      </w:tblGrid>
      <w:tr>
        <w:trPr>
          <w:trHeight w:val="605" w:hRule="atLeast"/>
        </w:trPr>
        <w:tc>
          <w:tcPr>
            <w:tcW w:w="4334" w:type="dxa"/>
            <w:tcBorders>
              <w:right w:val="single" w:sz="6" w:space="0" w:color="000000"/>
            </w:tcBorders>
            <w:shd w:val="clear" w:color="auto" w:fill="FFCC00"/>
          </w:tcPr>
          <w:p>
            <w:pPr>
              <w:pStyle w:val="TableParagraph"/>
              <w:rPr>
                <w:rFonts w:ascii="Times New Roman"/>
                <w:sz w:val="16"/>
              </w:rPr>
            </w:pPr>
          </w:p>
        </w:tc>
        <w:tc>
          <w:tcPr>
            <w:tcW w:w="2596" w:type="dxa"/>
            <w:tcBorders>
              <w:left w:val="single" w:sz="6" w:space="0" w:color="000000"/>
              <w:right w:val="single" w:sz="6" w:space="0" w:color="000000"/>
            </w:tcBorders>
            <w:shd w:val="clear" w:color="auto" w:fill="FFCC00"/>
          </w:tcPr>
          <w:p>
            <w:pPr>
              <w:pStyle w:val="TableParagraph"/>
              <w:spacing w:before="9"/>
              <w:rPr>
                <w:rFonts w:ascii="Times New Roman"/>
                <w:sz w:val="16"/>
              </w:rPr>
            </w:pPr>
          </w:p>
          <w:p>
            <w:pPr>
              <w:pStyle w:val="TableParagraph"/>
              <w:ind w:left="546" w:right="530"/>
              <w:jc w:val="center"/>
              <w:rPr>
                <w:rFonts w:ascii="Times New Roman"/>
                <w:b/>
                <w:sz w:val="18"/>
              </w:rPr>
            </w:pPr>
            <w:r>
              <w:rPr>
                <w:rFonts w:ascii="Times New Roman"/>
                <w:b/>
                <w:sz w:val="18"/>
              </w:rPr>
              <w:t>Travelers Expiring</w:t>
            </w:r>
          </w:p>
        </w:tc>
        <w:tc>
          <w:tcPr>
            <w:tcW w:w="2356" w:type="dxa"/>
            <w:tcBorders>
              <w:left w:val="single" w:sz="6" w:space="0" w:color="000000"/>
            </w:tcBorders>
            <w:shd w:val="clear" w:color="auto" w:fill="FFCC00"/>
          </w:tcPr>
          <w:p>
            <w:pPr>
              <w:pStyle w:val="TableParagraph"/>
              <w:spacing w:before="9"/>
              <w:rPr>
                <w:rFonts w:ascii="Times New Roman"/>
                <w:sz w:val="16"/>
              </w:rPr>
            </w:pPr>
          </w:p>
          <w:p>
            <w:pPr>
              <w:pStyle w:val="TableParagraph"/>
              <w:ind w:left="437" w:right="404"/>
              <w:jc w:val="center"/>
              <w:rPr>
                <w:rFonts w:ascii="Times New Roman"/>
                <w:b/>
                <w:sz w:val="18"/>
              </w:rPr>
            </w:pPr>
            <w:r>
              <w:rPr>
                <w:rFonts w:ascii="Times New Roman"/>
                <w:b/>
                <w:sz w:val="18"/>
              </w:rPr>
              <w:t>Travelers Renewal</w:t>
            </w:r>
          </w:p>
        </w:tc>
      </w:tr>
      <w:tr>
        <w:trPr>
          <w:trHeight w:val="211" w:hRule="atLeast"/>
        </w:trPr>
        <w:tc>
          <w:tcPr>
            <w:tcW w:w="4334" w:type="dxa"/>
            <w:tcBorders>
              <w:right w:val="single" w:sz="6" w:space="0" w:color="000000"/>
            </w:tcBorders>
            <w:shd w:val="clear" w:color="auto" w:fill="FFFF99"/>
          </w:tcPr>
          <w:p>
            <w:pPr>
              <w:pStyle w:val="TableParagraph"/>
              <w:rPr>
                <w:rFonts w:ascii="Times New Roman"/>
                <w:sz w:val="14"/>
              </w:rPr>
            </w:pPr>
          </w:p>
        </w:tc>
        <w:tc>
          <w:tcPr>
            <w:tcW w:w="2596" w:type="dxa"/>
            <w:tcBorders>
              <w:left w:val="single" w:sz="6" w:space="0" w:color="000000"/>
              <w:right w:val="single" w:sz="6" w:space="0" w:color="000000"/>
            </w:tcBorders>
            <w:shd w:val="clear" w:color="auto" w:fill="FFFF99"/>
          </w:tcPr>
          <w:p>
            <w:pPr>
              <w:pStyle w:val="TableParagraph"/>
              <w:spacing w:line="174" w:lineRule="exact" w:before="17"/>
              <w:ind w:left="546" w:right="515"/>
              <w:jc w:val="center"/>
              <w:rPr>
                <w:rFonts w:ascii="Times New Roman"/>
                <w:b/>
                <w:sz w:val="16"/>
              </w:rPr>
            </w:pPr>
            <w:r>
              <w:rPr>
                <w:rFonts w:ascii="Times New Roman"/>
                <w:b/>
                <w:w w:val="105"/>
                <w:sz w:val="16"/>
              </w:rPr>
              <w:t>Large Deductible</w:t>
            </w:r>
          </w:p>
        </w:tc>
        <w:tc>
          <w:tcPr>
            <w:tcW w:w="2356" w:type="dxa"/>
            <w:tcBorders>
              <w:left w:val="single" w:sz="6" w:space="0" w:color="000000"/>
            </w:tcBorders>
            <w:shd w:val="clear" w:color="auto" w:fill="FFFF99"/>
          </w:tcPr>
          <w:p>
            <w:pPr>
              <w:pStyle w:val="TableParagraph"/>
              <w:spacing w:line="174" w:lineRule="exact" w:before="17"/>
              <w:ind w:left="437" w:right="390"/>
              <w:jc w:val="center"/>
              <w:rPr>
                <w:rFonts w:ascii="Times New Roman"/>
                <w:b/>
                <w:sz w:val="16"/>
              </w:rPr>
            </w:pPr>
            <w:r>
              <w:rPr>
                <w:rFonts w:ascii="Times New Roman"/>
                <w:b/>
                <w:w w:val="105"/>
                <w:sz w:val="16"/>
              </w:rPr>
              <w:t>Large Deductible</w:t>
            </w:r>
          </w:p>
        </w:tc>
      </w:tr>
      <w:tr>
        <w:trPr>
          <w:trHeight w:val="327" w:hRule="atLeast"/>
        </w:trPr>
        <w:tc>
          <w:tcPr>
            <w:tcW w:w="4334" w:type="dxa"/>
            <w:tcBorders>
              <w:bottom w:val="nil"/>
              <w:right w:val="single" w:sz="6" w:space="0" w:color="000000"/>
            </w:tcBorders>
          </w:tcPr>
          <w:p>
            <w:pPr>
              <w:pStyle w:val="TableParagraph"/>
              <w:spacing w:line="205" w:lineRule="exact" w:before="102"/>
              <w:ind w:left="18"/>
              <w:rPr>
                <w:rFonts w:ascii="Times New Roman"/>
                <w:b/>
                <w:sz w:val="18"/>
              </w:rPr>
            </w:pPr>
            <w:r>
              <w:rPr>
                <w:rFonts w:ascii="Times New Roman"/>
                <w:b/>
                <w:sz w:val="18"/>
              </w:rPr>
              <w:t>Deductible</w:t>
            </w:r>
          </w:p>
        </w:tc>
        <w:tc>
          <w:tcPr>
            <w:tcW w:w="2596" w:type="dxa"/>
            <w:tcBorders>
              <w:left w:val="single" w:sz="6" w:space="0" w:color="000000"/>
              <w:bottom w:val="nil"/>
              <w:right w:val="single" w:sz="6" w:space="0" w:color="000000"/>
            </w:tcBorders>
          </w:tcPr>
          <w:p>
            <w:pPr>
              <w:pStyle w:val="TableParagraph"/>
              <w:spacing w:line="205" w:lineRule="exact" w:before="102"/>
              <w:ind w:left="546" w:right="515"/>
              <w:jc w:val="center"/>
              <w:rPr>
                <w:rFonts w:ascii="Times New Roman"/>
                <w:sz w:val="18"/>
              </w:rPr>
            </w:pPr>
            <w:r>
              <w:rPr>
                <w:rFonts w:ascii="Times New Roman"/>
                <w:sz w:val="18"/>
              </w:rPr>
              <w:t>150,000</w:t>
            </w:r>
          </w:p>
        </w:tc>
        <w:tc>
          <w:tcPr>
            <w:tcW w:w="2356" w:type="dxa"/>
            <w:tcBorders>
              <w:left w:val="single" w:sz="6" w:space="0" w:color="000000"/>
              <w:bottom w:val="nil"/>
            </w:tcBorders>
          </w:tcPr>
          <w:p>
            <w:pPr>
              <w:pStyle w:val="TableParagraph"/>
              <w:spacing w:line="205" w:lineRule="exact" w:before="102"/>
              <w:ind w:left="437" w:right="390"/>
              <w:jc w:val="center"/>
              <w:rPr>
                <w:rFonts w:ascii="Times New Roman"/>
                <w:sz w:val="18"/>
              </w:rPr>
            </w:pPr>
            <w:r>
              <w:rPr>
                <w:rFonts w:ascii="Times New Roman"/>
                <w:sz w:val="18"/>
              </w:rPr>
              <w:t>150,000</w:t>
            </w:r>
          </w:p>
        </w:tc>
      </w:tr>
      <w:tr>
        <w:trPr>
          <w:trHeight w:val="302" w:hRule="atLeast"/>
        </w:trPr>
        <w:tc>
          <w:tcPr>
            <w:tcW w:w="4334" w:type="dxa"/>
            <w:tcBorders>
              <w:top w:val="nil"/>
              <w:right w:val="single" w:sz="6" w:space="0" w:color="000000"/>
            </w:tcBorders>
          </w:tcPr>
          <w:p>
            <w:pPr>
              <w:pStyle w:val="TableParagraph"/>
              <w:spacing w:before="10"/>
              <w:ind w:left="18"/>
              <w:rPr>
                <w:rFonts w:ascii="Times New Roman"/>
                <w:b/>
                <w:sz w:val="18"/>
              </w:rPr>
            </w:pPr>
            <w:r>
              <w:rPr>
                <w:rFonts w:ascii="Times New Roman"/>
                <w:b/>
                <w:sz w:val="18"/>
              </w:rPr>
              <w:t>Payroll Exposure</w:t>
            </w:r>
          </w:p>
        </w:tc>
        <w:tc>
          <w:tcPr>
            <w:tcW w:w="2596" w:type="dxa"/>
            <w:tcBorders>
              <w:top w:val="nil"/>
              <w:left w:val="single" w:sz="6" w:space="0" w:color="000000"/>
              <w:right w:val="single" w:sz="6" w:space="0" w:color="000000"/>
            </w:tcBorders>
          </w:tcPr>
          <w:p>
            <w:pPr>
              <w:pStyle w:val="TableParagraph"/>
              <w:spacing w:before="10"/>
              <w:ind w:left="504" w:right="530"/>
              <w:jc w:val="center"/>
              <w:rPr>
                <w:rFonts w:ascii="Times New Roman"/>
                <w:sz w:val="18"/>
              </w:rPr>
            </w:pPr>
            <w:r>
              <w:rPr>
                <w:rFonts w:ascii="Times New Roman"/>
                <w:sz w:val="18"/>
              </w:rPr>
              <w:t>$37,950,533</w:t>
            </w:r>
          </w:p>
        </w:tc>
        <w:tc>
          <w:tcPr>
            <w:tcW w:w="2356" w:type="dxa"/>
            <w:tcBorders>
              <w:top w:val="nil"/>
              <w:left w:val="single" w:sz="6" w:space="0" w:color="000000"/>
            </w:tcBorders>
          </w:tcPr>
          <w:p>
            <w:pPr>
              <w:pStyle w:val="TableParagraph"/>
              <w:spacing w:before="10"/>
              <w:ind w:left="393" w:right="404"/>
              <w:jc w:val="center"/>
              <w:rPr>
                <w:rFonts w:ascii="Times New Roman"/>
                <w:sz w:val="18"/>
              </w:rPr>
            </w:pPr>
            <w:r>
              <w:rPr>
                <w:rFonts w:ascii="Times New Roman"/>
                <w:sz w:val="18"/>
              </w:rPr>
              <w:t>$38,271,241</w:t>
            </w:r>
          </w:p>
        </w:tc>
      </w:tr>
      <w:tr>
        <w:trPr>
          <w:trHeight w:val="211" w:hRule="atLeast"/>
        </w:trPr>
        <w:tc>
          <w:tcPr>
            <w:tcW w:w="9286" w:type="dxa"/>
            <w:gridSpan w:val="3"/>
            <w:shd w:val="clear" w:color="auto" w:fill="FFFF99"/>
          </w:tcPr>
          <w:p>
            <w:pPr>
              <w:pStyle w:val="TableParagraph"/>
              <w:spacing w:line="192" w:lineRule="exact"/>
              <w:ind w:left="5827"/>
              <w:rPr>
                <w:rFonts w:ascii="Times New Roman"/>
                <w:b/>
                <w:sz w:val="18"/>
              </w:rPr>
            </w:pPr>
            <w:r>
              <w:rPr>
                <w:rFonts w:ascii="Times New Roman"/>
                <w:b/>
                <w:sz w:val="18"/>
              </w:rPr>
              <w:t>Total Fixed Cost Subject to Audit</w:t>
            </w:r>
          </w:p>
        </w:tc>
      </w:tr>
      <w:tr>
        <w:trPr>
          <w:trHeight w:val="400" w:hRule="atLeast"/>
        </w:trPr>
        <w:tc>
          <w:tcPr>
            <w:tcW w:w="4334" w:type="dxa"/>
            <w:tcBorders>
              <w:bottom w:val="nil"/>
              <w:right w:val="single" w:sz="6" w:space="0" w:color="000000"/>
            </w:tcBorders>
          </w:tcPr>
          <w:p>
            <w:pPr>
              <w:pStyle w:val="TableParagraph"/>
              <w:spacing w:before="109"/>
              <w:ind w:left="18"/>
              <w:rPr>
                <w:rFonts w:ascii="Times New Roman"/>
                <w:b/>
                <w:sz w:val="18"/>
              </w:rPr>
            </w:pPr>
            <w:r>
              <w:rPr>
                <w:rFonts w:ascii="Times New Roman"/>
                <w:b/>
                <w:sz w:val="18"/>
              </w:rPr>
              <w:t>WC Deductible Premium</w:t>
            </w:r>
          </w:p>
        </w:tc>
        <w:tc>
          <w:tcPr>
            <w:tcW w:w="2596" w:type="dxa"/>
            <w:tcBorders>
              <w:left w:val="single" w:sz="6" w:space="0" w:color="000000"/>
              <w:bottom w:val="nil"/>
              <w:right w:val="single" w:sz="6" w:space="0" w:color="000000"/>
            </w:tcBorders>
          </w:tcPr>
          <w:p>
            <w:pPr>
              <w:pStyle w:val="TableParagraph"/>
              <w:spacing w:before="104"/>
              <w:ind w:left="504" w:right="530"/>
              <w:jc w:val="center"/>
              <w:rPr>
                <w:rFonts w:ascii="Times New Roman"/>
                <w:sz w:val="18"/>
              </w:rPr>
            </w:pPr>
            <w:r>
              <w:rPr>
                <w:rFonts w:ascii="Times New Roman"/>
                <w:sz w:val="18"/>
              </w:rPr>
              <w:t>$1,267,813</w:t>
            </w:r>
          </w:p>
        </w:tc>
        <w:tc>
          <w:tcPr>
            <w:tcW w:w="2356" w:type="dxa"/>
            <w:tcBorders>
              <w:left w:val="single" w:sz="6" w:space="0" w:color="000000"/>
              <w:bottom w:val="nil"/>
            </w:tcBorders>
          </w:tcPr>
          <w:p>
            <w:pPr>
              <w:pStyle w:val="TableParagraph"/>
              <w:spacing w:before="104"/>
              <w:ind w:left="392" w:right="404"/>
              <w:jc w:val="center"/>
              <w:rPr>
                <w:rFonts w:ascii="Times New Roman"/>
                <w:sz w:val="18"/>
              </w:rPr>
            </w:pPr>
            <w:r>
              <w:rPr>
                <w:rFonts w:ascii="Times New Roman"/>
                <w:sz w:val="18"/>
              </w:rPr>
              <w:t>$1,163,446</w:t>
            </w:r>
          </w:p>
        </w:tc>
      </w:tr>
      <w:tr>
        <w:trPr>
          <w:trHeight w:val="309" w:hRule="atLeast"/>
        </w:trPr>
        <w:tc>
          <w:tcPr>
            <w:tcW w:w="4334" w:type="dxa"/>
            <w:tcBorders>
              <w:top w:val="nil"/>
              <w:bottom w:val="nil"/>
              <w:right w:val="single" w:sz="6" w:space="0" w:color="000000"/>
            </w:tcBorders>
          </w:tcPr>
          <w:p>
            <w:pPr>
              <w:pStyle w:val="TableParagraph"/>
              <w:spacing w:before="76"/>
              <w:ind w:left="18"/>
              <w:rPr>
                <w:rFonts w:ascii="Times New Roman"/>
                <w:b/>
                <w:sz w:val="18"/>
              </w:rPr>
            </w:pPr>
            <w:r>
              <w:rPr>
                <w:rFonts w:ascii="Times New Roman"/>
                <w:b/>
                <w:sz w:val="18"/>
              </w:rPr>
              <w:t>Rate per $100 of Covered Payroll</w:t>
            </w:r>
          </w:p>
        </w:tc>
        <w:tc>
          <w:tcPr>
            <w:tcW w:w="2596" w:type="dxa"/>
            <w:tcBorders>
              <w:top w:val="nil"/>
              <w:left w:val="single" w:sz="6" w:space="0" w:color="000000"/>
              <w:bottom w:val="nil"/>
              <w:right w:val="single" w:sz="6" w:space="0" w:color="000000"/>
            </w:tcBorders>
          </w:tcPr>
          <w:p>
            <w:pPr>
              <w:pStyle w:val="TableParagraph"/>
              <w:spacing w:line="204" w:lineRule="exact" w:before="85"/>
              <w:ind w:left="546" w:right="514"/>
              <w:jc w:val="center"/>
              <w:rPr>
                <w:rFonts w:ascii="Times New Roman"/>
                <w:sz w:val="18"/>
              </w:rPr>
            </w:pPr>
            <w:r>
              <w:rPr>
                <w:rFonts w:ascii="Times New Roman"/>
                <w:sz w:val="18"/>
              </w:rPr>
              <w:t>$3.3407/$100</w:t>
            </w:r>
          </w:p>
        </w:tc>
        <w:tc>
          <w:tcPr>
            <w:tcW w:w="2356" w:type="dxa"/>
            <w:tcBorders>
              <w:top w:val="nil"/>
              <w:left w:val="single" w:sz="6" w:space="0" w:color="000000"/>
              <w:bottom w:val="nil"/>
            </w:tcBorders>
          </w:tcPr>
          <w:p>
            <w:pPr>
              <w:pStyle w:val="TableParagraph"/>
              <w:spacing w:line="204" w:lineRule="exact" w:before="85"/>
              <w:ind w:left="437" w:right="389"/>
              <w:jc w:val="center"/>
              <w:rPr>
                <w:rFonts w:ascii="Times New Roman"/>
                <w:sz w:val="18"/>
              </w:rPr>
            </w:pPr>
            <w:r>
              <w:rPr>
                <w:rFonts w:ascii="Times New Roman"/>
                <w:sz w:val="18"/>
              </w:rPr>
              <w:t>$3.04/$100</w:t>
            </w:r>
          </w:p>
        </w:tc>
      </w:tr>
      <w:tr>
        <w:trPr>
          <w:trHeight w:val="242" w:hRule="atLeast"/>
        </w:trPr>
        <w:tc>
          <w:tcPr>
            <w:tcW w:w="4334" w:type="dxa"/>
            <w:tcBorders>
              <w:top w:val="nil"/>
              <w:bottom w:val="nil"/>
              <w:right w:val="single" w:sz="6" w:space="0" w:color="000000"/>
            </w:tcBorders>
          </w:tcPr>
          <w:p>
            <w:pPr>
              <w:pStyle w:val="TableParagraph"/>
              <w:spacing w:before="9"/>
              <w:ind w:left="18"/>
              <w:rPr>
                <w:rFonts w:ascii="Times New Roman"/>
                <w:b/>
                <w:sz w:val="18"/>
              </w:rPr>
            </w:pPr>
            <w:r>
              <w:rPr>
                <w:rFonts w:ascii="Times New Roman"/>
                <w:b/>
                <w:sz w:val="18"/>
              </w:rPr>
              <w:t>Premium Tax Deposit</w:t>
            </w:r>
          </w:p>
        </w:tc>
        <w:tc>
          <w:tcPr>
            <w:tcW w:w="2596" w:type="dxa"/>
            <w:tcBorders>
              <w:top w:val="nil"/>
              <w:left w:val="single" w:sz="6" w:space="0" w:color="000000"/>
              <w:bottom w:val="nil"/>
              <w:right w:val="single" w:sz="6" w:space="0" w:color="000000"/>
            </w:tcBorders>
          </w:tcPr>
          <w:p>
            <w:pPr>
              <w:pStyle w:val="TableParagraph"/>
              <w:rPr>
                <w:rFonts w:ascii="Times New Roman"/>
                <w:sz w:val="16"/>
              </w:rPr>
            </w:pPr>
          </w:p>
        </w:tc>
        <w:tc>
          <w:tcPr>
            <w:tcW w:w="2356" w:type="dxa"/>
            <w:tcBorders>
              <w:top w:val="nil"/>
              <w:left w:val="single" w:sz="6" w:space="0" w:color="000000"/>
              <w:bottom w:val="nil"/>
            </w:tcBorders>
          </w:tcPr>
          <w:p>
            <w:pPr>
              <w:pStyle w:val="TableParagraph"/>
              <w:rPr>
                <w:rFonts w:ascii="Times New Roman"/>
                <w:sz w:val="16"/>
              </w:rPr>
            </w:pPr>
          </w:p>
        </w:tc>
      </w:tr>
      <w:tr>
        <w:trPr>
          <w:trHeight w:val="310" w:hRule="atLeast"/>
        </w:trPr>
        <w:tc>
          <w:tcPr>
            <w:tcW w:w="4334" w:type="dxa"/>
            <w:tcBorders>
              <w:top w:val="nil"/>
              <w:bottom w:val="nil"/>
              <w:right w:val="single" w:sz="6" w:space="0" w:color="000000"/>
            </w:tcBorders>
          </w:tcPr>
          <w:p>
            <w:pPr>
              <w:pStyle w:val="TableParagraph"/>
              <w:spacing w:before="21"/>
              <w:ind w:left="18"/>
              <w:rPr>
                <w:rFonts w:ascii="Times New Roman"/>
                <w:b/>
                <w:sz w:val="18"/>
              </w:rPr>
            </w:pPr>
            <w:r>
              <w:rPr>
                <w:rFonts w:ascii="Times New Roman"/>
                <w:b/>
                <w:sz w:val="18"/>
              </w:rPr>
              <w:t>Administration Expense</w:t>
            </w:r>
          </w:p>
        </w:tc>
        <w:tc>
          <w:tcPr>
            <w:tcW w:w="2596" w:type="dxa"/>
            <w:tcBorders>
              <w:top w:val="nil"/>
              <w:left w:val="single" w:sz="6" w:space="0" w:color="000000"/>
              <w:bottom w:val="nil"/>
              <w:right w:val="single" w:sz="6" w:space="0" w:color="000000"/>
            </w:tcBorders>
          </w:tcPr>
          <w:p>
            <w:pPr>
              <w:pStyle w:val="TableParagraph"/>
              <w:spacing w:before="18"/>
              <w:ind w:left="506" w:right="530"/>
              <w:jc w:val="center"/>
              <w:rPr>
                <w:rFonts w:ascii="Times New Roman"/>
                <w:sz w:val="18"/>
              </w:rPr>
            </w:pPr>
            <w:r>
              <w:rPr>
                <w:rFonts w:ascii="Times New Roman"/>
                <w:sz w:val="18"/>
              </w:rPr>
              <w:t>$47,241</w:t>
            </w:r>
          </w:p>
        </w:tc>
        <w:tc>
          <w:tcPr>
            <w:tcW w:w="2356" w:type="dxa"/>
            <w:tcBorders>
              <w:top w:val="nil"/>
              <w:left w:val="single" w:sz="6" w:space="0" w:color="000000"/>
              <w:bottom w:val="nil"/>
            </w:tcBorders>
          </w:tcPr>
          <w:p>
            <w:pPr>
              <w:pStyle w:val="TableParagraph"/>
              <w:spacing w:before="18"/>
              <w:ind w:left="396" w:right="404"/>
              <w:jc w:val="center"/>
              <w:rPr>
                <w:rFonts w:ascii="Times New Roman"/>
                <w:sz w:val="18"/>
              </w:rPr>
            </w:pPr>
            <w:r>
              <w:rPr>
                <w:rFonts w:ascii="Times New Roman"/>
                <w:sz w:val="18"/>
              </w:rPr>
              <w:t>$47,241</w:t>
            </w:r>
          </w:p>
        </w:tc>
      </w:tr>
      <w:tr>
        <w:trPr>
          <w:trHeight w:val="310" w:hRule="atLeast"/>
        </w:trPr>
        <w:tc>
          <w:tcPr>
            <w:tcW w:w="4334" w:type="dxa"/>
            <w:tcBorders>
              <w:top w:val="nil"/>
              <w:bottom w:val="nil"/>
              <w:right w:val="single" w:sz="6" w:space="0" w:color="000000"/>
            </w:tcBorders>
          </w:tcPr>
          <w:p>
            <w:pPr>
              <w:pStyle w:val="TableParagraph"/>
              <w:spacing w:before="75"/>
              <w:ind w:left="18"/>
              <w:rPr>
                <w:rFonts w:ascii="Times New Roman"/>
                <w:b/>
                <w:sz w:val="18"/>
              </w:rPr>
            </w:pPr>
            <w:r>
              <w:rPr>
                <w:rFonts w:ascii="Times New Roman"/>
                <w:b/>
                <w:sz w:val="18"/>
              </w:rPr>
              <w:t>Rate per $100 of Covered Payroll</w:t>
            </w:r>
          </w:p>
        </w:tc>
        <w:tc>
          <w:tcPr>
            <w:tcW w:w="2596" w:type="dxa"/>
            <w:tcBorders>
              <w:top w:val="nil"/>
              <w:left w:val="single" w:sz="6" w:space="0" w:color="000000"/>
              <w:bottom w:val="nil"/>
              <w:right w:val="single" w:sz="6" w:space="0" w:color="000000"/>
            </w:tcBorders>
          </w:tcPr>
          <w:p>
            <w:pPr>
              <w:pStyle w:val="TableParagraph"/>
              <w:spacing w:line="206" w:lineRule="exact" w:before="84"/>
              <w:ind w:left="546" w:right="514"/>
              <w:jc w:val="center"/>
              <w:rPr>
                <w:rFonts w:ascii="Times New Roman"/>
                <w:sz w:val="18"/>
              </w:rPr>
            </w:pPr>
            <w:r>
              <w:rPr>
                <w:rFonts w:ascii="Times New Roman"/>
                <w:sz w:val="18"/>
              </w:rPr>
              <w:t>$0.1245/$100</w:t>
            </w:r>
          </w:p>
        </w:tc>
        <w:tc>
          <w:tcPr>
            <w:tcW w:w="2356" w:type="dxa"/>
            <w:tcBorders>
              <w:top w:val="nil"/>
              <w:left w:val="single" w:sz="6" w:space="0" w:color="000000"/>
              <w:bottom w:val="nil"/>
            </w:tcBorders>
          </w:tcPr>
          <w:p>
            <w:pPr>
              <w:pStyle w:val="TableParagraph"/>
              <w:spacing w:line="206" w:lineRule="exact" w:before="84"/>
              <w:ind w:left="437" w:right="387"/>
              <w:jc w:val="center"/>
              <w:rPr>
                <w:rFonts w:ascii="Times New Roman"/>
                <w:sz w:val="18"/>
              </w:rPr>
            </w:pPr>
            <w:r>
              <w:rPr>
                <w:rFonts w:ascii="Times New Roman"/>
                <w:sz w:val="18"/>
              </w:rPr>
              <w:t>$0.1234/$100</w:t>
            </w:r>
          </w:p>
        </w:tc>
      </w:tr>
      <w:tr>
        <w:trPr>
          <w:trHeight w:val="242" w:hRule="atLeast"/>
        </w:trPr>
        <w:tc>
          <w:tcPr>
            <w:tcW w:w="4334" w:type="dxa"/>
            <w:tcBorders>
              <w:top w:val="nil"/>
              <w:bottom w:val="nil"/>
              <w:right w:val="single" w:sz="6" w:space="0" w:color="000000"/>
            </w:tcBorders>
          </w:tcPr>
          <w:p>
            <w:pPr>
              <w:pStyle w:val="TableParagraph"/>
              <w:spacing w:line="206" w:lineRule="exact" w:before="16"/>
              <w:ind w:left="18"/>
              <w:rPr>
                <w:rFonts w:ascii="Times New Roman"/>
                <w:b/>
                <w:sz w:val="18"/>
              </w:rPr>
            </w:pPr>
            <w:r>
              <w:rPr>
                <w:rFonts w:ascii="Times New Roman"/>
                <w:b/>
                <w:sz w:val="18"/>
              </w:rPr>
              <w:t>TRIA/CAT</w:t>
            </w:r>
          </w:p>
        </w:tc>
        <w:tc>
          <w:tcPr>
            <w:tcW w:w="2596" w:type="dxa"/>
            <w:tcBorders>
              <w:top w:val="nil"/>
              <w:left w:val="single" w:sz="6" w:space="0" w:color="000000"/>
              <w:bottom w:val="nil"/>
              <w:right w:val="single" w:sz="6" w:space="0" w:color="000000"/>
            </w:tcBorders>
          </w:tcPr>
          <w:p>
            <w:pPr>
              <w:pStyle w:val="TableParagraph"/>
              <w:spacing w:before="11"/>
              <w:ind w:left="546" w:right="512"/>
              <w:jc w:val="center"/>
              <w:rPr>
                <w:rFonts w:ascii="Times New Roman"/>
                <w:sz w:val="18"/>
              </w:rPr>
            </w:pPr>
            <w:r>
              <w:rPr>
                <w:rFonts w:ascii="Times New Roman"/>
                <w:sz w:val="18"/>
              </w:rPr>
              <w:t>Included</w:t>
            </w:r>
          </w:p>
        </w:tc>
        <w:tc>
          <w:tcPr>
            <w:tcW w:w="2356" w:type="dxa"/>
            <w:tcBorders>
              <w:top w:val="nil"/>
              <w:left w:val="single" w:sz="6" w:space="0" w:color="000000"/>
              <w:bottom w:val="nil"/>
            </w:tcBorders>
          </w:tcPr>
          <w:p>
            <w:pPr>
              <w:pStyle w:val="TableParagraph"/>
              <w:spacing w:before="11"/>
              <w:ind w:left="437" w:right="388"/>
              <w:jc w:val="center"/>
              <w:rPr>
                <w:rFonts w:ascii="Times New Roman"/>
                <w:sz w:val="18"/>
              </w:rPr>
            </w:pPr>
            <w:r>
              <w:rPr>
                <w:rFonts w:ascii="Times New Roman"/>
                <w:sz w:val="18"/>
              </w:rPr>
              <w:t>Included</w:t>
            </w:r>
          </w:p>
        </w:tc>
      </w:tr>
      <w:tr>
        <w:trPr>
          <w:trHeight w:val="246" w:hRule="atLeast"/>
        </w:trPr>
        <w:tc>
          <w:tcPr>
            <w:tcW w:w="4334" w:type="dxa"/>
            <w:tcBorders>
              <w:top w:val="nil"/>
              <w:bottom w:val="nil"/>
              <w:right w:val="single" w:sz="6" w:space="0" w:color="000000"/>
            </w:tcBorders>
          </w:tcPr>
          <w:p>
            <w:pPr>
              <w:pStyle w:val="TableParagraph"/>
              <w:spacing w:before="18"/>
              <w:ind w:left="18"/>
              <w:rPr>
                <w:rFonts w:ascii="Times New Roman"/>
                <w:b/>
                <w:sz w:val="18"/>
              </w:rPr>
            </w:pPr>
            <w:r>
              <w:rPr>
                <w:rFonts w:ascii="Times New Roman"/>
                <w:b/>
                <w:sz w:val="18"/>
              </w:rPr>
              <w:t>Surcharges and Assessments</w:t>
            </w:r>
          </w:p>
        </w:tc>
        <w:tc>
          <w:tcPr>
            <w:tcW w:w="2596" w:type="dxa"/>
            <w:tcBorders>
              <w:top w:val="nil"/>
              <w:left w:val="single" w:sz="6" w:space="0" w:color="000000"/>
              <w:bottom w:val="nil"/>
              <w:right w:val="single" w:sz="6" w:space="0" w:color="000000"/>
            </w:tcBorders>
          </w:tcPr>
          <w:p>
            <w:pPr>
              <w:pStyle w:val="TableParagraph"/>
              <w:spacing w:before="11"/>
              <w:ind w:left="506" w:right="530"/>
              <w:jc w:val="center"/>
              <w:rPr>
                <w:rFonts w:ascii="Times New Roman"/>
                <w:sz w:val="18"/>
              </w:rPr>
            </w:pPr>
            <w:r>
              <w:rPr>
                <w:rFonts w:ascii="Times New Roman"/>
                <w:sz w:val="18"/>
              </w:rPr>
              <w:t>$334,056</w:t>
            </w:r>
          </w:p>
        </w:tc>
        <w:tc>
          <w:tcPr>
            <w:tcW w:w="2356" w:type="dxa"/>
            <w:tcBorders>
              <w:top w:val="nil"/>
              <w:left w:val="single" w:sz="6" w:space="0" w:color="000000"/>
              <w:bottom w:val="nil"/>
            </w:tcBorders>
          </w:tcPr>
          <w:p>
            <w:pPr>
              <w:pStyle w:val="TableParagraph"/>
              <w:spacing w:before="11"/>
              <w:ind w:left="395" w:right="404"/>
              <w:jc w:val="center"/>
              <w:rPr>
                <w:rFonts w:ascii="Times New Roman"/>
                <w:sz w:val="18"/>
              </w:rPr>
            </w:pPr>
            <w:r>
              <w:rPr>
                <w:rFonts w:ascii="Times New Roman"/>
                <w:sz w:val="18"/>
              </w:rPr>
              <w:t>$220,678</w:t>
            </w:r>
          </w:p>
        </w:tc>
      </w:tr>
      <w:tr>
        <w:trPr>
          <w:trHeight w:val="235" w:hRule="atLeast"/>
        </w:trPr>
        <w:tc>
          <w:tcPr>
            <w:tcW w:w="4334" w:type="dxa"/>
            <w:tcBorders>
              <w:top w:val="nil"/>
              <w:bottom w:val="nil"/>
              <w:right w:val="single" w:sz="6" w:space="0" w:color="000000"/>
            </w:tcBorders>
          </w:tcPr>
          <w:p>
            <w:pPr>
              <w:pStyle w:val="TableParagraph"/>
              <w:spacing w:before="29"/>
              <w:ind w:left="15"/>
              <w:rPr>
                <w:rFonts w:ascii="Times New Roman"/>
                <w:b/>
                <w:sz w:val="16"/>
              </w:rPr>
            </w:pPr>
            <w:r>
              <w:rPr>
                <w:rFonts w:ascii="Times New Roman"/>
                <w:b/>
                <w:w w:val="105"/>
                <w:sz w:val="16"/>
              </w:rPr>
              <w:t>MAXIMUM LOSS CONTENT</w:t>
            </w:r>
          </w:p>
        </w:tc>
        <w:tc>
          <w:tcPr>
            <w:tcW w:w="2596" w:type="dxa"/>
            <w:tcBorders>
              <w:top w:val="nil"/>
              <w:left w:val="single" w:sz="6" w:space="0" w:color="000000"/>
              <w:bottom w:val="nil"/>
              <w:right w:val="single" w:sz="6" w:space="0" w:color="000000"/>
            </w:tcBorders>
          </w:tcPr>
          <w:p>
            <w:pPr>
              <w:pStyle w:val="TableParagraph"/>
              <w:spacing w:line="203" w:lineRule="exact" w:before="12"/>
              <w:ind w:left="504" w:right="530"/>
              <w:jc w:val="center"/>
              <w:rPr>
                <w:rFonts w:ascii="Times New Roman"/>
                <w:sz w:val="18"/>
              </w:rPr>
            </w:pPr>
            <w:r>
              <w:rPr>
                <w:rFonts w:ascii="Times New Roman"/>
                <w:sz w:val="18"/>
              </w:rPr>
              <w:t>$4,144,800</w:t>
            </w:r>
          </w:p>
        </w:tc>
        <w:tc>
          <w:tcPr>
            <w:tcW w:w="2356" w:type="dxa"/>
            <w:tcBorders>
              <w:top w:val="nil"/>
              <w:left w:val="single" w:sz="6" w:space="0" w:color="000000"/>
              <w:bottom w:val="nil"/>
            </w:tcBorders>
          </w:tcPr>
          <w:p>
            <w:pPr>
              <w:pStyle w:val="TableParagraph"/>
              <w:spacing w:line="203" w:lineRule="exact" w:before="12"/>
              <w:ind w:left="392" w:right="404"/>
              <w:jc w:val="center"/>
              <w:rPr>
                <w:rFonts w:ascii="Times New Roman"/>
                <w:sz w:val="18"/>
              </w:rPr>
            </w:pPr>
            <w:r>
              <w:rPr>
                <w:rFonts w:ascii="Times New Roman"/>
                <w:sz w:val="18"/>
              </w:rPr>
              <w:t>$3,832,500</w:t>
            </w:r>
          </w:p>
        </w:tc>
      </w:tr>
      <w:tr>
        <w:trPr>
          <w:trHeight w:val="237" w:hRule="atLeast"/>
        </w:trPr>
        <w:tc>
          <w:tcPr>
            <w:tcW w:w="4334" w:type="dxa"/>
            <w:tcBorders>
              <w:top w:val="nil"/>
              <w:bottom w:val="nil"/>
              <w:right w:val="single" w:sz="6" w:space="0" w:color="000000"/>
            </w:tcBorders>
            <w:shd w:val="clear" w:color="auto" w:fill="BFBFBF"/>
          </w:tcPr>
          <w:p>
            <w:pPr>
              <w:pStyle w:val="TableParagraph"/>
              <w:spacing w:line="206" w:lineRule="exact" w:before="12"/>
              <w:ind w:left="18"/>
              <w:rPr>
                <w:rFonts w:ascii="Times New Roman"/>
                <w:b/>
                <w:sz w:val="18"/>
              </w:rPr>
            </w:pPr>
            <w:r>
              <w:rPr>
                <w:rFonts w:ascii="Times New Roman"/>
                <w:b/>
                <w:sz w:val="18"/>
              </w:rPr>
              <w:t>TOTAL FIXED COST</w:t>
            </w:r>
          </w:p>
        </w:tc>
        <w:tc>
          <w:tcPr>
            <w:tcW w:w="2596" w:type="dxa"/>
            <w:tcBorders>
              <w:top w:val="nil"/>
              <w:left w:val="single" w:sz="6" w:space="0" w:color="000000"/>
              <w:bottom w:val="nil"/>
              <w:right w:val="single" w:sz="6" w:space="0" w:color="000000"/>
            </w:tcBorders>
            <w:shd w:val="clear" w:color="auto" w:fill="BFBFBF"/>
          </w:tcPr>
          <w:p>
            <w:pPr>
              <w:pStyle w:val="TableParagraph"/>
              <w:spacing w:line="206" w:lineRule="exact" w:before="12"/>
              <w:ind w:left="501" w:right="530"/>
              <w:jc w:val="center"/>
              <w:rPr>
                <w:rFonts w:ascii="Times New Roman"/>
                <w:b/>
                <w:sz w:val="18"/>
              </w:rPr>
            </w:pPr>
            <w:r>
              <w:rPr>
                <w:rFonts w:ascii="Times New Roman"/>
                <w:b/>
                <w:sz w:val="18"/>
              </w:rPr>
              <w:t>$1,649,110</w:t>
            </w:r>
          </w:p>
        </w:tc>
        <w:tc>
          <w:tcPr>
            <w:tcW w:w="2356" w:type="dxa"/>
            <w:tcBorders>
              <w:top w:val="nil"/>
              <w:left w:val="single" w:sz="6" w:space="0" w:color="000000"/>
              <w:bottom w:val="nil"/>
            </w:tcBorders>
            <w:shd w:val="clear" w:color="auto" w:fill="BFBFBF"/>
          </w:tcPr>
          <w:p>
            <w:pPr>
              <w:pStyle w:val="TableParagraph"/>
              <w:spacing w:line="206" w:lineRule="exact" w:before="12"/>
              <w:ind w:left="391" w:right="404"/>
              <w:jc w:val="center"/>
              <w:rPr>
                <w:rFonts w:ascii="Times New Roman"/>
                <w:b/>
                <w:sz w:val="18"/>
              </w:rPr>
            </w:pPr>
            <w:r>
              <w:rPr>
                <w:rFonts w:ascii="Times New Roman"/>
                <w:b/>
                <w:sz w:val="18"/>
              </w:rPr>
              <w:t>$1,431,365</w:t>
            </w:r>
          </w:p>
        </w:tc>
      </w:tr>
      <w:tr>
        <w:trPr>
          <w:trHeight w:val="66" w:hRule="atLeast"/>
        </w:trPr>
        <w:tc>
          <w:tcPr>
            <w:tcW w:w="4334" w:type="dxa"/>
            <w:tcBorders>
              <w:top w:val="nil"/>
              <w:right w:val="single" w:sz="6" w:space="0" w:color="000000"/>
            </w:tcBorders>
            <w:shd w:val="clear" w:color="auto" w:fill="FFFF99"/>
          </w:tcPr>
          <w:p>
            <w:pPr>
              <w:pStyle w:val="TableParagraph"/>
              <w:rPr>
                <w:rFonts w:ascii="Times New Roman"/>
                <w:sz w:val="2"/>
              </w:rPr>
            </w:pPr>
          </w:p>
        </w:tc>
        <w:tc>
          <w:tcPr>
            <w:tcW w:w="2596" w:type="dxa"/>
            <w:tcBorders>
              <w:top w:val="nil"/>
              <w:left w:val="single" w:sz="6" w:space="0" w:color="000000"/>
              <w:right w:val="single" w:sz="6" w:space="0" w:color="000000"/>
            </w:tcBorders>
            <w:shd w:val="clear" w:color="auto" w:fill="FFFF99"/>
          </w:tcPr>
          <w:p>
            <w:pPr>
              <w:pStyle w:val="TableParagraph"/>
              <w:rPr>
                <w:rFonts w:ascii="Times New Roman"/>
                <w:sz w:val="2"/>
              </w:rPr>
            </w:pPr>
          </w:p>
        </w:tc>
        <w:tc>
          <w:tcPr>
            <w:tcW w:w="2356" w:type="dxa"/>
            <w:tcBorders>
              <w:top w:val="nil"/>
              <w:left w:val="single" w:sz="6" w:space="0" w:color="000000"/>
            </w:tcBorders>
            <w:shd w:val="clear" w:color="auto" w:fill="FFFF99"/>
          </w:tcPr>
          <w:p>
            <w:pPr>
              <w:pStyle w:val="TableParagraph"/>
              <w:rPr>
                <w:rFonts w:ascii="Times New Roman"/>
                <w:sz w:val="2"/>
              </w:rPr>
            </w:pPr>
          </w:p>
        </w:tc>
      </w:tr>
      <w:tr>
        <w:trPr>
          <w:trHeight w:val="211" w:hRule="atLeast"/>
        </w:trPr>
        <w:tc>
          <w:tcPr>
            <w:tcW w:w="9286" w:type="dxa"/>
            <w:gridSpan w:val="3"/>
            <w:shd w:val="clear" w:color="auto" w:fill="FFFF99"/>
          </w:tcPr>
          <w:p>
            <w:pPr>
              <w:pStyle w:val="TableParagraph"/>
              <w:spacing w:line="192" w:lineRule="exact"/>
              <w:ind w:left="5870"/>
              <w:rPr>
                <w:rFonts w:ascii="Times New Roman"/>
                <w:b/>
                <w:sz w:val="18"/>
              </w:rPr>
            </w:pPr>
            <w:r>
              <w:rPr>
                <w:rFonts w:ascii="Times New Roman"/>
                <w:b/>
                <w:sz w:val="18"/>
              </w:rPr>
              <w:t>Estimated Claim Handling Charges</w:t>
            </w:r>
          </w:p>
        </w:tc>
      </w:tr>
      <w:tr>
        <w:trPr>
          <w:trHeight w:val="311" w:hRule="atLeast"/>
        </w:trPr>
        <w:tc>
          <w:tcPr>
            <w:tcW w:w="4334" w:type="dxa"/>
            <w:tcBorders>
              <w:bottom w:val="nil"/>
              <w:right w:val="single" w:sz="6" w:space="0" w:color="000000"/>
            </w:tcBorders>
          </w:tcPr>
          <w:p>
            <w:pPr>
              <w:pStyle w:val="TableParagraph"/>
              <w:spacing w:line="201" w:lineRule="exact" w:before="90"/>
              <w:ind w:left="18"/>
              <w:rPr>
                <w:rFonts w:ascii="Times New Roman"/>
                <w:b/>
                <w:sz w:val="18"/>
              </w:rPr>
            </w:pPr>
            <w:r>
              <w:rPr>
                <w:rFonts w:ascii="Times New Roman"/>
                <w:b/>
                <w:sz w:val="18"/>
              </w:rPr>
              <w:t>Per Claim CB</w:t>
            </w:r>
          </w:p>
        </w:tc>
        <w:tc>
          <w:tcPr>
            <w:tcW w:w="2596" w:type="dxa"/>
            <w:tcBorders>
              <w:left w:val="single" w:sz="6" w:space="0" w:color="000000"/>
              <w:bottom w:val="nil"/>
              <w:right w:val="single" w:sz="6" w:space="0" w:color="000000"/>
            </w:tcBorders>
          </w:tcPr>
          <w:p>
            <w:pPr>
              <w:pStyle w:val="TableParagraph"/>
              <w:spacing w:line="197" w:lineRule="exact" w:before="95"/>
              <w:ind w:left="506" w:right="530"/>
              <w:jc w:val="center"/>
              <w:rPr>
                <w:rFonts w:ascii="Times New Roman"/>
                <w:sz w:val="18"/>
              </w:rPr>
            </w:pPr>
            <w:r>
              <w:rPr>
                <w:rFonts w:ascii="Times New Roman"/>
                <w:sz w:val="18"/>
              </w:rPr>
              <w:t>$1,325</w:t>
            </w:r>
          </w:p>
        </w:tc>
        <w:tc>
          <w:tcPr>
            <w:tcW w:w="2356" w:type="dxa"/>
            <w:tcBorders>
              <w:left w:val="single" w:sz="6" w:space="0" w:color="000000"/>
              <w:bottom w:val="nil"/>
            </w:tcBorders>
          </w:tcPr>
          <w:p>
            <w:pPr>
              <w:pStyle w:val="TableParagraph"/>
              <w:spacing w:line="197" w:lineRule="exact" w:before="95"/>
              <w:ind w:left="396" w:right="404"/>
              <w:jc w:val="center"/>
              <w:rPr>
                <w:rFonts w:ascii="Times New Roman"/>
                <w:sz w:val="18"/>
              </w:rPr>
            </w:pPr>
            <w:r>
              <w:rPr>
                <w:rFonts w:ascii="Times New Roman"/>
                <w:sz w:val="18"/>
              </w:rPr>
              <w:t>$1,325</w:t>
            </w:r>
          </w:p>
        </w:tc>
      </w:tr>
      <w:tr>
        <w:trPr>
          <w:trHeight w:val="223" w:hRule="atLeast"/>
        </w:trPr>
        <w:tc>
          <w:tcPr>
            <w:tcW w:w="4334" w:type="dxa"/>
            <w:tcBorders>
              <w:top w:val="nil"/>
              <w:bottom w:val="nil"/>
              <w:right w:val="single" w:sz="6" w:space="0" w:color="000000"/>
            </w:tcBorders>
          </w:tcPr>
          <w:p>
            <w:pPr>
              <w:pStyle w:val="TableParagraph"/>
              <w:spacing w:line="201" w:lineRule="exact" w:before="1"/>
              <w:ind w:left="18"/>
              <w:rPr>
                <w:rFonts w:ascii="Times New Roman"/>
                <w:b/>
                <w:sz w:val="18"/>
              </w:rPr>
            </w:pPr>
            <w:r>
              <w:rPr>
                <w:rFonts w:ascii="Times New Roman"/>
                <w:b/>
                <w:sz w:val="18"/>
              </w:rPr>
              <w:t>Per Claim CM</w:t>
            </w:r>
          </w:p>
        </w:tc>
        <w:tc>
          <w:tcPr>
            <w:tcW w:w="2596" w:type="dxa"/>
            <w:tcBorders>
              <w:top w:val="nil"/>
              <w:left w:val="single" w:sz="6" w:space="0" w:color="000000"/>
              <w:bottom w:val="nil"/>
              <w:right w:val="single" w:sz="6" w:space="0" w:color="000000"/>
            </w:tcBorders>
          </w:tcPr>
          <w:p>
            <w:pPr>
              <w:pStyle w:val="TableParagraph"/>
              <w:spacing w:line="197" w:lineRule="exact" w:before="6"/>
              <w:ind w:left="503" w:right="530"/>
              <w:jc w:val="center"/>
              <w:rPr>
                <w:rFonts w:ascii="Times New Roman"/>
                <w:sz w:val="18"/>
              </w:rPr>
            </w:pPr>
            <w:r>
              <w:rPr>
                <w:rFonts w:ascii="Times New Roman"/>
                <w:sz w:val="18"/>
              </w:rPr>
              <w:t>$160</w:t>
            </w:r>
          </w:p>
        </w:tc>
        <w:tc>
          <w:tcPr>
            <w:tcW w:w="2356" w:type="dxa"/>
            <w:tcBorders>
              <w:top w:val="nil"/>
              <w:left w:val="single" w:sz="6" w:space="0" w:color="000000"/>
              <w:bottom w:val="nil"/>
            </w:tcBorders>
          </w:tcPr>
          <w:p>
            <w:pPr>
              <w:pStyle w:val="TableParagraph"/>
              <w:spacing w:line="197" w:lineRule="exact" w:before="6"/>
              <w:ind w:left="394" w:right="404"/>
              <w:jc w:val="center"/>
              <w:rPr>
                <w:rFonts w:ascii="Times New Roman"/>
                <w:sz w:val="18"/>
              </w:rPr>
            </w:pPr>
            <w:r>
              <w:rPr>
                <w:rFonts w:ascii="Times New Roman"/>
                <w:sz w:val="18"/>
              </w:rPr>
              <w:t>$160</w:t>
            </w:r>
          </w:p>
        </w:tc>
      </w:tr>
      <w:tr>
        <w:trPr>
          <w:trHeight w:val="315" w:hRule="atLeast"/>
        </w:trPr>
        <w:tc>
          <w:tcPr>
            <w:tcW w:w="4334" w:type="dxa"/>
            <w:tcBorders>
              <w:top w:val="nil"/>
              <w:right w:val="single" w:sz="6" w:space="0" w:color="000000"/>
            </w:tcBorders>
          </w:tcPr>
          <w:p>
            <w:pPr>
              <w:pStyle w:val="TableParagraph"/>
              <w:spacing w:before="1"/>
              <w:ind w:left="18"/>
              <w:rPr>
                <w:rFonts w:ascii="Times New Roman"/>
                <w:b/>
                <w:sz w:val="18"/>
              </w:rPr>
            </w:pPr>
            <w:r>
              <w:rPr>
                <w:rFonts w:ascii="Times New Roman"/>
                <w:b/>
                <w:sz w:val="18"/>
              </w:rPr>
              <w:t>Per Claim CBx</w:t>
            </w:r>
          </w:p>
        </w:tc>
        <w:tc>
          <w:tcPr>
            <w:tcW w:w="2596" w:type="dxa"/>
            <w:tcBorders>
              <w:top w:val="nil"/>
              <w:left w:val="single" w:sz="6" w:space="0" w:color="000000"/>
              <w:right w:val="single" w:sz="6" w:space="0" w:color="000000"/>
            </w:tcBorders>
          </w:tcPr>
          <w:p>
            <w:pPr>
              <w:pStyle w:val="TableParagraph"/>
              <w:spacing w:before="6"/>
              <w:ind w:left="505" w:right="530"/>
              <w:jc w:val="center"/>
              <w:rPr>
                <w:rFonts w:ascii="Times New Roman"/>
                <w:sz w:val="18"/>
              </w:rPr>
            </w:pPr>
            <w:r>
              <w:rPr>
                <w:rFonts w:ascii="Times New Roman"/>
                <w:sz w:val="18"/>
              </w:rPr>
              <w:t>$65</w:t>
            </w:r>
          </w:p>
        </w:tc>
        <w:tc>
          <w:tcPr>
            <w:tcW w:w="2356" w:type="dxa"/>
            <w:tcBorders>
              <w:top w:val="nil"/>
              <w:left w:val="single" w:sz="6" w:space="0" w:color="000000"/>
            </w:tcBorders>
          </w:tcPr>
          <w:p>
            <w:pPr>
              <w:pStyle w:val="TableParagraph"/>
              <w:spacing w:before="6"/>
              <w:ind w:left="395" w:right="404"/>
              <w:jc w:val="center"/>
              <w:rPr>
                <w:rFonts w:ascii="Times New Roman"/>
                <w:sz w:val="18"/>
              </w:rPr>
            </w:pPr>
            <w:r>
              <w:rPr>
                <w:rFonts w:ascii="Times New Roman"/>
                <w:sz w:val="18"/>
              </w:rPr>
              <w:t>$65</w:t>
            </w:r>
          </w:p>
        </w:tc>
      </w:tr>
      <w:tr>
        <w:trPr>
          <w:trHeight w:val="211" w:hRule="atLeast"/>
        </w:trPr>
        <w:tc>
          <w:tcPr>
            <w:tcW w:w="9286" w:type="dxa"/>
            <w:gridSpan w:val="3"/>
            <w:shd w:val="clear" w:color="auto" w:fill="FFFF99"/>
          </w:tcPr>
          <w:p>
            <w:pPr>
              <w:pStyle w:val="TableParagraph"/>
              <w:spacing w:line="192" w:lineRule="exact"/>
              <w:ind w:left="6024"/>
              <w:rPr>
                <w:rFonts w:ascii="Times New Roman"/>
                <w:b/>
                <w:sz w:val="18"/>
              </w:rPr>
            </w:pPr>
            <w:r>
              <w:rPr>
                <w:rFonts w:ascii="Times New Roman"/>
                <w:b/>
                <w:sz w:val="18"/>
              </w:rPr>
              <w:t>Estimated Claim Handling Costs</w:t>
            </w:r>
          </w:p>
        </w:tc>
      </w:tr>
      <w:tr>
        <w:trPr>
          <w:trHeight w:val="90" w:hRule="atLeast"/>
        </w:trPr>
        <w:tc>
          <w:tcPr>
            <w:tcW w:w="4334" w:type="dxa"/>
            <w:tcBorders>
              <w:bottom w:val="nil"/>
              <w:right w:val="single" w:sz="6" w:space="0" w:color="000000"/>
            </w:tcBorders>
          </w:tcPr>
          <w:p>
            <w:pPr>
              <w:pStyle w:val="TableParagraph"/>
              <w:rPr>
                <w:rFonts w:ascii="Times New Roman"/>
                <w:sz w:val="4"/>
              </w:rPr>
            </w:pPr>
          </w:p>
        </w:tc>
        <w:tc>
          <w:tcPr>
            <w:tcW w:w="2596" w:type="dxa"/>
            <w:tcBorders>
              <w:left w:val="single" w:sz="6" w:space="0" w:color="000000"/>
              <w:bottom w:val="nil"/>
              <w:right w:val="single" w:sz="6" w:space="0" w:color="000000"/>
            </w:tcBorders>
          </w:tcPr>
          <w:p>
            <w:pPr>
              <w:pStyle w:val="TableParagraph"/>
              <w:rPr>
                <w:rFonts w:ascii="Times New Roman"/>
                <w:sz w:val="4"/>
              </w:rPr>
            </w:pPr>
          </w:p>
        </w:tc>
        <w:tc>
          <w:tcPr>
            <w:tcW w:w="2356" w:type="dxa"/>
            <w:tcBorders>
              <w:left w:val="single" w:sz="6" w:space="0" w:color="000000"/>
              <w:bottom w:val="nil"/>
            </w:tcBorders>
          </w:tcPr>
          <w:p>
            <w:pPr>
              <w:pStyle w:val="TableParagraph"/>
              <w:rPr>
                <w:rFonts w:ascii="Times New Roman"/>
                <w:sz w:val="4"/>
              </w:rPr>
            </w:pPr>
          </w:p>
        </w:tc>
      </w:tr>
      <w:tr>
        <w:trPr>
          <w:trHeight w:val="212" w:hRule="atLeast"/>
        </w:trPr>
        <w:tc>
          <w:tcPr>
            <w:tcW w:w="4334" w:type="dxa"/>
            <w:tcBorders>
              <w:top w:val="nil"/>
              <w:right w:val="single" w:sz="6" w:space="0" w:color="000000"/>
            </w:tcBorders>
            <w:shd w:val="clear" w:color="auto" w:fill="BFBFBF"/>
          </w:tcPr>
          <w:p>
            <w:pPr>
              <w:pStyle w:val="TableParagraph"/>
              <w:rPr>
                <w:rFonts w:ascii="Times New Roman"/>
                <w:sz w:val="14"/>
              </w:rPr>
            </w:pPr>
          </w:p>
        </w:tc>
        <w:tc>
          <w:tcPr>
            <w:tcW w:w="2596" w:type="dxa"/>
            <w:tcBorders>
              <w:top w:val="nil"/>
              <w:left w:val="single" w:sz="6" w:space="0" w:color="000000"/>
              <w:right w:val="single" w:sz="6" w:space="0" w:color="000000"/>
            </w:tcBorders>
            <w:shd w:val="clear" w:color="auto" w:fill="BFBFBF"/>
          </w:tcPr>
          <w:p>
            <w:pPr>
              <w:pStyle w:val="TableParagraph"/>
              <w:spacing w:line="193" w:lineRule="exact"/>
              <w:ind w:left="506" w:right="530"/>
              <w:jc w:val="center"/>
              <w:rPr>
                <w:rFonts w:ascii="Times New Roman"/>
                <w:b/>
                <w:sz w:val="18"/>
              </w:rPr>
            </w:pPr>
            <w:r>
              <w:rPr>
                <w:rFonts w:ascii="Times New Roman"/>
                <w:b/>
                <w:sz w:val="18"/>
              </w:rPr>
              <w:t>$70,665</w:t>
            </w:r>
          </w:p>
        </w:tc>
        <w:tc>
          <w:tcPr>
            <w:tcW w:w="2356" w:type="dxa"/>
            <w:tcBorders>
              <w:top w:val="nil"/>
              <w:left w:val="single" w:sz="6" w:space="0" w:color="000000"/>
            </w:tcBorders>
            <w:shd w:val="clear" w:color="auto" w:fill="BFBFBF"/>
          </w:tcPr>
          <w:p>
            <w:pPr>
              <w:pStyle w:val="TableParagraph"/>
              <w:spacing w:line="193" w:lineRule="exact"/>
              <w:ind w:left="397" w:right="404"/>
              <w:jc w:val="center"/>
              <w:rPr>
                <w:rFonts w:ascii="Times New Roman"/>
                <w:b/>
                <w:sz w:val="18"/>
              </w:rPr>
            </w:pPr>
            <w:r>
              <w:rPr>
                <w:rFonts w:ascii="Times New Roman"/>
                <w:b/>
                <w:sz w:val="18"/>
              </w:rPr>
              <w:t>$78,835</w:t>
            </w:r>
          </w:p>
        </w:tc>
      </w:tr>
      <w:tr>
        <w:trPr>
          <w:trHeight w:val="211" w:hRule="atLeast"/>
        </w:trPr>
        <w:tc>
          <w:tcPr>
            <w:tcW w:w="9286" w:type="dxa"/>
            <w:gridSpan w:val="3"/>
            <w:shd w:val="clear" w:color="auto" w:fill="FFFF99"/>
          </w:tcPr>
          <w:p>
            <w:pPr>
              <w:pStyle w:val="TableParagraph"/>
              <w:spacing w:line="192" w:lineRule="exact"/>
              <w:ind w:right="1667"/>
              <w:jc w:val="right"/>
              <w:rPr>
                <w:rFonts w:ascii="Times New Roman"/>
                <w:b/>
                <w:sz w:val="18"/>
              </w:rPr>
            </w:pPr>
            <w:r>
              <w:rPr>
                <w:rFonts w:ascii="Times New Roman"/>
                <w:b/>
                <w:sz w:val="18"/>
              </w:rPr>
              <w:t>Cost Summary</w:t>
            </w:r>
          </w:p>
        </w:tc>
      </w:tr>
      <w:tr>
        <w:trPr>
          <w:trHeight w:val="90" w:hRule="atLeast"/>
        </w:trPr>
        <w:tc>
          <w:tcPr>
            <w:tcW w:w="4334" w:type="dxa"/>
            <w:tcBorders>
              <w:bottom w:val="nil"/>
              <w:right w:val="single" w:sz="6" w:space="0" w:color="000000"/>
            </w:tcBorders>
          </w:tcPr>
          <w:p>
            <w:pPr>
              <w:pStyle w:val="TableParagraph"/>
              <w:rPr>
                <w:rFonts w:ascii="Times New Roman"/>
                <w:sz w:val="4"/>
              </w:rPr>
            </w:pPr>
          </w:p>
        </w:tc>
        <w:tc>
          <w:tcPr>
            <w:tcW w:w="2596" w:type="dxa"/>
            <w:tcBorders>
              <w:left w:val="single" w:sz="6" w:space="0" w:color="000000"/>
              <w:bottom w:val="nil"/>
              <w:right w:val="single" w:sz="6" w:space="0" w:color="000000"/>
            </w:tcBorders>
          </w:tcPr>
          <w:p>
            <w:pPr>
              <w:pStyle w:val="TableParagraph"/>
              <w:rPr>
                <w:rFonts w:ascii="Times New Roman"/>
                <w:sz w:val="4"/>
              </w:rPr>
            </w:pPr>
          </w:p>
        </w:tc>
        <w:tc>
          <w:tcPr>
            <w:tcW w:w="2356" w:type="dxa"/>
            <w:tcBorders>
              <w:left w:val="single" w:sz="6" w:space="0" w:color="000000"/>
              <w:bottom w:val="nil"/>
            </w:tcBorders>
          </w:tcPr>
          <w:p>
            <w:pPr>
              <w:pStyle w:val="TableParagraph"/>
              <w:rPr>
                <w:rFonts w:ascii="Times New Roman"/>
                <w:sz w:val="4"/>
              </w:rPr>
            </w:pPr>
          </w:p>
        </w:tc>
      </w:tr>
      <w:tr>
        <w:trPr>
          <w:trHeight w:val="237" w:hRule="atLeast"/>
        </w:trPr>
        <w:tc>
          <w:tcPr>
            <w:tcW w:w="4334" w:type="dxa"/>
            <w:tcBorders>
              <w:top w:val="nil"/>
              <w:bottom w:val="nil"/>
              <w:right w:val="single" w:sz="6" w:space="0" w:color="000000"/>
            </w:tcBorders>
            <w:shd w:val="clear" w:color="auto" w:fill="BFBFBF"/>
          </w:tcPr>
          <w:p>
            <w:pPr>
              <w:pStyle w:val="TableParagraph"/>
              <w:spacing w:line="206" w:lineRule="exact" w:before="12"/>
              <w:ind w:left="18"/>
              <w:rPr>
                <w:rFonts w:ascii="Times New Roman"/>
                <w:b/>
                <w:sz w:val="18"/>
              </w:rPr>
            </w:pPr>
            <w:r>
              <w:rPr>
                <w:rFonts w:ascii="Times New Roman"/>
                <w:b/>
                <w:sz w:val="18"/>
              </w:rPr>
              <w:t>TOTAL ESTIMATED COST</w:t>
            </w:r>
          </w:p>
        </w:tc>
        <w:tc>
          <w:tcPr>
            <w:tcW w:w="2596" w:type="dxa"/>
            <w:tcBorders>
              <w:top w:val="nil"/>
              <w:left w:val="single" w:sz="6" w:space="0" w:color="000000"/>
              <w:bottom w:val="nil"/>
              <w:right w:val="single" w:sz="6" w:space="0" w:color="000000"/>
            </w:tcBorders>
            <w:shd w:val="clear" w:color="auto" w:fill="BFBFBF"/>
          </w:tcPr>
          <w:p>
            <w:pPr>
              <w:pStyle w:val="TableParagraph"/>
              <w:spacing w:line="206" w:lineRule="exact" w:before="12"/>
              <w:ind w:left="500" w:right="530"/>
              <w:jc w:val="center"/>
              <w:rPr>
                <w:rFonts w:ascii="Times New Roman"/>
                <w:b/>
                <w:sz w:val="18"/>
              </w:rPr>
            </w:pPr>
            <w:r>
              <w:rPr>
                <w:rFonts w:ascii="Times New Roman"/>
                <w:b/>
                <w:sz w:val="18"/>
              </w:rPr>
              <w:t>$1,719,775</w:t>
            </w:r>
          </w:p>
        </w:tc>
        <w:tc>
          <w:tcPr>
            <w:tcW w:w="2356" w:type="dxa"/>
            <w:tcBorders>
              <w:top w:val="nil"/>
              <w:left w:val="single" w:sz="6" w:space="0" w:color="000000"/>
              <w:bottom w:val="nil"/>
              <w:right w:val="single" w:sz="6" w:space="0" w:color="000000"/>
            </w:tcBorders>
            <w:shd w:val="clear" w:color="auto" w:fill="BFBFBF"/>
          </w:tcPr>
          <w:p>
            <w:pPr>
              <w:pStyle w:val="TableParagraph"/>
              <w:spacing w:line="206" w:lineRule="exact" w:before="12"/>
              <w:ind w:left="730" w:right="761"/>
              <w:jc w:val="center"/>
              <w:rPr>
                <w:rFonts w:ascii="Times New Roman"/>
                <w:b/>
                <w:sz w:val="18"/>
              </w:rPr>
            </w:pPr>
            <w:r>
              <w:rPr>
                <w:rFonts w:ascii="Times New Roman"/>
                <w:b/>
                <w:sz w:val="18"/>
              </w:rPr>
              <w:t>$1,510,200</w:t>
            </w:r>
          </w:p>
        </w:tc>
      </w:tr>
      <w:tr>
        <w:trPr>
          <w:trHeight w:val="87" w:hRule="atLeast"/>
        </w:trPr>
        <w:tc>
          <w:tcPr>
            <w:tcW w:w="4334" w:type="dxa"/>
            <w:tcBorders>
              <w:top w:val="nil"/>
              <w:right w:val="single" w:sz="6" w:space="0" w:color="000000"/>
            </w:tcBorders>
          </w:tcPr>
          <w:p>
            <w:pPr>
              <w:pStyle w:val="TableParagraph"/>
              <w:rPr>
                <w:rFonts w:ascii="Times New Roman"/>
                <w:sz w:val="4"/>
              </w:rPr>
            </w:pPr>
          </w:p>
        </w:tc>
        <w:tc>
          <w:tcPr>
            <w:tcW w:w="2596" w:type="dxa"/>
            <w:tcBorders>
              <w:top w:val="nil"/>
              <w:left w:val="single" w:sz="6" w:space="0" w:color="000000"/>
              <w:right w:val="single" w:sz="6" w:space="0" w:color="000000"/>
            </w:tcBorders>
          </w:tcPr>
          <w:p>
            <w:pPr>
              <w:pStyle w:val="TableParagraph"/>
              <w:rPr>
                <w:rFonts w:ascii="Times New Roman"/>
                <w:sz w:val="4"/>
              </w:rPr>
            </w:pPr>
          </w:p>
        </w:tc>
        <w:tc>
          <w:tcPr>
            <w:tcW w:w="2356" w:type="dxa"/>
            <w:tcBorders>
              <w:top w:val="nil"/>
              <w:left w:val="single" w:sz="6" w:space="0" w:color="000000"/>
              <w:right w:val="single" w:sz="6" w:space="0" w:color="000000"/>
            </w:tcBorders>
          </w:tcPr>
          <w:p>
            <w:pPr>
              <w:pStyle w:val="TableParagraph"/>
              <w:rPr>
                <w:rFonts w:ascii="Times New Roman"/>
                <w:sz w:val="4"/>
              </w:rPr>
            </w:pPr>
          </w:p>
        </w:tc>
      </w:tr>
      <w:tr>
        <w:trPr>
          <w:trHeight w:val="211" w:hRule="atLeast"/>
        </w:trPr>
        <w:tc>
          <w:tcPr>
            <w:tcW w:w="9286" w:type="dxa"/>
            <w:gridSpan w:val="3"/>
            <w:shd w:val="clear" w:color="auto" w:fill="FFFF99"/>
          </w:tcPr>
          <w:p>
            <w:pPr>
              <w:pStyle w:val="TableParagraph"/>
              <w:spacing w:line="192" w:lineRule="exact"/>
              <w:ind w:right="1187"/>
              <w:jc w:val="right"/>
              <w:rPr>
                <w:rFonts w:ascii="Times New Roman"/>
                <w:b/>
                <w:sz w:val="18"/>
              </w:rPr>
            </w:pPr>
            <w:r>
              <w:rPr>
                <w:rFonts w:ascii="Times New Roman"/>
                <w:b/>
                <w:sz w:val="18"/>
              </w:rPr>
              <w:t>Collateral Requirements</w:t>
            </w:r>
          </w:p>
        </w:tc>
      </w:tr>
      <w:tr>
        <w:trPr>
          <w:trHeight w:val="327" w:hRule="atLeast"/>
        </w:trPr>
        <w:tc>
          <w:tcPr>
            <w:tcW w:w="4334" w:type="dxa"/>
            <w:tcBorders>
              <w:bottom w:val="nil"/>
              <w:right w:val="single" w:sz="6" w:space="0" w:color="000000"/>
            </w:tcBorders>
          </w:tcPr>
          <w:p>
            <w:pPr>
              <w:pStyle w:val="TableParagraph"/>
              <w:spacing w:line="205" w:lineRule="exact" w:before="102"/>
              <w:ind w:left="18"/>
              <w:rPr>
                <w:rFonts w:ascii="Times New Roman"/>
                <w:b/>
                <w:sz w:val="18"/>
              </w:rPr>
            </w:pPr>
            <w:r>
              <w:rPr>
                <w:rFonts w:ascii="Times New Roman"/>
                <w:b/>
                <w:sz w:val="18"/>
              </w:rPr>
              <w:t>Cash Collateral Held (Drawdown)</w:t>
            </w:r>
          </w:p>
        </w:tc>
        <w:tc>
          <w:tcPr>
            <w:tcW w:w="2596" w:type="dxa"/>
            <w:tcBorders>
              <w:left w:val="single" w:sz="6" w:space="0" w:color="000000"/>
              <w:bottom w:val="nil"/>
              <w:right w:val="single" w:sz="6" w:space="0" w:color="000000"/>
            </w:tcBorders>
          </w:tcPr>
          <w:p>
            <w:pPr>
              <w:pStyle w:val="TableParagraph"/>
              <w:spacing w:line="205" w:lineRule="exact" w:before="102"/>
              <w:ind w:left="546" w:right="513"/>
              <w:jc w:val="center"/>
              <w:rPr>
                <w:rFonts w:ascii="Times New Roman"/>
                <w:sz w:val="18"/>
              </w:rPr>
            </w:pPr>
            <w:r>
              <w:rPr>
                <w:rFonts w:ascii="Times New Roman"/>
                <w:sz w:val="18"/>
              </w:rPr>
              <w:t>$4,521,522</w:t>
            </w:r>
          </w:p>
        </w:tc>
        <w:tc>
          <w:tcPr>
            <w:tcW w:w="2356" w:type="dxa"/>
            <w:tcBorders>
              <w:left w:val="single" w:sz="6" w:space="0" w:color="000000"/>
              <w:bottom w:val="nil"/>
            </w:tcBorders>
          </w:tcPr>
          <w:p>
            <w:pPr>
              <w:pStyle w:val="TableParagraph"/>
              <w:spacing w:line="205" w:lineRule="exact" w:before="102"/>
              <w:ind w:left="437" w:right="389"/>
              <w:jc w:val="center"/>
              <w:rPr>
                <w:rFonts w:ascii="Times New Roman"/>
                <w:sz w:val="18"/>
              </w:rPr>
            </w:pPr>
            <w:r>
              <w:rPr>
                <w:rFonts w:ascii="Times New Roman"/>
                <w:sz w:val="18"/>
              </w:rPr>
              <w:t>$2,513,477</w:t>
            </w:r>
          </w:p>
        </w:tc>
      </w:tr>
      <w:tr>
        <w:trPr>
          <w:trHeight w:val="234" w:hRule="atLeast"/>
        </w:trPr>
        <w:tc>
          <w:tcPr>
            <w:tcW w:w="4334" w:type="dxa"/>
            <w:tcBorders>
              <w:top w:val="nil"/>
              <w:bottom w:val="nil"/>
              <w:right w:val="single" w:sz="6" w:space="0" w:color="000000"/>
            </w:tcBorders>
          </w:tcPr>
          <w:p>
            <w:pPr>
              <w:pStyle w:val="TableParagraph"/>
              <w:spacing w:line="204" w:lineRule="exact" w:before="10"/>
              <w:ind w:left="18"/>
              <w:rPr>
                <w:rFonts w:ascii="Times New Roman"/>
                <w:b/>
                <w:sz w:val="18"/>
              </w:rPr>
            </w:pPr>
            <w:r>
              <w:rPr>
                <w:rFonts w:ascii="Times New Roman"/>
                <w:b/>
                <w:sz w:val="18"/>
              </w:rPr>
              <w:t>Cash Collateral Required All Years (Drawdown)</w:t>
            </w:r>
          </w:p>
        </w:tc>
        <w:tc>
          <w:tcPr>
            <w:tcW w:w="2596" w:type="dxa"/>
            <w:tcBorders>
              <w:top w:val="nil"/>
              <w:left w:val="single" w:sz="6" w:space="0" w:color="000000"/>
              <w:bottom w:val="nil"/>
              <w:right w:val="single" w:sz="6" w:space="0" w:color="000000"/>
            </w:tcBorders>
          </w:tcPr>
          <w:p>
            <w:pPr>
              <w:pStyle w:val="TableParagraph"/>
              <w:spacing w:line="204" w:lineRule="exact" w:before="10"/>
              <w:ind w:left="546" w:right="513"/>
              <w:jc w:val="center"/>
              <w:rPr>
                <w:rFonts w:ascii="Times New Roman"/>
                <w:sz w:val="18"/>
              </w:rPr>
            </w:pPr>
            <w:r>
              <w:rPr>
                <w:rFonts w:ascii="Times New Roman"/>
                <w:sz w:val="18"/>
              </w:rPr>
              <w:t>$6,021,522</w:t>
            </w:r>
          </w:p>
        </w:tc>
        <w:tc>
          <w:tcPr>
            <w:tcW w:w="2356" w:type="dxa"/>
            <w:tcBorders>
              <w:top w:val="nil"/>
              <w:left w:val="single" w:sz="6" w:space="0" w:color="000000"/>
              <w:bottom w:val="nil"/>
            </w:tcBorders>
          </w:tcPr>
          <w:p>
            <w:pPr>
              <w:pStyle w:val="TableParagraph"/>
              <w:spacing w:line="204" w:lineRule="exact" w:before="10"/>
              <w:ind w:left="437" w:right="389"/>
              <w:jc w:val="center"/>
              <w:rPr>
                <w:rFonts w:ascii="Times New Roman"/>
                <w:sz w:val="18"/>
              </w:rPr>
            </w:pPr>
            <w:r>
              <w:rPr>
                <w:rFonts w:ascii="Times New Roman"/>
                <w:sz w:val="18"/>
              </w:rPr>
              <w:t>$3,763,477</w:t>
            </w:r>
          </w:p>
        </w:tc>
      </w:tr>
      <w:tr>
        <w:trPr>
          <w:trHeight w:val="224" w:hRule="atLeast"/>
        </w:trPr>
        <w:tc>
          <w:tcPr>
            <w:tcW w:w="4334" w:type="dxa"/>
            <w:tcBorders>
              <w:top w:val="nil"/>
              <w:right w:val="single" w:sz="6" w:space="0" w:color="000000"/>
            </w:tcBorders>
          </w:tcPr>
          <w:p>
            <w:pPr>
              <w:pStyle w:val="TableParagraph"/>
              <w:spacing w:line="195" w:lineRule="exact" w:before="9"/>
              <w:ind w:left="18"/>
              <w:rPr>
                <w:rFonts w:ascii="Times New Roman"/>
                <w:b/>
                <w:sz w:val="18"/>
              </w:rPr>
            </w:pPr>
            <w:r>
              <w:rPr>
                <w:rFonts w:ascii="Times New Roman"/>
                <w:b/>
                <w:sz w:val="18"/>
              </w:rPr>
              <w:t>Additional Cash Deposit (Drawdown)</w:t>
            </w:r>
          </w:p>
        </w:tc>
        <w:tc>
          <w:tcPr>
            <w:tcW w:w="2596" w:type="dxa"/>
            <w:tcBorders>
              <w:top w:val="nil"/>
              <w:left w:val="single" w:sz="6" w:space="0" w:color="000000"/>
              <w:right w:val="single" w:sz="6" w:space="0" w:color="000000"/>
            </w:tcBorders>
          </w:tcPr>
          <w:p>
            <w:pPr>
              <w:pStyle w:val="TableParagraph"/>
              <w:spacing w:line="195" w:lineRule="exact" w:before="9"/>
              <w:ind w:left="546" w:right="519"/>
              <w:jc w:val="center"/>
              <w:rPr>
                <w:rFonts w:ascii="Times New Roman"/>
                <w:b/>
                <w:sz w:val="18"/>
              </w:rPr>
            </w:pPr>
            <w:r>
              <w:rPr>
                <w:rFonts w:ascii="Times New Roman"/>
                <w:b/>
                <w:sz w:val="18"/>
              </w:rPr>
              <w:t>$1,500,000</w:t>
            </w:r>
          </w:p>
        </w:tc>
        <w:tc>
          <w:tcPr>
            <w:tcW w:w="2356" w:type="dxa"/>
            <w:tcBorders>
              <w:top w:val="nil"/>
              <w:left w:val="single" w:sz="6" w:space="0" w:color="000000"/>
            </w:tcBorders>
          </w:tcPr>
          <w:p>
            <w:pPr>
              <w:pStyle w:val="TableParagraph"/>
              <w:spacing w:line="195" w:lineRule="exact" w:before="9"/>
              <w:ind w:left="437" w:right="392"/>
              <w:jc w:val="center"/>
              <w:rPr>
                <w:rFonts w:ascii="Times New Roman"/>
                <w:b/>
                <w:sz w:val="18"/>
              </w:rPr>
            </w:pPr>
            <w:r>
              <w:rPr>
                <w:rFonts w:ascii="Times New Roman"/>
                <w:b/>
                <w:sz w:val="18"/>
              </w:rPr>
              <w:t>$1,250,000</w:t>
            </w:r>
          </w:p>
        </w:tc>
      </w:tr>
      <w:tr>
        <w:trPr>
          <w:trHeight w:val="211" w:hRule="atLeast"/>
        </w:trPr>
        <w:tc>
          <w:tcPr>
            <w:tcW w:w="9286" w:type="dxa"/>
            <w:gridSpan w:val="3"/>
            <w:shd w:val="clear" w:color="auto" w:fill="FFFF99"/>
          </w:tcPr>
          <w:p>
            <w:pPr>
              <w:pStyle w:val="TableParagraph"/>
              <w:spacing w:line="192" w:lineRule="exact"/>
              <w:ind w:right="1358"/>
              <w:jc w:val="right"/>
              <w:rPr>
                <w:rFonts w:ascii="Times New Roman"/>
                <w:b/>
                <w:sz w:val="18"/>
              </w:rPr>
            </w:pPr>
            <w:r>
              <w:rPr>
                <w:rFonts w:ascii="Times New Roman"/>
                <w:b/>
                <w:sz w:val="18"/>
              </w:rPr>
              <w:t>Loss Deposit Escrow</w:t>
            </w:r>
          </w:p>
        </w:tc>
      </w:tr>
      <w:tr>
        <w:trPr>
          <w:trHeight w:val="308" w:hRule="atLeast"/>
        </w:trPr>
        <w:tc>
          <w:tcPr>
            <w:tcW w:w="4334" w:type="dxa"/>
            <w:tcBorders>
              <w:bottom w:val="nil"/>
              <w:right w:val="single" w:sz="6" w:space="0" w:color="000000"/>
            </w:tcBorders>
          </w:tcPr>
          <w:p>
            <w:pPr>
              <w:pStyle w:val="TableParagraph"/>
              <w:spacing w:line="203" w:lineRule="exact" w:before="85"/>
              <w:ind w:left="18"/>
              <w:rPr>
                <w:rFonts w:ascii="Times New Roman"/>
                <w:b/>
                <w:sz w:val="18"/>
              </w:rPr>
            </w:pPr>
            <w:r>
              <w:rPr>
                <w:rFonts w:ascii="Times New Roman"/>
                <w:b/>
                <w:sz w:val="18"/>
              </w:rPr>
              <w:t>Loss Fund Balance</w:t>
            </w:r>
          </w:p>
        </w:tc>
        <w:tc>
          <w:tcPr>
            <w:tcW w:w="2596" w:type="dxa"/>
            <w:tcBorders>
              <w:left w:val="single" w:sz="6" w:space="0" w:color="000000"/>
              <w:bottom w:val="nil"/>
              <w:right w:val="single" w:sz="6" w:space="0" w:color="000000"/>
            </w:tcBorders>
          </w:tcPr>
          <w:p>
            <w:pPr>
              <w:pStyle w:val="TableParagraph"/>
              <w:spacing w:before="80"/>
              <w:ind w:left="546" w:right="512"/>
              <w:jc w:val="center"/>
              <w:rPr>
                <w:rFonts w:ascii="Times New Roman"/>
                <w:sz w:val="18"/>
              </w:rPr>
            </w:pPr>
            <w:r>
              <w:rPr>
                <w:rFonts w:ascii="Times New Roman"/>
                <w:sz w:val="18"/>
              </w:rPr>
              <w:t>$0</w:t>
            </w:r>
          </w:p>
        </w:tc>
        <w:tc>
          <w:tcPr>
            <w:tcW w:w="2356" w:type="dxa"/>
            <w:tcBorders>
              <w:left w:val="single" w:sz="6" w:space="0" w:color="000000"/>
              <w:bottom w:val="nil"/>
            </w:tcBorders>
          </w:tcPr>
          <w:p>
            <w:pPr>
              <w:pStyle w:val="TableParagraph"/>
              <w:spacing w:before="80"/>
              <w:ind w:left="437" w:right="387"/>
              <w:jc w:val="center"/>
              <w:rPr>
                <w:rFonts w:ascii="Times New Roman"/>
                <w:sz w:val="18"/>
              </w:rPr>
            </w:pPr>
            <w:r>
              <w:rPr>
                <w:rFonts w:ascii="Times New Roman"/>
                <w:sz w:val="18"/>
              </w:rPr>
              <w:t>$0</w:t>
            </w:r>
          </w:p>
        </w:tc>
      </w:tr>
      <w:tr>
        <w:trPr>
          <w:trHeight w:val="234" w:hRule="atLeast"/>
        </w:trPr>
        <w:tc>
          <w:tcPr>
            <w:tcW w:w="4334" w:type="dxa"/>
            <w:tcBorders>
              <w:top w:val="nil"/>
              <w:bottom w:val="nil"/>
              <w:right w:val="single" w:sz="6" w:space="0" w:color="000000"/>
            </w:tcBorders>
          </w:tcPr>
          <w:p>
            <w:pPr>
              <w:pStyle w:val="TableParagraph"/>
              <w:spacing w:line="201" w:lineRule="exact" w:before="12"/>
              <w:ind w:left="18"/>
              <w:rPr>
                <w:rFonts w:ascii="Times New Roman"/>
                <w:b/>
                <w:sz w:val="18"/>
              </w:rPr>
            </w:pPr>
            <w:r>
              <w:rPr>
                <w:rFonts w:ascii="Times New Roman"/>
                <w:b/>
                <w:sz w:val="18"/>
              </w:rPr>
              <w:t>Loss Fund Required</w:t>
            </w:r>
          </w:p>
        </w:tc>
        <w:tc>
          <w:tcPr>
            <w:tcW w:w="2596" w:type="dxa"/>
            <w:tcBorders>
              <w:top w:val="nil"/>
              <w:left w:val="single" w:sz="6" w:space="0" w:color="000000"/>
              <w:bottom w:val="nil"/>
              <w:right w:val="single" w:sz="6" w:space="0" w:color="000000"/>
            </w:tcBorders>
          </w:tcPr>
          <w:p>
            <w:pPr>
              <w:pStyle w:val="TableParagraph"/>
              <w:spacing w:line="206" w:lineRule="exact" w:before="7"/>
              <w:ind w:left="546" w:right="512"/>
              <w:jc w:val="center"/>
              <w:rPr>
                <w:rFonts w:ascii="Times New Roman"/>
                <w:sz w:val="18"/>
              </w:rPr>
            </w:pPr>
            <w:r>
              <w:rPr>
                <w:rFonts w:ascii="Times New Roman"/>
                <w:sz w:val="18"/>
              </w:rPr>
              <w:t>$0</w:t>
            </w:r>
          </w:p>
        </w:tc>
        <w:tc>
          <w:tcPr>
            <w:tcW w:w="2356" w:type="dxa"/>
            <w:tcBorders>
              <w:top w:val="nil"/>
              <w:left w:val="single" w:sz="6" w:space="0" w:color="000000"/>
              <w:bottom w:val="nil"/>
            </w:tcBorders>
          </w:tcPr>
          <w:p>
            <w:pPr>
              <w:pStyle w:val="TableParagraph"/>
              <w:spacing w:line="206" w:lineRule="exact" w:before="7"/>
              <w:ind w:left="437" w:right="387"/>
              <w:jc w:val="center"/>
              <w:rPr>
                <w:rFonts w:ascii="Times New Roman"/>
                <w:sz w:val="18"/>
              </w:rPr>
            </w:pPr>
            <w:r>
              <w:rPr>
                <w:rFonts w:ascii="Times New Roman"/>
                <w:sz w:val="18"/>
              </w:rPr>
              <w:t>$0</w:t>
            </w:r>
          </w:p>
        </w:tc>
      </w:tr>
      <w:tr>
        <w:trPr>
          <w:trHeight w:val="221" w:hRule="atLeast"/>
        </w:trPr>
        <w:tc>
          <w:tcPr>
            <w:tcW w:w="4334" w:type="dxa"/>
            <w:tcBorders>
              <w:top w:val="nil"/>
              <w:right w:val="single" w:sz="6" w:space="0" w:color="000000"/>
            </w:tcBorders>
          </w:tcPr>
          <w:p>
            <w:pPr>
              <w:pStyle w:val="TableParagraph"/>
              <w:spacing w:line="183" w:lineRule="exact" w:before="18"/>
              <w:ind w:left="18"/>
              <w:rPr>
                <w:rFonts w:ascii="Times New Roman"/>
                <w:b/>
                <w:sz w:val="18"/>
              </w:rPr>
            </w:pPr>
            <w:r>
              <w:rPr>
                <w:rFonts w:ascii="Times New Roman"/>
                <w:b/>
                <w:sz w:val="18"/>
              </w:rPr>
              <w:t>Additional Amount Needed</w:t>
            </w:r>
          </w:p>
        </w:tc>
        <w:tc>
          <w:tcPr>
            <w:tcW w:w="2596" w:type="dxa"/>
            <w:tcBorders>
              <w:top w:val="nil"/>
              <w:left w:val="single" w:sz="6" w:space="0" w:color="000000"/>
              <w:right w:val="single" w:sz="6" w:space="0" w:color="000000"/>
            </w:tcBorders>
          </w:tcPr>
          <w:p>
            <w:pPr>
              <w:pStyle w:val="TableParagraph"/>
              <w:spacing w:line="195" w:lineRule="exact" w:before="6"/>
              <w:ind w:left="546" w:right="512"/>
              <w:jc w:val="center"/>
              <w:rPr>
                <w:rFonts w:ascii="Times New Roman"/>
                <w:b/>
                <w:sz w:val="18"/>
              </w:rPr>
            </w:pPr>
            <w:r>
              <w:rPr>
                <w:rFonts w:ascii="Times New Roman"/>
                <w:b/>
                <w:sz w:val="18"/>
              </w:rPr>
              <w:t>$0</w:t>
            </w:r>
          </w:p>
        </w:tc>
        <w:tc>
          <w:tcPr>
            <w:tcW w:w="2356" w:type="dxa"/>
            <w:tcBorders>
              <w:top w:val="nil"/>
              <w:left w:val="single" w:sz="6" w:space="0" w:color="000000"/>
            </w:tcBorders>
          </w:tcPr>
          <w:p>
            <w:pPr>
              <w:pStyle w:val="TableParagraph"/>
              <w:spacing w:line="195" w:lineRule="exact" w:before="6"/>
              <w:ind w:left="437" w:right="387"/>
              <w:jc w:val="center"/>
              <w:rPr>
                <w:rFonts w:ascii="Times New Roman"/>
                <w:b/>
                <w:sz w:val="18"/>
              </w:rPr>
            </w:pPr>
            <w:r>
              <w:rPr>
                <w:rFonts w:ascii="Times New Roman"/>
                <w:b/>
                <w:sz w:val="18"/>
              </w:rPr>
              <w:t>$0</w:t>
            </w:r>
          </w:p>
        </w:tc>
      </w:tr>
    </w:tbl>
    <w:p>
      <w:pPr>
        <w:tabs>
          <w:tab w:pos="6743" w:val="left" w:leader="none"/>
        </w:tabs>
        <w:spacing w:before="16"/>
        <w:ind w:left="4269" w:right="0" w:firstLine="0"/>
        <w:jc w:val="center"/>
        <w:rPr>
          <w:rFonts w:ascii="Times New Roman"/>
          <w:sz w:val="18"/>
        </w:rPr>
      </w:pPr>
      <w:r>
        <w:rPr>
          <w:rFonts w:ascii="Times New Roman"/>
          <w:sz w:val="18"/>
        </w:rPr>
        <w:t>Loss</w:t>
      </w:r>
      <w:r>
        <w:rPr>
          <w:rFonts w:ascii="Times New Roman"/>
          <w:spacing w:val="-3"/>
          <w:sz w:val="18"/>
        </w:rPr>
        <w:t> </w:t>
      </w:r>
      <w:r>
        <w:rPr>
          <w:rFonts w:ascii="Times New Roman"/>
          <w:sz w:val="18"/>
        </w:rPr>
        <w:t>Development</w:t>
      </w:r>
      <w:r>
        <w:rPr>
          <w:rFonts w:ascii="Times New Roman"/>
          <w:spacing w:val="-1"/>
          <w:sz w:val="18"/>
        </w:rPr>
        <w:t> </w:t>
      </w:r>
      <w:r>
        <w:rPr>
          <w:rFonts w:ascii="Times New Roman"/>
          <w:sz w:val="18"/>
        </w:rPr>
        <w:t>Factors</w:t>
        <w:tab/>
        <w:t>Loss Development</w:t>
      </w:r>
      <w:r>
        <w:rPr>
          <w:rFonts w:ascii="Times New Roman"/>
          <w:spacing w:val="-3"/>
          <w:sz w:val="18"/>
        </w:rPr>
        <w:t> </w:t>
      </w:r>
      <w:r>
        <w:rPr>
          <w:rFonts w:ascii="Times New Roman"/>
          <w:sz w:val="18"/>
        </w:rPr>
        <w:t>Factors</w:t>
      </w:r>
    </w:p>
    <w:p>
      <w:pPr>
        <w:tabs>
          <w:tab w:pos="6750" w:val="left" w:leader="none"/>
        </w:tabs>
        <w:spacing w:before="14"/>
        <w:ind w:left="4273" w:right="0" w:firstLine="0"/>
        <w:jc w:val="center"/>
        <w:rPr>
          <w:rFonts w:ascii="Times New Roman"/>
          <w:sz w:val="16"/>
        </w:rPr>
      </w:pPr>
      <w:r>
        <w:rPr>
          <w:rFonts w:ascii="Times New Roman"/>
          <w:w w:val="105"/>
          <w:sz w:val="16"/>
        </w:rPr>
        <w:t>Year 1</w:t>
      </w:r>
      <w:r>
        <w:rPr>
          <w:rFonts w:ascii="Times New Roman"/>
          <w:spacing w:val="-7"/>
          <w:w w:val="105"/>
          <w:sz w:val="16"/>
        </w:rPr>
        <w:t> </w:t>
      </w:r>
      <w:r>
        <w:rPr>
          <w:rFonts w:ascii="Times New Roman"/>
          <w:w w:val="105"/>
          <w:sz w:val="16"/>
        </w:rPr>
        <w:t>-</w:t>
      </w:r>
      <w:r>
        <w:rPr>
          <w:rFonts w:ascii="Times New Roman"/>
          <w:spacing w:val="-5"/>
          <w:w w:val="105"/>
          <w:sz w:val="16"/>
        </w:rPr>
        <w:t> </w:t>
      </w:r>
      <w:r>
        <w:rPr>
          <w:rFonts w:ascii="Times New Roman"/>
          <w:w w:val="105"/>
          <w:sz w:val="16"/>
        </w:rPr>
        <w:t>1.332</w:t>
        <w:tab/>
        <w:t>Year 1 -</w:t>
      </w:r>
      <w:r>
        <w:rPr>
          <w:rFonts w:ascii="Times New Roman"/>
          <w:spacing w:val="-17"/>
          <w:w w:val="105"/>
          <w:sz w:val="16"/>
        </w:rPr>
        <w:t> </w:t>
      </w:r>
      <w:r>
        <w:rPr>
          <w:rFonts w:ascii="Times New Roman"/>
          <w:w w:val="105"/>
          <w:sz w:val="16"/>
        </w:rPr>
        <w:t>1.326</w:t>
      </w:r>
    </w:p>
    <w:p>
      <w:pPr>
        <w:tabs>
          <w:tab w:pos="6750" w:val="left" w:leader="none"/>
        </w:tabs>
        <w:spacing w:before="17"/>
        <w:ind w:left="4273" w:right="0" w:firstLine="0"/>
        <w:jc w:val="center"/>
        <w:rPr>
          <w:rFonts w:ascii="Times New Roman"/>
          <w:sz w:val="16"/>
        </w:rPr>
      </w:pPr>
      <w:r>
        <w:rPr>
          <w:rFonts w:ascii="Times New Roman"/>
          <w:w w:val="105"/>
          <w:sz w:val="16"/>
        </w:rPr>
        <w:t>Year 2</w:t>
      </w:r>
      <w:r>
        <w:rPr>
          <w:rFonts w:ascii="Times New Roman"/>
          <w:spacing w:val="-7"/>
          <w:w w:val="105"/>
          <w:sz w:val="16"/>
        </w:rPr>
        <w:t> </w:t>
      </w:r>
      <w:r>
        <w:rPr>
          <w:rFonts w:ascii="Times New Roman"/>
          <w:w w:val="105"/>
          <w:sz w:val="16"/>
        </w:rPr>
        <w:t>-</w:t>
      </w:r>
      <w:r>
        <w:rPr>
          <w:rFonts w:ascii="Times New Roman"/>
          <w:spacing w:val="-5"/>
          <w:w w:val="105"/>
          <w:sz w:val="16"/>
        </w:rPr>
        <w:t> </w:t>
      </w:r>
      <w:r>
        <w:rPr>
          <w:rFonts w:ascii="Times New Roman"/>
          <w:w w:val="105"/>
          <w:sz w:val="16"/>
        </w:rPr>
        <w:t>1.107</w:t>
        <w:tab/>
        <w:t>Year 2 -</w:t>
      </w:r>
      <w:r>
        <w:rPr>
          <w:rFonts w:ascii="Times New Roman"/>
          <w:spacing w:val="-17"/>
          <w:w w:val="105"/>
          <w:sz w:val="16"/>
        </w:rPr>
        <w:t> </w:t>
      </w:r>
      <w:r>
        <w:rPr>
          <w:rFonts w:ascii="Times New Roman"/>
          <w:w w:val="105"/>
          <w:sz w:val="16"/>
        </w:rPr>
        <w:t>1.100</w:t>
      </w:r>
    </w:p>
    <w:p>
      <w:pPr>
        <w:tabs>
          <w:tab w:pos="6750" w:val="left" w:leader="none"/>
        </w:tabs>
        <w:spacing w:before="18"/>
        <w:ind w:left="4273" w:right="0" w:firstLine="0"/>
        <w:jc w:val="center"/>
        <w:rPr>
          <w:rFonts w:ascii="Times New Roman"/>
          <w:sz w:val="16"/>
        </w:rPr>
      </w:pPr>
      <w:r>
        <w:rPr>
          <w:rFonts w:ascii="Times New Roman"/>
          <w:w w:val="105"/>
          <w:sz w:val="16"/>
        </w:rPr>
        <w:t>Year 3</w:t>
      </w:r>
      <w:r>
        <w:rPr>
          <w:rFonts w:ascii="Times New Roman"/>
          <w:spacing w:val="-7"/>
          <w:w w:val="105"/>
          <w:sz w:val="16"/>
        </w:rPr>
        <w:t> </w:t>
      </w:r>
      <w:r>
        <w:rPr>
          <w:rFonts w:ascii="Times New Roman"/>
          <w:w w:val="105"/>
          <w:sz w:val="16"/>
        </w:rPr>
        <w:t>-</w:t>
      </w:r>
      <w:r>
        <w:rPr>
          <w:rFonts w:ascii="Times New Roman"/>
          <w:spacing w:val="-5"/>
          <w:w w:val="105"/>
          <w:sz w:val="16"/>
        </w:rPr>
        <w:t> </w:t>
      </w:r>
      <w:r>
        <w:rPr>
          <w:rFonts w:ascii="Times New Roman"/>
          <w:w w:val="105"/>
          <w:sz w:val="16"/>
        </w:rPr>
        <w:t>1.060</w:t>
        <w:tab/>
        <w:t>Year 3 -</w:t>
      </w:r>
      <w:r>
        <w:rPr>
          <w:rFonts w:ascii="Times New Roman"/>
          <w:spacing w:val="-17"/>
          <w:w w:val="105"/>
          <w:sz w:val="16"/>
        </w:rPr>
        <w:t> </w:t>
      </w:r>
      <w:r>
        <w:rPr>
          <w:rFonts w:ascii="Times New Roman"/>
          <w:w w:val="105"/>
          <w:sz w:val="16"/>
        </w:rPr>
        <w:t>1.053</w:t>
      </w:r>
    </w:p>
    <w:p>
      <w:pPr>
        <w:tabs>
          <w:tab w:pos="6750" w:val="left" w:leader="none"/>
        </w:tabs>
        <w:spacing w:before="18"/>
        <w:ind w:left="4273" w:right="0" w:firstLine="0"/>
        <w:jc w:val="center"/>
        <w:rPr>
          <w:rFonts w:ascii="Times New Roman"/>
          <w:sz w:val="16"/>
        </w:rPr>
      </w:pPr>
      <w:r>
        <w:rPr>
          <w:rFonts w:ascii="Times New Roman"/>
          <w:w w:val="105"/>
          <w:sz w:val="16"/>
        </w:rPr>
        <w:t>Year 4</w:t>
      </w:r>
      <w:r>
        <w:rPr>
          <w:rFonts w:ascii="Times New Roman"/>
          <w:spacing w:val="-7"/>
          <w:w w:val="105"/>
          <w:sz w:val="16"/>
        </w:rPr>
        <w:t> </w:t>
      </w:r>
      <w:r>
        <w:rPr>
          <w:rFonts w:ascii="Times New Roman"/>
          <w:w w:val="105"/>
          <w:sz w:val="16"/>
        </w:rPr>
        <w:t>-</w:t>
      </w:r>
      <w:r>
        <w:rPr>
          <w:rFonts w:ascii="Times New Roman"/>
          <w:spacing w:val="-5"/>
          <w:w w:val="105"/>
          <w:sz w:val="16"/>
        </w:rPr>
        <w:t> </w:t>
      </w:r>
      <w:r>
        <w:rPr>
          <w:rFonts w:ascii="Times New Roman"/>
          <w:w w:val="105"/>
          <w:sz w:val="16"/>
        </w:rPr>
        <w:t>1.052</w:t>
        <w:tab/>
        <w:t>Year 4 -</w:t>
      </w:r>
      <w:r>
        <w:rPr>
          <w:rFonts w:ascii="Times New Roman"/>
          <w:spacing w:val="-17"/>
          <w:w w:val="105"/>
          <w:sz w:val="16"/>
        </w:rPr>
        <w:t> </w:t>
      </w:r>
      <w:r>
        <w:rPr>
          <w:rFonts w:ascii="Times New Roman"/>
          <w:w w:val="105"/>
          <w:sz w:val="16"/>
        </w:rPr>
        <w:t>1.047</w:t>
      </w:r>
    </w:p>
    <w:p>
      <w:pPr>
        <w:tabs>
          <w:tab w:pos="6750" w:val="left" w:leader="none"/>
        </w:tabs>
        <w:spacing w:before="17"/>
        <w:ind w:left="4273" w:right="0" w:firstLine="0"/>
        <w:jc w:val="center"/>
        <w:rPr>
          <w:rFonts w:ascii="Times New Roman"/>
          <w:sz w:val="16"/>
        </w:rPr>
      </w:pPr>
      <w:r>
        <w:rPr>
          <w:rFonts w:ascii="Times New Roman"/>
          <w:w w:val="105"/>
          <w:sz w:val="16"/>
        </w:rPr>
        <w:t>Year 5</w:t>
      </w:r>
      <w:r>
        <w:rPr>
          <w:rFonts w:ascii="Times New Roman"/>
          <w:spacing w:val="-7"/>
          <w:w w:val="105"/>
          <w:sz w:val="16"/>
        </w:rPr>
        <w:t> </w:t>
      </w:r>
      <w:r>
        <w:rPr>
          <w:rFonts w:ascii="Times New Roman"/>
          <w:w w:val="105"/>
          <w:sz w:val="16"/>
        </w:rPr>
        <w:t>-</w:t>
      </w:r>
      <w:r>
        <w:rPr>
          <w:rFonts w:ascii="Times New Roman"/>
          <w:spacing w:val="-5"/>
          <w:w w:val="105"/>
          <w:sz w:val="16"/>
        </w:rPr>
        <w:t> </w:t>
      </w:r>
      <w:r>
        <w:rPr>
          <w:rFonts w:ascii="Times New Roman"/>
          <w:w w:val="105"/>
          <w:sz w:val="16"/>
        </w:rPr>
        <w:t>1.051</w:t>
        <w:tab/>
        <w:t>Year 5 -</w:t>
      </w:r>
      <w:r>
        <w:rPr>
          <w:rFonts w:ascii="Times New Roman"/>
          <w:spacing w:val="-17"/>
          <w:w w:val="105"/>
          <w:sz w:val="16"/>
        </w:rPr>
        <w:t> </w:t>
      </w:r>
      <w:r>
        <w:rPr>
          <w:rFonts w:ascii="Times New Roman"/>
          <w:w w:val="105"/>
          <w:sz w:val="16"/>
        </w:rPr>
        <w:t>1.046</w:t>
      </w:r>
    </w:p>
    <w:p>
      <w:pPr>
        <w:tabs>
          <w:tab w:pos="6746" w:val="left" w:leader="none"/>
        </w:tabs>
        <w:spacing w:before="18"/>
        <w:ind w:left="4269" w:right="0" w:firstLine="0"/>
        <w:jc w:val="center"/>
        <w:rPr>
          <w:rFonts w:ascii="Times New Roman"/>
          <w:sz w:val="16"/>
        </w:rPr>
      </w:pPr>
      <w:r>
        <w:rPr>
          <w:rFonts w:ascii="Times New Roman"/>
          <w:w w:val="105"/>
          <w:sz w:val="16"/>
        </w:rPr>
        <w:t>Plus</w:t>
      </w:r>
      <w:r>
        <w:rPr>
          <w:rFonts w:ascii="Times New Roman"/>
          <w:spacing w:val="-5"/>
          <w:w w:val="105"/>
          <w:sz w:val="16"/>
        </w:rPr>
        <w:t> </w:t>
      </w:r>
      <w:r>
        <w:rPr>
          <w:rFonts w:ascii="Times New Roman"/>
          <w:w w:val="105"/>
          <w:sz w:val="16"/>
        </w:rPr>
        <w:t>Tax</w:t>
      </w:r>
      <w:r>
        <w:rPr>
          <w:rFonts w:ascii="Times New Roman"/>
          <w:spacing w:val="-7"/>
          <w:w w:val="105"/>
          <w:sz w:val="16"/>
        </w:rPr>
        <w:t> </w:t>
      </w:r>
      <w:r>
        <w:rPr>
          <w:rFonts w:ascii="Times New Roman"/>
          <w:w w:val="105"/>
          <w:sz w:val="16"/>
        </w:rPr>
        <w:t>.031</w:t>
        <w:tab/>
        <w:t>Plus Tax</w:t>
      </w:r>
      <w:r>
        <w:rPr>
          <w:rFonts w:ascii="Times New Roman"/>
          <w:spacing w:val="-19"/>
          <w:w w:val="105"/>
          <w:sz w:val="16"/>
        </w:rPr>
        <w:t> </w:t>
      </w:r>
      <w:r>
        <w:rPr>
          <w:rFonts w:ascii="Times New Roman"/>
          <w:w w:val="105"/>
          <w:sz w:val="16"/>
        </w:rPr>
        <w:t>.031</w:t>
      </w:r>
    </w:p>
    <w:p>
      <w:pPr>
        <w:spacing w:after="0"/>
        <w:jc w:val="center"/>
        <w:rPr>
          <w:rFonts w:ascii="Times New Roman"/>
          <w:sz w:val="16"/>
        </w:rPr>
        <w:sectPr>
          <w:headerReference w:type="default" r:id="rId180"/>
          <w:footerReference w:type="default" r:id="rId181"/>
          <w:pgSz w:w="12240" w:h="15840"/>
          <w:pgMar w:header="0" w:footer="0" w:top="1500" w:bottom="280" w:left="740" w:right="560"/>
        </w:sectPr>
      </w:pPr>
    </w:p>
    <w:p>
      <w:pPr>
        <w:pStyle w:val="Heading7"/>
        <w:tabs>
          <w:tab w:pos="2107" w:val="left" w:leader="none"/>
          <w:tab w:pos="2827" w:val="left" w:leader="none"/>
        </w:tabs>
        <w:spacing w:before="79"/>
        <w:ind w:right="875"/>
        <w:jc w:val="right"/>
      </w:pPr>
      <w:bookmarkStart w:name="Exhaust Extraction System Installation" w:id="51"/>
      <w:bookmarkEnd w:id="51"/>
      <w:r>
        <w:rPr>
          <w:b w:val="0"/>
        </w:rPr>
      </w:r>
      <w:r>
        <w:rPr/>
        <w:t>Resolution</w:t>
      </w:r>
      <w:r>
        <w:rPr>
          <w:spacing w:val="-2"/>
        </w:rPr>
        <w:t> </w:t>
      </w:r>
      <w:r>
        <w:rPr/>
        <w:t>No.</w:t>
      </w:r>
      <w:r>
        <w:rPr>
          <w:u w:val="single"/>
        </w:rPr>
        <w:t> </w:t>
        <w:tab/>
      </w:r>
      <w:r>
        <w:rPr/>
        <w:t>3a</w:t>
      </w:r>
      <w:r>
        <w:rPr>
          <w:u w:val="single"/>
        </w:rPr>
        <w:t> </w:t>
        <w:tab/>
      </w:r>
    </w:p>
    <w:p>
      <w:pPr>
        <w:spacing w:before="0"/>
        <w:ind w:left="0" w:right="877" w:firstLine="0"/>
        <w:jc w:val="right"/>
        <w:rPr>
          <w:rFonts w:ascii="Times New Roman"/>
          <w:b/>
          <w:sz w:val="24"/>
        </w:rPr>
      </w:pPr>
      <w:r>
        <w:rPr>
          <w:rFonts w:ascii="Times New Roman"/>
          <w:b/>
          <w:sz w:val="24"/>
        </w:rPr>
        <w:t>Date: </w:t>
      </w:r>
      <w:r>
        <w:rPr>
          <w:rFonts w:ascii="Times New Roman"/>
          <w:b/>
          <w:sz w:val="24"/>
          <w:u w:val="thick"/>
        </w:rPr>
        <w:t>July 25, 2025</w:t>
      </w:r>
    </w:p>
    <w:p>
      <w:pPr>
        <w:pStyle w:val="BodyText"/>
        <w:spacing w:before="2"/>
        <w:rPr>
          <w:b/>
          <w:sz w:val="16"/>
        </w:rPr>
      </w:pPr>
    </w:p>
    <w:p>
      <w:pPr>
        <w:spacing w:before="90"/>
        <w:ind w:left="2617" w:right="2140" w:hanging="365"/>
        <w:jc w:val="left"/>
        <w:rPr>
          <w:rFonts w:ascii="Times New Roman"/>
          <w:b/>
          <w:sz w:val="24"/>
        </w:rPr>
      </w:pPr>
      <w:r>
        <w:rPr>
          <w:rFonts w:ascii="Times New Roman"/>
          <w:b/>
          <w:sz w:val="24"/>
          <w:u w:val="thick"/>
        </w:rPr>
        <w:t>RESOLUTION TO AUTHORIZE CONTRACT AWARD FOR</w:t>
      </w:r>
      <w:r>
        <w:rPr>
          <w:rFonts w:ascii="Times New Roman"/>
          <w:b/>
          <w:sz w:val="24"/>
        </w:rPr>
        <w:t> </w:t>
      </w:r>
      <w:r>
        <w:rPr>
          <w:rFonts w:ascii="Times New Roman"/>
          <w:b/>
          <w:sz w:val="24"/>
          <w:u w:val="thick"/>
        </w:rPr>
        <w:t>EXHAUST EXTRACTION SYSTEM INSTALLATION</w:t>
      </w:r>
    </w:p>
    <w:p>
      <w:pPr>
        <w:pStyle w:val="BodyText"/>
        <w:spacing w:before="2"/>
        <w:rPr>
          <w:b/>
          <w:sz w:val="16"/>
        </w:rPr>
      </w:pPr>
    </w:p>
    <w:p>
      <w:pPr>
        <w:pStyle w:val="BodyText"/>
        <w:spacing w:before="90"/>
        <w:ind w:left="971" w:right="1330"/>
      </w:pPr>
      <w:r>
        <w:rPr>
          <w:b/>
        </w:rPr>
        <w:t>WHEREAS</w:t>
      </w:r>
      <w:r>
        <w:rPr/>
        <w:t>, the Central New York Regional Transportation Authority (CNYRTA) has a need for a qualified vendor to furnish and install a vehicle exhaust extraction system in multiple maintenance bays within its Syracuse garage; and</w:t>
      </w:r>
    </w:p>
    <w:p>
      <w:pPr>
        <w:pStyle w:val="BodyText"/>
      </w:pPr>
    </w:p>
    <w:p>
      <w:pPr>
        <w:pStyle w:val="BodyText"/>
        <w:ind w:left="971"/>
      </w:pPr>
      <w:r>
        <w:rPr>
          <w:b/>
        </w:rPr>
        <w:t>WHEREAS</w:t>
      </w:r>
      <w:r>
        <w:rPr/>
        <w:t>, this contract will be paid for using 100% State Dedicated Funds; and</w:t>
      </w:r>
    </w:p>
    <w:p>
      <w:pPr>
        <w:pStyle w:val="BodyText"/>
      </w:pPr>
    </w:p>
    <w:p>
      <w:pPr>
        <w:pStyle w:val="BodyText"/>
        <w:ind w:left="971"/>
      </w:pPr>
      <w:r>
        <w:rPr>
          <w:b/>
        </w:rPr>
        <w:t>WHEREAS</w:t>
      </w:r>
      <w:r>
        <w:rPr/>
        <w:t>, the Invitation for Bid was publicly let on May 29, 2025; and</w:t>
      </w:r>
    </w:p>
    <w:p>
      <w:pPr>
        <w:pStyle w:val="BodyText"/>
      </w:pPr>
    </w:p>
    <w:p>
      <w:pPr>
        <w:pStyle w:val="BodyText"/>
        <w:ind w:left="971" w:right="964"/>
      </w:pPr>
      <w:r>
        <w:rPr>
          <w:b/>
        </w:rPr>
        <w:t>WHEREAS, </w:t>
      </w:r>
      <w:r>
        <w:rPr/>
        <w:t>nine (9) vendors were invited and sixteen (16) bid packages were downloaded; and</w:t>
      </w:r>
    </w:p>
    <w:p>
      <w:pPr>
        <w:pStyle w:val="BodyText"/>
      </w:pPr>
    </w:p>
    <w:p>
      <w:pPr>
        <w:pStyle w:val="BodyText"/>
        <w:ind w:left="971" w:right="1463"/>
      </w:pPr>
      <w:r>
        <w:rPr>
          <w:b/>
        </w:rPr>
        <w:t>WHEREAS</w:t>
      </w:r>
      <w:r>
        <w:rPr/>
        <w:t>, one (1) bid was received on June 20, 2025, with the lowest responsive and responsible bid received from Air Cleaning Systems; and</w:t>
      </w:r>
    </w:p>
    <w:p>
      <w:pPr>
        <w:pStyle w:val="BodyText"/>
      </w:pPr>
    </w:p>
    <w:p>
      <w:pPr>
        <w:pStyle w:val="BodyText"/>
        <w:ind w:left="971" w:right="964"/>
      </w:pPr>
      <w:r>
        <w:rPr>
          <w:b/>
        </w:rPr>
        <w:t>WHEREAS</w:t>
      </w:r>
      <w:r>
        <w:rPr/>
        <w:t>, the price was determined to be fair and reasonable based upon comparison with the independent cost estimate; and</w:t>
      </w:r>
    </w:p>
    <w:p>
      <w:pPr>
        <w:pStyle w:val="BodyText"/>
      </w:pPr>
    </w:p>
    <w:p>
      <w:pPr>
        <w:pStyle w:val="BodyText"/>
        <w:ind w:left="971" w:right="911"/>
      </w:pPr>
      <w:r>
        <w:rPr>
          <w:b/>
        </w:rPr>
        <w:t>WHEREAS</w:t>
      </w:r>
      <w:r>
        <w:rPr/>
        <w:t>, The staff of CNYRTA is aware of no interest held by any Member of the CNYRTA or any staff member thereof or any family member of such individual in the firm to which this contract is made; and</w:t>
      </w:r>
    </w:p>
    <w:p>
      <w:pPr>
        <w:pStyle w:val="BodyText"/>
      </w:pPr>
    </w:p>
    <w:p>
      <w:pPr>
        <w:pStyle w:val="BodyText"/>
        <w:ind w:left="971" w:right="917"/>
      </w:pPr>
      <w:r>
        <w:rPr>
          <w:b/>
        </w:rPr>
        <w:t>WHEREAS</w:t>
      </w:r>
      <w:r>
        <w:rPr/>
        <w:t>, To the best of our knowledge and belief, no member of the governing body of CNYRTA, or its subsidiaries, and no other officer, employee or agent of CNYRTA, or its subsidiaries, whether or not exercising any functions or responsibilities in connection with the carrying out of the project to which this contract pertains, during his/her tenure or two years thereafter, has any personal interest, direct or indirect in this contract; and</w:t>
      </w:r>
    </w:p>
    <w:p>
      <w:pPr>
        <w:pStyle w:val="BodyText"/>
      </w:pPr>
    </w:p>
    <w:p>
      <w:pPr>
        <w:pStyle w:val="BodyText"/>
        <w:spacing w:before="1"/>
        <w:ind w:left="971" w:right="1035"/>
        <w:jc w:val="both"/>
      </w:pPr>
      <w:r>
        <w:rPr>
          <w:b/>
        </w:rPr>
        <w:t>WHEREAS</w:t>
      </w:r>
      <w:r>
        <w:rPr/>
        <w:t>, To the best of our knowledge and belief, no member of the governing body of the CNYRTA, or its subsidiaries, and no other officer, agent, servant or employee employed by or appointed by CNYRTA, or its subsidiaries, is in any way or manner interested, directly or indirectly, as principal, surety, or otherwise, in this contract.</w:t>
      </w:r>
    </w:p>
    <w:p>
      <w:pPr>
        <w:pStyle w:val="BodyText"/>
      </w:pPr>
    </w:p>
    <w:p>
      <w:pPr>
        <w:pStyle w:val="BodyText"/>
        <w:ind w:left="971" w:right="991"/>
      </w:pPr>
      <w:r>
        <w:rPr>
          <w:b/>
        </w:rPr>
        <w:t>WHEREAS, </w:t>
      </w:r>
      <w:r>
        <w:rPr/>
        <w:t>to the best of our knowledge and belief, this award is consistent with the Code of Ethical Conduct for Members of the Central New York Regional Transportation Authority originally adopted by it on July 20, 1990, as Motion No. 775, and as revised and updated on April 25, 2008, as Motion No. 1709.</w:t>
      </w:r>
    </w:p>
    <w:p>
      <w:pPr>
        <w:pStyle w:val="BodyText"/>
      </w:pPr>
    </w:p>
    <w:p>
      <w:pPr>
        <w:pStyle w:val="Heading7"/>
        <w:ind w:left="971" w:right="1063"/>
        <w:jc w:val="both"/>
        <w:rPr>
          <w:b w:val="0"/>
        </w:rPr>
      </w:pPr>
      <w:r>
        <w:rPr/>
        <w:t>NOW, THEREFORE, BE IT RESOLVED BY THE BOARD OF MEMBERS OF THE CENTRAL NEW YORK REGIONAL TRANSPORTATION AUTHORITY</w:t>
      </w:r>
      <w:r>
        <w:rPr>
          <w:b w:val="0"/>
        </w:rPr>
        <w:t>, that the</w:t>
      </w:r>
    </w:p>
    <w:p>
      <w:pPr>
        <w:pStyle w:val="BodyText"/>
        <w:ind w:left="971" w:right="1159"/>
      </w:pPr>
      <w:r>
        <w:rPr/>
        <w:t>Chief Executive Officer or his designee is authorized to issue a purchase order for a vehicle exhaust extraction system to Air Cleaning Systems, in the amount of $132,889.00.</w:t>
      </w:r>
    </w:p>
    <w:p>
      <w:pPr>
        <w:spacing w:after="0"/>
        <w:sectPr>
          <w:headerReference w:type="default" r:id="rId183"/>
          <w:footerReference w:type="default" r:id="rId184"/>
          <w:pgSz w:w="12240" w:h="15840"/>
          <w:pgMar w:header="0" w:footer="0" w:top="1000" w:bottom="280" w:left="740" w:right="560"/>
        </w:sectPr>
      </w:pPr>
    </w:p>
    <w:p>
      <w:pPr>
        <w:pStyle w:val="Heading7"/>
        <w:spacing w:before="79"/>
        <w:ind w:left="93"/>
      </w:pPr>
      <w:r>
        <w:rPr>
          <w:u w:val="thick"/>
        </w:rPr>
        <w:t>FACT SHEET</w:t>
      </w:r>
    </w:p>
    <w:p>
      <w:pPr>
        <w:spacing w:before="0"/>
        <w:ind w:left="91" w:right="0" w:firstLine="0"/>
        <w:jc w:val="center"/>
        <w:rPr>
          <w:rFonts w:ascii="Times New Roman"/>
          <w:b/>
          <w:sz w:val="24"/>
        </w:rPr>
      </w:pPr>
      <w:r>
        <w:rPr>
          <w:rFonts w:ascii="Times New Roman"/>
          <w:b/>
          <w:sz w:val="24"/>
          <w:u w:val="thick"/>
        </w:rPr>
        <w:t>EXHAUST EXTRACTION SYSTEM INSTALLATION</w:t>
      </w:r>
    </w:p>
    <w:p>
      <w:pPr>
        <w:pStyle w:val="BodyText"/>
        <w:spacing w:before="2"/>
        <w:rPr>
          <w:b/>
          <w:sz w:val="16"/>
        </w:rPr>
      </w:pPr>
    </w:p>
    <w:p>
      <w:pPr>
        <w:pStyle w:val="BodyText"/>
        <w:spacing w:before="90"/>
        <w:ind w:left="971" w:right="956"/>
      </w:pPr>
      <w:r>
        <w:rPr>
          <w:b/>
        </w:rPr>
        <w:t>PROJECT DESCRIPTION</w:t>
      </w:r>
      <w:r>
        <w:rPr/>
        <w:t>: The CNYRTA has a need for a qualified vendor to furnish and install a vehicle exhaust extraction system in multiple maintenance bays within its Syracuse garage.</w:t>
      </w:r>
    </w:p>
    <w:p>
      <w:pPr>
        <w:pStyle w:val="BodyText"/>
      </w:pPr>
    </w:p>
    <w:p>
      <w:pPr>
        <w:pStyle w:val="BodyText"/>
        <w:ind w:left="971" w:right="1183"/>
      </w:pPr>
      <w:r>
        <w:rPr>
          <w:b/>
        </w:rPr>
        <w:t>ADVERTISEMENT: </w:t>
      </w:r>
      <w:r>
        <w:rPr/>
        <w:t>An Invitation for Bid was advertised on May 29, 2025, in the NYS Contract Reporter, Post Standard (Onondaga, Cayuga and Oswego County editions), Rome Sentinel, Utica Observer-Dispatch and the Minority Commerce Weekly.</w:t>
      </w:r>
    </w:p>
    <w:p>
      <w:pPr>
        <w:pStyle w:val="BodyText"/>
      </w:pPr>
    </w:p>
    <w:p>
      <w:pPr>
        <w:pStyle w:val="BodyText"/>
        <w:ind w:left="971"/>
      </w:pPr>
      <w:r>
        <w:rPr>
          <w:b/>
        </w:rPr>
        <w:t>FUNDING</w:t>
      </w:r>
      <w:r>
        <w:rPr/>
        <w:t>: This contract will be paid for using 100% State Dedicated Funds.</w:t>
      </w:r>
    </w:p>
    <w:p>
      <w:pPr>
        <w:pStyle w:val="BodyText"/>
      </w:pPr>
    </w:p>
    <w:p>
      <w:pPr>
        <w:pStyle w:val="Heading7"/>
        <w:ind w:left="971"/>
        <w:jc w:val="left"/>
      </w:pPr>
      <w:r>
        <w:rPr/>
        <w:t>PRICING RECEIVED:</w:t>
      </w:r>
    </w:p>
    <w:p>
      <w:pPr>
        <w:pStyle w:val="BodyText"/>
        <w:spacing w:before="1"/>
        <w:rPr>
          <w:b/>
        </w:rPr>
      </w:pPr>
    </w:p>
    <w:tbl>
      <w:tblPr>
        <w:tblW w:w="0" w:type="auto"/>
        <w:jc w:val="left"/>
        <w:tblInd w:w="2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81"/>
        <w:gridCol w:w="2743"/>
      </w:tblGrid>
      <w:tr>
        <w:trPr>
          <w:trHeight w:val="577" w:hRule="atLeast"/>
        </w:trPr>
        <w:tc>
          <w:tcPr>
            <w:tcW w:w="3881" w:type="dxa"/>
          </w:tcPr>
          <w:p>
            <w:pPr>
              <w:pStyle w:val="TableParagraph"/>
              <w:spacing w:before="150"/>
              <w:ind w:left="1325" w:right="1319"/>
              <w:jc w:val="center"/>
              <w:rPr>
                <w:rFonts w:ascii="Times New Roman"/>
                <w:b/>
                <w:sz w:val="24"/>
              </w:rPr>
            </w:pPr>
            <w:r>
              <w:rPr>
                <w:rFonts w:ascii="Times New Roman"/>
                <w:b/>
                <w:sz w:val="24"/>
              </w:rPr>
              <w:t>Description</w:t>
            </w:r>
          </w:p>
        </w:tc>
        <w:tc>
          <w:tcPr>
            <w:tcW w:w="2743" w:type="dxa"/>
          </w:tcPr>
          <w:p>
            <w:pPr>
              <w:pStyle w:val="TableParagraph"/>
              <w:spacing w:before="150"/>
              <w:ind w:left="244" w:right="235"/>
              <w:jc w:val="center"/>
              <w:rPr>
                <w:rFonts w:ascii="Times New Roman"/>
                <w:b/>
                <w:sz w:val="24"/>
              </w:rPr>
            </w:pPr>
            <w:r>
              <w:rPr>
                <w:rFonts w:ascii="Times New Roman"/>
                <w:b/>
                <w:sz w:val="24"/>
              </w:rPr>
              <w:t>Air Cleaning Systems</w:t>
            </w:r>
          </w:p>
        </w:tc>
      </w:tr>
      <w:tr>
        <w:trPr>
          <w:trHeight w:val="637" w:hRule="atLeast"/>
        </w:trPr>
        <w:tc>
          <w:tcPr>
            <w:tcW w:w="3881" w:type="dxa"/>
          </w:tcPr>
          <w:p>
            <w:pPr>
              <w:pStyle w:val="TableParagraph"/>
              <w:spacing w:line="270" w:lineRule="atLeast" w:before="73"/>
              <w:ind w:left="1399" w:right="611" w:hanging="759"/>
              <w:rPr>
                <w:rFonts w:ascii="Times New Roman"/>
                <w:sz w:val="24"/>
              </w:rPr>
            </w:pPr>
            <w:r>
              <w:rPr>
                <w:rFonts w:ascii="Times New Roman"/>
                <w:sz w:val="24"/>
              </w:rPr>
              <w:t>Exhaust Extraction System Installation</w:t>
            </w:r>
          </w:p>
        </w:tc>
        <w:tc>
          <w:tcPr>
            <w:tcW w:w="2743" w:type="dxa"/>
          </w:tcPr>
          <w:p>
            <w:pPr>
              <w:pStyle w:val="TableParagraph"/>
              <w:spacing w:before="181"/>
              <w:ind w:left="242" w:right="235"/>
              <w:jc w:val="center"/>
              <w:rPr>
                <w:rFonts w:ascii="Times New Roman"/>
                <w:sz w:val="24"/>
              </w:rPr>
            </w:pPr>
            <w:r>
              <w:rPr>
                <w:rFonts w:ascii="Times New Roman"/>
                <w:sz w:val="24"/>
              </w:rPr>
              <w:t>$132,889.00</w:t>
            </w:r>
          </w:p>
        </w:tc>
      </w:tr>
    </w:tbl>
    <w:p>
      <w:pPr>
        <w:pStyle w:val="BodyText"/>
        <w:rPr>
          <w:b/>
          <w:sz w:val="26"/>
        </w:rPr>
      </w:pPr>
    </w:p>
    <w:p>
      <w:pPr>
        <w:pStyle w:val="BodyText"/>
        <w:spacing w:before="10"/>
        <w:rPr>
          <w:b/>
          <w:sz w:val="21"/>
        </w:rPr>
      </w:pPr>
    </w:p>
    <w:p>
      <w:pPr>
        <w:pStyle w:val="BodyText"/>
        <w:ind w:left="971" w:right="1563"/>
      </w:pPr>
      <w:r>
        <w:rPr>
          <w:b/>
        </w:rPr>
        <w:t>COMMENTS</w:t>
      </w:r>
      <w:r>
        <w:rPr/>
        <w:t>: Air Cleaning Systems has performed like kind services in the past with positive results.</w:t>
      </w:r>
    </w:p>
    <w:p>
      <w:pPr>
        <w:pStyle w:val="BodyText"/>
      </w:pPr>
    </w:p>
    <w:p>
      <w:pPr>
        <w:pStyle w:val="BodyText"/>
        <w:ind w:left="971" w:right="1657"/>
      </w:pPr>
      <w:r>
        <w:rPr>
          <w:b/>
        </w:rPr>
        <w:t>M/WBE: </w:t>
      </w:r>
      <w:r>
        <w:rPr/>
        <w:t>A full waiver for M/WBE participation was approved by NYS Empire State Development on this contract.</w:t>
      </w:r>
    </w:p>
    <w:p>
      <w:pPr>
        <w:pStyle w:val="BodyText"/>
      </w:pPr>
    </w:p>
    <w:p>
      <w:pPr>
        <w:pStyle w:val="BodyText"/>
        <w:spacing w:before="1"/>
        <w:ind w:left="971" w:right="1128"/>
        <w:jc w:val="both"/>
      </w:pPr>
      <w:r>
        <w:rPr>
          <w:b/>
        </w:rPr>
        <w:t>RECOMMENDATION</w:t>
      </w:r>
      <w:r>
        <w:rPr/>
        <w:t>: Staff recommends the Board authorize the issuance of a purchase order to Air Cleaning Systems in the amount of $132,889.00 to furnish and install a vehicle exhaust extraction system in multiple maintenance bays within the Syracuse garage.</w:t>
      </w:r>
    </w:p>
    <w:p>
      <w:pPr>
        <w:spacing w:after="0"/>
        <w:jc w:val="both"/>
        <w:sectPr>
          <w:headerReference w:type="default" r:id="rId185"/>
          <w:footerReference w:type="default" r:id="rId186"/>
          <w:pgSz w:w="12240" w:h="15840"/>
          <w:pgMar w:header="0" w:footer="0" w:top="1000" w:bottom="280" w:left="740" w:right="560"/>
        </w:sectPr>
      </w:pPr>
    </w:p>
    <w:p>
      <w:pPr>
        <w:pStyle w:val="Heading7"/>
        <w:tabs>
          <w:tab w:pos="2841" w:val="left" w:leader="none"/>
        </w:tabs>
        <w:spacing w:before="75"/>
        <w:ind w:right="879"/>
        <w:jc w:val="right"/>
      </w:pPr>
      <w:bookmarkStart w:name="Minivan Services A 2026-2031" w:id="52"/>
      <w:bookmarkEnd w:id="52"/>
      <w:r>
        <w:rPr>
          <w:b w:val="0"/>
        </w:rPr>
      </w:r>
      <w:r>
        <w:rPr/>
        <w:t>Resolution No.</w:t>
      </w:r>
      <w:r>
        <w:rPr>
          <w:u w:val="single"/>
        </w:rPr>
        <w:t>  </w:t>
      </w:r>
      <w:r>
        <w:rPr>
          <w:spacing w:val="56"/>
          <w:u w:val="single"/>
        </w:rPr>
        <w:t> </w:t>
      </w:r>
      <w:r>
        <w:rPr/>
        <w:t>3b</w:t>
      </w:r>
      <w:r>
        <w:rPr>
          <w:u w:val="single"/>
        </w:rPr>
        <w:t> </w:t>
        <w:tab/>
      </w:r>
    </w:p>
    <w:p>
      <w:pPr>
        <w:spacing w:before="0"/>
        <w:ind w:left="0" w:right="880" w:firstLine="0"/>
        <w:jc w:val="right"/>
        <w:rPr>
          <w:rFonts w:ascii="Times New Roman"/>
          <w:b/>
          <w:sz w:val="24"/>
        </w:rPr>
      </w:pPr>
      <w:r>
        <w:rPr>
          <w:rFonts w:ascii="Times New Roman"/>
          <w:b/>
          <w:sz w:val="24"/>
        </w:rPr>
        <w:t>Date: </w:t>
      </w:r>
      <w:r>
        <w:rPr>
          <w:rFonts w:ascii="Times New Roman"/>
          <w:b/>
          <w:sz w:val="24"/>
          <w:u w:val="thick"/>
        </w:rPr>
        <w:t>July 25,2025</w:t>
      </w:r>
    </w:p>
    <w:p>
      <w:pPr>
        <w:pStyle w:val="BodyText"/>
        <w:spacing w:before="2"/>
        <w:rPr>
          <w:b/>
          <w:sz w:val="16"/>
        </w:rPr>
      </w:pPr>
    </w:p>
    <w:p>
      <w:pPr>
        <w:spacing w:before="90"/>
        <w:ind w:left="3666" w:right="2140" w:hanging="1414"/>
        <w:jc w:val="left"/>
        <w:rPr>
          <w:rFonts w:ascii="Times New Roman"/>
          <w:b/>
          <w:sz w:val="24"/>
        </w:rPr>
      </w:pPr>
      <w:r>
        <w:rPr>
          <w:rFonts w:ascii="Times New Roman"/>
          <w:b/>
          <w:sz w:val="24"/>
          <w:u w:val="thick"/>
        </w:rPr>
        <w:t>RESOLUTION TO AUTHORIZE CONTRACT AWARD FOR</w:t>
      </w:r>
      <w:r>
        <w:rPr>
          <w:rFonts w:ascii="Times New Roman"/>
          <w:b/>
          <w:sz w:val="24"/>
        </w:rPr>
        <w:t> </w:t>
      </w:r>
      <w:r>
        <w:rPr>
          <w:rFonts w:ascii="Times New Roman"/>
          <w:b/>
          <w:sz w:val="24"/>
          <w:u w:val="thick"/>
        </w:rPr>
        <w:t>MINIVAN SERVICES A 2026-2031</w:t>
      </w:r>
    </w:p>
    <w:p>
      <w:pPr>
        <w:pStyle w:val="BodyText"/>
        <w:spacing w:before="2"/>
        <w:rPr>
          <w:b/>
          <w:sz w:val="16"/>
        </w:rPr>
      </w:pPr>
    </w:p>
    <w:p>
      <w:pPr>
        <w:pStyle w:val="BodyText"/>
        <w:spacing w:before="90"/>
        <w:ind w:left="973" w:right="1328"/>
      </w:pPr>
      <w:r>
        <w:rPr>
          <w:b/>
        </w:rPr>
        <w:t>WHEREAS</w:t>
      </w:r>
      <w:r>
        <w:rPr/>
        <w:t>, the Central New York Regional Transportation Authority (CNYRTA) has a need for a qualified vendor to provide minivan services; and</w:t>
      </w:r>
    </w:p>
    <w:p>
      <w:pPr>
        <w:pStyle w:val="BodyText"/>
      </w:pPr>
    </w:p>
    <w:p>
      <w:pPr>
        <w:pStyle w:val="BodyText"/>
        <w:ind w:left="973"/>
      </w:pPr>
      <w:r>
        <w:rPr>
          <w:b/>
        </w:rPr>
        <w:t>WHEREAS</w:t>
      </w:r>
      <w:r>
        <w:rPr/>
        <w:t>, this contract will be paid for using operating funds; and</w:t>
      </w:r>
    </w:p>
    <w:p>
      <w:pPr>
        <w:pStyle w:val="BodyText"/>
      </w:pPr>
    </w:p>
    <w:p>
      <w:pPr>
        <w:pStyle w:val="BodyText"/>
        <w:ind w:left="973"/>
      </w:pPr>
      <w:r>
        <w:rPr>
          <w:b/>
        </w:rPr>
        <w:t>WHEREAS</w:t>
      </w:r>
      <w:r>
        <w:rPr/>
        <w:t>, the Invitation for Bid was publicly let on March 28, 2025; and</w:t>
      </w:r>
    </w:p>
    <w:p>
      <w:pPr>
        <w:pStyle w:val="BodyText"/>
      </w:pPr>
    </w:p>
    <w:p>
      <w:pPr>
        <w:pStyle w:val="BodyText"/>
        <w:ind w:left="973" w:right="1648"/>
      </w:pPr>
      <w:r>
        <w:rPr>
          <w:b/>
        </w:rPr>
        <w:t>WHEREAS, </w:t>
      </w:r>
      <w:r>
        <w:rPr/>
        <w:t>twenty-six (26) vendors were invited, of which six (6) were sent to NYS Certified M/WBE firms and twenty (20) bid packages were downloaded, and</w:t>
      </w:r>
    </w:p>
    <w:p>
      <w:pPr>
        <w:pStyle w:val="BodyText"/>
      </w:pPr>
    </w:p>
    <w:p>
      <w:pPr>
        <w:pStyle w:val="BodyText"/>
        <w:ind w:left="973" w:right="1075"/>
      </w:pPr>
      <w:r>
        <w:rPr>
          <w:b/>
        </w:rPr>
        <w:t>WHEREAS</w:t>
      </w:r>
      <w:r>
        <w:rPr/>
        <w:t>, three (3) bids were received on April 18, 2025, with the lowest responsive and responsible bid received from CNY Cab Service, Inc.; and</w:t>
      </w:r>
    </w:p>
    <w:p>
      <w:pPr>
        <w:pStyle w:val="BodyText"/>
      </w:pPr>
    </w:p>
    <w:p>
      <w:pPr>
        <w:pStyle w:val="BodyText"/>
        <w:ind w:left="973" w:right="962"/>
      </w:pPr>
      <w:r>
        <w:rPr>
          <w:b/>
        </w:rPr>
        <w:t>WHEREAS</w:t>
      </w:r>
      <w:r>
        <w:rPr/>
        <w:t>, the price was determined to be fair and reasonable based upon comparison with the other bids and independent cost estimate; and</w:t>
      </w:r>
    </w:p>
    <w:p>
      <w:pPr>
        <w:pStyle w:val="BodyText"/>
      </w:pPr>
    </w:p>
    <w:p>
      <w:pPr>
        <w:pStyle w:val="BodyText"/>
        <w:ind w:left="973" w:right="909"/>
      </w:pPr>
      <w:r>
        <w:rPr>
          <w:b/>
        </w:rPr>
        <w:t>WHEREAS</w:t>
      </w:r>
      <w:r>
        <w:rPr/>
        <w:t>, The staff of CNYRTA is aware of no interest held by any Member of the CNYRTA or any staff member thereof or any family member of such individual in the firm to which this contract is made; and</w:t>
      </w:r>
    </w:p>
    <w:p>
      <w:pPr>
        <w:pStyle w:val="BodyText"/>
      </w:pPr>
    </w:p>
    <w:p>
      <w:pPr>
        <w:pStyle w:val="BodyText"/>
        <w:ind w:left="973" w:right="915"/>
      </w:pPr>
      <w:r>
        <w:rPr>
          <w:b/>
        </w:rPr>
        <w:t>WHEREAS</w:t>
      </w:r>
      <w:r>
        <w:rPr/>
        <w:t>, To the best of our knowledge and belief, no member of the governing body of CNYRTA, or its subsidiaries, and no other officer, employee or agent of CNYRTA, or its subsidiaries, whether or not exercising any functions or responsibilities in connection with the carrying out of the project to which this contract pertains, during his/her tenure or two years thereafter, has any personal interest, direct or indirect in this contract; and</w:t>
      </w:r>
    </w:p>
    <w:p>
      <w:pPr>
        <w:pStyle w:val="BodyText"/>
      </w:pPr>
    </w:p>
    <w:p>
      <w:pPr>
        <w:pStyle w:val="BodyText"/>
        <w:spacing w:before="1"/>
        <w:ind w:left="973" w:right="1033"/>
        <w:jc w:val="both"/>
      </w:pPr>
      <w:r>
        <w:rPr>
          <w:b/>
        </w:rPr>
        <w:t>WHEREAS</w:t>
      </w:r>
      <w:r>
        <w:rPr/>
        <w:t>, To the best of our knowledge and belief, no member of the governing body of the CNYRTA, or its subsidiaries, and no other officer, agent, servant or employee employed by or appointed by CNYRTA, or its subsidiaries, is in any way or manner interested, directly or indirectly, as principal, surety, or otherwise, in this contract.</w:t>
      </w:r>
    </w:p>
    <w:p>
      <w:pPr>
        <w:pStyle w:val="BodyText"/>
        <w:spacing w:before="11"/>
        <w:rPr>
          <w:sz w:val="23"/>
        </w:rPr>
      </w:pPr>
    </w:p>
    <w:p>
      <w:pPr>
        <w:pStyle w:val="BodyText"/>
        <w:ind w:left="973" w:right="989"/>
      </w:pPr>
      <w:r>
        <w:rPr>
          <w:b/>
        </w:rPr>
        <w:t>WHEREAS, </w:t>
      </w:r>
      <w:r>
        <w:rPr/>
        <w:t>to the best of our knowledge and belief, this award is consistent with the Code of Ethical Conduct for Members of the Central New York Regional Transportation Authority originally adopted by it on July 20, 1990, as Motion No. 775, and as revised and updated on April 25, 2008, as Motion No. 1709.</w:t>
      </w:r>
    </w:p>
    <w:p>
      <w:pPr>
        <w:pStyle w:val="BodyText"/>
      </w:pPr>
    </w:p>
    <w:p>
      <w:pPr>
        <w:pStyle w:val="Heading7"/>
        <w:ind w:left="973" w:right="1061"/>
        <w:jc w:val="both"/>
        <w:rPr>
          <w:b w:val="0"/>
        </w:rPr>
      </w:pPr>
      <w:r>
        <w:rPr/>
        <w:t>NOW, THEREFORE, BE IT RESOLVED BY THE BOARD OF MEMBERS OF THE CENTRAL NEW YORK REGIONAL TRANSPORTATION AUTHORITY</w:t>
      </w:r>
      <w:r>
        <w:rPr>
          <w:b w:val="0"/>
        </w:rPr>
        <w:t>, that the</w:t>
      </w:r>
    </w:p>
    <w:p>
      <w:pPr>
        <w:pStyle w:val="BodyText"/>
        <w:ind w:left="973" w:right="897"/>
      </w:pPr>
      <w:r>
        <w:rPr/>
        <w:t>Chief Executive Officer or his designee is authorized to enter into a five (5) year contract with CNY Cab Service, Inc., for minivan services. The contract would commence February 1, 2026.</w:t>
      </w:r>
    </w:p>
    <w:p>
      <w:pPr>
        <w:spacing w:after="0"/>
        <w:sectPr>
          <w:headerReference w:type="default" r:id="rId187"/>
          <w:footerReference w:type="default" r:id="rId188"/>
          <w:pgSz w:w="12240" w:h="15840"/>
          <w:pgMar w:header="0" w:footer="0" w:top="920" w:bottom="280" w:left="740" w:right="560"/>
        </w:sectPr>
      </w:pPr>
    </w:p>
    <w:p>
      <w:pPr>
        <w:pStyle w:val="Heading7"/>
        <w:spacing w:before="79"/>
        <w:ind w:left="3666" w:right="3561" w:firstLine="1092"/>
        <w:jc w:val="left"/>
      </w:pPr>
      <w:r>
        <w:rPr>
          <w:u w:val="thick"/>
        </w:rPr>
        <w:t>FACT SHEET</w:t>
      </w:r>
      <w:r>
        <w:rPr/>
        <w:t> </w:t>
      </w:r>
      <w:r>
        <w:rPr>
          <w:u w:val="thick"/>
        </w:rPr>
        <w:t>MINIVAN SERVICES A 2026-2031</w:t>
      </w:r>
    </w:p>
    <w:p>
      <w:pPr>
        <w:pStyle w:val="BodyText"/>
        <w:spacing w:before="2"/>
        <w:rPr>
          <w:b/>
          <w:sz w:val="16"/>
        </w:rPr>
      </w:pPr>
    </w:p>
    <w:p>
      <w:pPr>
        <w:spacing w:before="90"/>
        <w:ind w:left="973" w:right="1308" w:firstLine="0"/>
        <w:jc w:val="left"/>
        <w:rPr>
          <w:rFonts w:ascii="Times New Roman"/>
          <w:sz w:val="24"/>
        </w:rPr>
      </w:pPr>
      <w:r>
        <w:rPr>
          <w:rFonts w:ascii="Times New Roman"/>
          <w:b/>
          <w:sz w:val="24"/>
        </w:rPr>
        <w:t>PROJECT DESCRIPTION</w:t>
      </w:r>
      <w:r>
        <w:rPr>
          <w:rFonts w:ascii="Times New Roman"/>
          <w:sz w:val="24"/>
        </w:rPr>
        <w:t>: The CNYRTA has a need for a qualified vendor to provide minivan services.</w:t>
      </w:r>
    </w:p>
    <w:p>
      <w:pPr>
        <w:pStyle w:val="BodyText"/>
      </w:pPr>
    </w:p>
    <w:p>
      <w:pPr>
        <w:pStyle w:val="BodyText"/>
        <w:ind w:left="973" w:right="1087"/>
      </w:pPr>
      <w:r>
        <w:rPr>
          <w:b/>
        </w:rPr>
        <w:t>ADVERTISEMENT: </w:t>
      </w:r>
      <w:r>
        <w:rPr/>
        <w:t>An Invitation for Bid was advertised on March 28, 2025, in the NYS Contract Reporter, Post Standard (Onondaga, Cayuga and Oswego County editions), Rome Sentinel, Utica Observer-Dispatch and the Minority Commerce Weekly.</w:t>
      </w:r>
    </w:p>
    <w:p>
      <w:pPr>
        <w:pStyle w:val="BodyText"/>
      </w:pPr>
    </w:p>
    <w:p>
      <w:pPr>
        <w:pStyle w:val="BodyText"/>
        <w:ind w:left="973"/>
      </w:pPr>
      <w:r>
        <w:rPr>
          <w:b/>
        </w:rPr>
        <w:t>FUNDING</w:t>
      </w:r>
      <w:r>
        <w:rPr/>
        <w:t>: This contract is to be paid for using operating funds.</w:t>
      </w:r>
    </w:p>
    <w:p>
      <w:pPr>
        <w:pStyle w:val="BodyText"/>
      </w:pPr>
    </w:p>
    <w:p>
      <w:pPr>
        <w:pStyle w:val="Heading7"/>
        <w:ind w:left="973"/>
        <w:jc w:val="left"/>
      </w:pPr>
      <w:r>
        <w:rPr/>
        <w:t>PRICING RECEIVED:</w:t>
      </w:r>
    </w:p>
    <w:p>
      <w:pPr>
        <w:pStyle w:val="BodyText"/>
        <w:spacing w:before="1"/>
        <w:rPr>
          <w:b/>
        </w:rPr>
      </w:pPr>
    </w:p>
    <w:tbl>
      <w:tblPr>
        <w:tblW w:w="0" w:type="auto"/>
        <w:jc w:val="left"/>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4"/>
        <w:gridCol w:w="2278"/>
        <w:gridCol w:w="1745"/>
        <w:gridCol w:w="2194"/>
      </w:tblGrid>
      <w:tr>
        <w:trPr>
          <w:trHeight w:val="575" w:hRule="atLeast"/>
        </w:trPr>
        <w:tc>
          <w:tcPr>
            <w:tcW w:w="2724" w:type="dxa"/>
          </w:tcPr>
          <w:p>
            <w:pPr>
              <w:pStyle w:val="TableParagraph"/>
              <w:spacing w:before="147"/>
              <w:ind w:left="148" w:right="142"/>
              <w:jc w:val="center"/>
              <w:rPr>
                <w:rFonts w:ascii="Times New Roman"/>
                <w:b/>
                <w:sz w:val="24"/>
              </w:rPr>
            </w:pPr>
            <w:r>
              <w:rPr>
                <w:rFonts w:ascii="Times New Roman"/>
                <w:b/>
                <w:sz w:val="24"/>
              </w:rPr>
              <w:t>Minivan Services</w:t>
            </w:r>
          </w:p>
        </w:tc>
        <w:tc>
          <w:tcPr>
            <w:tcW w:w="2278" w:type="dxa"/>
          </w:tcPr>
          <w:p>
            <w:pPr>
              <w:pStyle w:val="TableParagraph"/>
              <w:spacing w:line="270" w:lineRule="atLeast" w:before="11"/>
              <w:ind w:left="943" w:hanging="737"/>
              <w:rPr>
                <w:rFonts w:ascii="Times New Roman"/>
                <w:b/>
                <w:sz w:val="24"/>
              </w:rPr>
            </w:pPr>
            <w:r>
              <w:rPr>
                <w:rFonts w:ascii="Times New Roman"/>
                <w:b/>
                <w:sz w:val="24"/>
              </w:rPr>
              <w:t>CNY Cab Service, Inc.</w:t>
            </w:r>
          </w:p>
        </w:tc>
        <w:tc>
          <w:tcPr>
            <w:tcW w:w="1745" w:type="dxa"/>
          </w:tcPr>
          <w:p>
            <w:pPr>
              <w:pStyle w:val="TableParagraph"/>
              <w:spacing w:line="270" w:lineRule="atLeast" w:before="11"/>
              <w:ind w:left="673" w:right="197" w:hanging="449"/>
              <w:rPr>
                <w:rFonts w:ascii="Times New Roman"/>
                <w:b/>
                <w:sz w:val="24"/>
              </w:rPr>
            </w:pPr>
            <w:r>
              <w:rPr>
                <w:rFonts w:ascii="Times New Roman"/>
                <w:b/>
                <w:sz w:val="24"/>
              </w:rPr>
              <w:t>Empire DM, Inc.</w:t>
            </w:r>
          </w:p>
        </w:tc>
        <w:tc>
          <w:tcPr>
            <w:tcW w:w="2194" w:type="dxa"/>
          </w:tcPr>
          <w:p>
            <w:pPr>
              <w:pStyle w:val="TableParagraph"/>
              <w:ind w:left="308" w:right="282" w:firstLine="271"/>
              <w:rPr>
                <w:rFonts w:ascii="Times New Roman"/>
                <w:b/>
                <w:sz w:val="24"/>
              </w:rPr>
            </w:pPr>
            <w:r>
              <w:rPr>
                <w:rFonts w:ascii="Times New Roman"/>
                <w:b/>
                <w:sz w:val="24"/>
              </w:rPr>
              <w:t>Suburban Transportation</w:t>
            </w:r>
          </w:p>
        </w:tc>
      </w:tr>
      <w:tr>
        <w:trPr>
          <w:trHeight w:val="844" w:hRule="atLeast"/>
        </w:trPr>
        <w:tc>
          <w:tcPr>
            <w:tcW w:w="2724" w:type="dxa"/>
          </w:tcPr>
          <w:p>
            <w:pPr>
              <w:pStyle w:val="TableParagraph"/>
              <w:spacing w:before="41"/>
              <w:ind w:left="165" w:right="154" w:firstLine="2"/>
              <w:jc w:val="center"/>
              <w:rPr>
                <w:rFonts w:ascii="Times New Roman"/>
                <w:sz w:val="22"/>
              </w:rPr>
            </w:pPr>
            <w:r>
              <w:rPr>
                <w:rFonts w:ascii="Times New Roman"/>
                <w:sz w:val="22"/>
              </w:rPr>
              <w:t>Monday- Friday- 7:00AM- 5:30PM, with a break from 11:00AM-12:30PM</w:t>
            </w:r>
          </w:p>
        </w:tc>
        <w:tc>
          <w:tcPr>
            <w:tcW w:w="2278" w:type="dxa"/>
          </w:tcPr>
          <w:p>
            <w:pPr>
              <w:pStyle w:val="TableParagraph"/>
              <w:spacing w:before="6"/>
              <w:rPr>
                <w:rFonts w:ascii="Times New Roman"/>
                <w:b/>
                <w:sz w:val="24"/>
              </w:rPr>
            </w:pPr>
          </w:p>
          <w:p>
            <w:pPr>
              <w:pStyle w:val="TableParagraph"/>
              <w:ind w:left="791" w:right="777"/>
              <w:jc w:val="center"/>
              <w:rPr>
                <w:rFonts w:ascii="Times New Roman"/>
                <w:sz w:val="24"/>
              </w:rPr>
            </w:pPr>
            <w:r>
              <w:rPr>
                <w:rFonts w:ascii="Times New Roman"/>
                <w:sz w:val="24"/>
              </w:rPr>
              <w:t>$39.00</w:t>
            </w:r>
          </w:p>
        </w:tc>
        <w:tc>
          <w:tcPr>
            <w:tcW w:w="1745" w:type="dxa"/>
          </w:tcPr>
          <w:p>
            <w:pPr>
              <w:pStyle w:val="TableParagraph"/>
              <w:spacing w:before="6"/>
              <w:rPr>
                <w:rFonts w:ascii="Times New Roman"/>
                <w:b/>
                <w:sz w:val="24"/>
              </w:rPr>
            </w:pPr>
          </w:p>
          <w:p>
            <w:pPr>
              <w:pStyle w:val="TableParagraph"/>
              <w:ind w:left="521" w:right="513"/>
              <w:jc w:val="center"/>
              <w:rPr>
                <w:rFonts w:ascii="Times New Roman"/>
                <w:sz w:val="24"/>
              </w:rPr>
            </w:pPr>
            <w:r>
              <w:rPr>
                <w:rFonts w:ascii="Times New Roman"/>
                <w:sz w:val="24"/>
              </w:rPr>
              <w:t>$46.25</w:t>
            </w:r>
          </w:p>
        </w:tc>
        <w:tc>
          <w:tcPr>
            <w:tcW w:w="2194" w:type="dxa"/>
          </w:tcPr>
          <w:p>
            <w:pPr>
              <w:pStyle w:val="TableParagraph"/>
              <w:spacing w:before="6"/>
              <w:rPr>
                <w:rFonts w:ascii="Times New Roman"/>
                <w:b/>
                <w:sz w:val="24"/>
              </w:rPr>
            </w:pPr>
          </w:p>
          <w:p>
            <w:pPr>
              <w:pStyle w:val="TableParagraph"/>
              <w:ind w:left="744" w:right="739"/>
              <w:jc w:val="center"/>
              <w:rPr>
                <w:rFonts w:ascii="Times New Roman"/>
                <w:sz w:val="24"/>
              </w:rPr>
            </w:pPr>
            <w:r>
              <w:rPr>
                <w:rFonts w:ascii="Times New Roman"/>
                <w:sz w:val="24"/>
              </w:rPr>
              <w:t>$64.00</w:t>
            </w:r>
          </w:p>
        </w:tc>
      </w:tr>
      <w:tr>
        <w:trPr>
          <w:trHeight w:val="890" w:hRule="atLeast"/>
        </w:trPr>
        <w:tc>
          <w:tcPr>
            <w:tcW w:w="2724" w:type="dxa"/>
          </w:tcPr>
          <w:p>
            <w:pPr>
              <w:pStyle w:val="TableParagraph"/>
              <w:spacing w:before="63"/>
              <w:ind w:left="352" w:right="141" w:hanging="183"/>
              <w:rPr>
                <w:rFonts w:ascii="Times New Roman"/>
                <w:sz w:val="22"/>
              </w:rPr>
            </w:pPr>
            <w:r>
              <w:rPr>
                <w:rFonts w:ascii="Times New Roman"/>
                <w:sz w:val="22"/>
              </w:rPr>
              <w:t>Monday- Friday- 8:00AM- 6:00PM, with a 2-hour flexible/ floating break</w:t>
            </w:r>
          </w:p>
        </w:tc>
        <w:tc>
          <w:tcPr>
            <w:tcW w:w="2278" w:type="dxa"/>
          </w:tcPr>
          <w:p>
            <w:pPr>
              <w:pStyle w:val="TableParagraph"/>
              <w:spacing w:before="7"/>
              <w:rPr>
                <w:rFonts w:ascii="Times New Roman"/>
                <w:b/>
                <w:sz w:val="26"/>
              </w:rPr>
            </w:pPr>
          </w:p>
          <w:p>
            <w:pPr>
              <w:pStyle w:val="TableParagraph"/>
              <w:ind w:left="791" w:right="777"/>
              <w:jc w:val="center"/>
              <w:rPr>
                <w:rFonts w:ascii="Times New Roman"/>
                <w:sz w:val="24"/>
              </w:rPr>
            </w:pPr>
            <w:r>
              <w:rPr>
                <w:rFonts w:ascii="Times New Roman"/>
                <w:sz w:val="24"/>
              </w:rPr>
              <w:t>$39.00</w:t>
            </w:r>
          </w:p>
        </w:tc>
        <w:tc>
          <w:tcPr>
            <w:tcW w:w="1745" w:type="dxa"/>
          </w:tcPr>
          <w:p>
            <w:pPr>
              <w:pStyle w:val="TableParagraph"/>
              <w:spacing w:before="7"/>
              <w:rPr>
                <w:rFonts w:ascii="Times New Roman"/>
                <w:b/>
                <w:sz w:val="26"/>
              </w:rPr>
            </w:pPr>
          </w:p>
          <w:p>
            <w:pPr>
              <w:pStyle w:val="TableParagraph"/>
              <w:ind w:left="521" w:right="513"/>
              <w:jc w:val="center"/>
              <w:rPr>
                <w:rFonts w:ascii="Times New Roman"/>
                <w:sz w:val="24"/>
              </w:rPr>
            </w:pPr>
            <w:r>
              <w:rPr>
                <w:rFonts w:ascii="Times New Roman"/>
                <w:sz w:val="24"/>
              </w:rPr>
              <w:t>$46.25</w:t>
            </w:r>
          </w:p>
        </w:tc>
        <w:tc>
          <w:tcPr>
            <w:tcW w:w="2194" w:type="dxa"/>
          </w:tcPr>
          <w:p>
            <w:pPr>
              <w:pStyle w:val="TableParagraph"/>
              <w:spacing w:before="7"/>
              <w:rPr>
                <w:rFonts w:ascii="Times New Roman"/>
                <w:b/>
                <w:sz w:val="26"/>
              </w:rPr>
            </w:pPr>
          </w:p>
          <w:p>
            <w:pPr>
              <w:pStyle w:val="TableParagraph"/>
              <w:ind w:left="744" w:right="739"/>
              <w:jc w:val="center"/>
              <w:rPr>
                <w:rFonts w:ascii="Times New Roman"/>
                <w:sz w:val="24"/>
              </w:rPr>
            </w:pPr>
            <w:r>
              <w:rPr>
                <w:rFonts w:ascii="Times New Roman"/>
                <w:sz w:val="24"/>
              </w:rPr>
              <w:t>$64.00</w:t>
            </w:r>
          </w:p>
        </w:tc>
      </w:tr>
      <w:tr>
        <w:trPr>
          <w:trHeight w:val="890" w:hRule="atLeast"/>
        </w:trPr>
        <w:tc>
          <w:tcPr>
            <w:tcW w:w="2724" w:type="dxa"/>
          </w:tcPr>
          <w:p>
            <w:pPr>
              <w:pStyle w:val="TableParagraph"/>
              <w:spacing w:before="63"/>
              <w:ind w:left="165" w:right="154" w:firstLine="2"/>
              <w:jc w:val="center"/>
              <w:rPr>
                <w:rFonts w:ascii="Times New Roman"/>
                <w:sz w:val="22"/>
              </w:rPr>
            </w:pPr>
            <w:r>
              <w:rPr>
                <w:rFonts w:ascii="Times New Roman"/>
                <w:sz w:val="22"/>
              </w:rPr>
              <w:t>Monday- Friday- 7:00AM- 6:00PM, with a break from 11:00AM-2:00PM</w:t>
            </w:r>
          </w:p>
        </w:tc>
        <w:tc>
          <w:tcPr>
            <w:tcW w:w="2278" w:type="dxa"/>
          </w:tcPr>
          <w:p>
            <w:pPr>
              <w:pStyle w:val="TableParagraph"/>
              <w:spacing w:before="7"/>
              <w:rPr>
                <w:rFonts w:ascii="Times New Roman"/>
                <w:b/>
                <w:sz w:val="26"/>
              </w:rPr>
            </w:pPr>
          </w:p>
          <w:p>
            <w:pPr>
              <w:pStyle w:val="TableParagraph"/>
              <w:ind w:left="791" w:right="777"/>
              <w:jc w:val="center"/>
              <w:rPr>
                <w:rFonts w:ascii="Times New Roman"/>
                <w:sz w:val="24"/>
              </w:rPr>
            </w:pPr>
            <w:r>
              <w:rPr>
                <w:rFonts w:ascii="Times New Roman"/>
                <w:sz w:val="24"/>
              </w:rPr>
              <w:t>$39.00</w:t>
            </w:r>
          </w:p>
        </w:tc>
        <w:tc>
          <w:tcPr>
            <w:tcW w:w="1745" w:type="dxa"/>
          </w:tcPr>
          <w:p>
            <w:pPr>
              <w:pStyle w:val="TableParagraph"/>
              <w:spacing w:before="7"/>
              <w:rPr>
                <w:rFonts w:ascii="Times New Roman"/>
                <w:b/>
                <w:sz w:val="26"/>
              </w:rPr>
            </w:pPr>
          </w:p>
          <w:p>
            <w:pPr>
              <w:pStyle w:val="TableParagraph"/>
              <w:ind w:left="521" w:right="513"/>
              <w:jc w:val="center"/>
              <w:rPr>
                <w:rFonts w:ascii="Times New Roman"/>
                <w:sz w:val="24"/>
              </w:rPr>
            </w:pPr>
            <w:r>
              <w:rPr>
                <w:rFonts w:ascii="Times New Roman"/>
                <w:sz w:val="24"/>
              </w:rPr>
              <w:t>$46.25</w:t>
            </w:r>
          </w:p>
        </w:tc>
        <w:tc>
          <w:tcPr>
            <w:tcW w:w="2194" w:type="dxa"/>
          </w:tcPr>
          <w:p>
            <w:pPr>
              <w:pStyle w:val="TableParagraph"/>
              <w:spacing w:before="7"/>
              <w:rPr>
                <w:rFonts w:ascii="Times New Roman"/>
                <w:b/>
                <w:sz w:val="26"/>
              </w:rPr>
            </w:pPr>
          </w:p>
          <w:p>
            <w:pPr>
              <w:pStyle w:val="TableParagraph"/>
              <w:ind w:left="744" w:right="739"/>
              <w:jc w:val="center"/>
              <w:rPr>
                <w:rFonts w:ascii="Times New Roman"/>
                <w:sz w:val="24"/>
              </w:rPr>
            </w:pPr>
            <w:r>
              <w:rPr>
                <w:rFonts w:ascii="Times New Roman"/>
                <w:sz w:val="24"/>
              </w:rPr>
              <w:t>$64.00</w:t>
            </w:r>
          </w:p>
        </w:tc>
      </w:tr>
      <w:tr>
        <w:trPr>
          <w:trHeight w:val="890" w:hRule="atLeast"/>
        </w:trPr>
        <w:tc>
          <w:tcPr>
            <w:tcW w:w="2724" w:type="dxa"/>
          </w:tcPr>
          <w:p>
            <w:pPr>
              <w:pStyle w:val="TableParagraph"/>
              <w:spacing w:before="63"/>
              <w:ind w:left="153" w:right="140"/>
              <w:jc w:val="center"/>
              <w:rPr>
                <w:rFonts w:ascii="Times New Roman"/>
                <w:sz w:val="22"/>
              </w:rPr>
            </w:pPr>
            <w:r>
              <w:rPr>
                <w:rFonts w:ascii="Times New Roman"/>
                <w:sz w:val="22"/>
              </w:rPr>
              <w:t>Monday- Friday- 6:30AM- 4:00PM, with a 1.5-hour flexible / floating break</w:t>
            </w:r>
          </w:p>
        </w:tc>
        <w:tc>
          <w:tcPr>
            <w:tcW w:w="2278" w:type="dxa"/>
          </w:tcPr>
          <w:p>
            <w:pPr>
              <w:pStyle w:val="TableParagraph"/>
              <w:spacing w:before="7"/>
              <w:rPr>
                <w:rFonts w:ascii="Times New Roman"/>
                <w:b/>
                <w:sz w:val="26"/>
              </w:rPr>
            </w:pPr>
          </w:p>
          <w:p>
            <w:pPr>
              <w:pStyle w:val="TableParagraph"/>
              <w:ind w:left="791" w:right="777"/>
              <w:jc w:val="center"/>
              <w:rPr>
                <w:rFonts w:ascii="Times New Roman"/>
                <w:sz w:val="24"/>
              </w:rPr>
            </w:pPr>
            <w:r>
              <w:rPr>
                <w:rFonts w:ascii="Times New Roman"/>
                <w:sz w:val="24"/>
              </w:rPr>
              <w:t>$39.00</w:t>
            </w:r>
          </w:p>
        </w:tc>
        <w:tc>
          <w:tcPr>
            <w:tcW w:w="1745" w:type="dxa"/>
          </w:tcPr>
          <w:p>
            <w:pPr>
              <w:pStyle w:val="TableParagraph"/>
              <w:spacing w:before="7"/>
              <w:rPr>
                <w:rFonts w:ascii="Times New Roman"/>
                <w:b/>
                <w:sz w:val="26"/>
              </w:rPr>
            </w:pPr>
          </w:p>
          <w:p>
            <w:pPr>
              <w:pStyle w:val="TableParagraph"/>
              <w:ind w:left="521" w:right="513"/>
              <w:jc w:val="center"/>
              <w:rPr>
                <w:rFonts w:ascii="Times New Roman"/>
                <w:sz w:val="24"/>
              </w:rPr>
            </w:pPr>
            <w:r>
              <w:rPr>
                <w:rFonts w:ascii="Times New Roman"/>
                <w:sz w:val="24"/>
              </w:rPr>
              <w:t>$46.25</w:t>
            </w:r>
          </w:p>
        </w:tc>
        <w:tc>
          <w:tcPr>
            <w:tcW w:w="2194" w:type="dxa"/>
          </w:tcPr>
          <w:p>
            <w:pPr>
              <w:pStyle w:val="TableParagraph"/>
              <w:spacing w:before="7"/>
              <w:rPr>
                <w:rFonts w:ascii="Times New Roman"/>
                <w:b/>
                <w:sz w:val="26"/>
              </w:rPr>
            </w:pPr>
          </w:p>
          <w:p>
            <w:pPr>
              <w:pStyle w:val="TableParagraph"/>
              <w:ind w:left="744" w:right="739"/>
              <w:jc w:val="center"/>
              <w:rPr>
                <w:rFonts w:ascii="Times New Roman"/>
                <w:sz w:val="24"/>
              </w:rPr>
            </w:pPr>
            <w:r>
              <w:rPr>
                <w:rFonts w:ascii="Times New Roman"/>
                <w:sz w:val="24"/>
              </w:rPr>
              <w:t>$64.00</w:t>
            </w:r>
          </w:p>
        </w:tc>
      </w:tr>
      <w:tr>
        <w:trPr>
          <w:trHeight w:val="798" w:hRule="atLeast"/>
        </w:trPr>
        <w:tc>
          <w:tcPr>
            <w:tcW w:w="2724" w:type="dxa"/>
          </w:tcPr>
          <w:p>
            <w:pPr>
              <w:pStyle w:val="TableParagraph"/>
              <w:spacing w:before="20"/>
              <w:ind w:left="153" w:right="142"/>
              <w:jc w:val="center"/>
              <w:rPr>
                <w:rFonts w:ascii="Times New Roman"/>
                <w:sz w:val="22"/>
              </w:rPr>
            </w:pPr>
            <w:r>
              <w:rPr>
                <w:rFonts w:ascii="Times New Roman"/>
                <w:sz w:val="22"/>
              </w:rPr>
              <w:t>Saturday, Sunday and Holidays- 1:00PM-6:00PM with no split</w:t>
            </w:r>
          </w:p>
        </w:tc>
        <w:tc>
          <w:tcPr>
            <w:tcW w:w="2278" w:type="dxa"/>
          </w:tcPr>
          <w:p>
            <w:pPr>
              <w:pStyle w:val="TableParagraph"/>
              <w:spacing w:before="7"/>
              <w:rPr>
                <w:rFonts w:ascii="Times New Roman"/>
                <w:b/>
                <w:sz w:val="22"/>
              </w:rPr>
            </w:pPr>
          </w:p>
          <w:p>
            <w:pPr>
              <w:pStyle w:val="TableParagraph"/>
              <w:ind w:left="791" w:right="777"/>
              <w:jc w:val="center"/>
              <w:rPr>
                <w:rFonts w:ascii="Times New Roman"/>
                <w:sz w:val="24"/>
              </w:rPr>
            </w:pPr>
            <w:r>
              <w:rPr>
                <w:rFonts w:ascii="Times New Roman"/>
                <w:sz w:val="24"/>
              </w:rPr>
              <w:t>$39.00</w:t>
            </w:r>
          </w:p>
        </w:tc>
        <w:tc>
          <w:tcPr>
            <w:tcW w:w="1745" w:type="dxa"/>
          </w:tcPr>
          <w:p>
            <w:pPr>
              <w:pStyle w:val="TableParagraph"/>
              <w:spacing w:before="7"/>
              <w:rPr>
                <w:rFonts w:ascii="Times New Roman"/>
                <w:b/>
                <w:sz w:val="22"/>
              </w:rPr>
            </w:pPr>
          </w:p>
          <w:p>
            <w:pPr>
              <w:pStyle w:val="TableParagraph"/>
              <w:ind w:left="521" w:right="513"/>
              <w:jc w:val="center"/>
              <w:rPr>
                <w:rFonts w:ascii="Times New Roman"/>
                <w:sz w:val="24"/>
              </w:rPr>
            </w:pPr>
            <w:r>
              <w:rPr>
                <w:rFonts w:ascii="Times New Roman"/>
                <w:sz w:val="24"/>
              </w:rPr>
              <w:t>$46.25</w:t>
            </w:r>
          </w:p>
        </w:tc>
        <w:tc>
          <w:tcPr>
            <w:tcW w:w="2194" w:type="dxa"/>
          </w:tcPr>
          <w:p>
            <w:pPr>
              <w:pStyle w:val="TableParagraph"/>
              <w:spacing w:before="7"/>
              <w:rPr>
                <w:rFonts w:ascii="Times New Roman"/>
                <w:b/>
                <w:sz w:val="22"/>
              </w:rPr>
            </w:pPr>
          </w:p>
          <w:p>
            <w:pPr>
              <w:pStyle w:val="TableParagraph"/>
              <w:ind w:left="744" w:right="739"/>
              <w:jc w:val="center"/>
              <w:rPr>
                <w:rFonts w:ascii="Times New Roman"/>
                <w:sz w:val="24"/>
              </w:rPr>
            </w:pPr>
            <w:r>
              <w:rPr>
                <w:rFonts w:ascii="Times New Roman"/>
                <w:sz w:val="24"/>
              </w:rPr>
              <w:t>$64.00</w:t>
            </w:r>
          </w:p>
        </w:tc>
      </w:tr>
      <w:tr>
        <w:trPr>
          <w:trHeight w:val="1070" w:hRule="atLeast"/>
        </w:trPr>
        <w:tc>
          <w:tcPr>
            <w:tcW w:w="2724" w:type="dxa"/>
          </w:tcPr>
          <w:p>
            <w:pPr>
              <w:pStyle w:val="TableParagraph"/>
              <w:spacing w:before="29"/>
              <w:ind w:left="150" w:right="141"/>
              <w:jc w:val="center"/>
              <w:rPr>
                <w:rFonts w:ascii="Times New Roman"/>
                <w:sz w:val="22"/>
              </w:rPr>
            </w:pPr>
            <w:r>
              <w:rPr>
                <w:rFonts w:ascii="Times New Roman"/>
                <w:sz w:val="22"/>
              </w:rPr>
              <w:t>Seven (7) days per week including holidays- On a as needed basis from 5:00AM to 12:30AM.</w:t>
            </w:r>
          </w:p>
        </w:tc>
        <w:tc>
          <w:tcPr>
            <w:tcW w:w="2278" w:type="dxa"/>
          </w:tcPr>
          <w:p>
            <w:pPr>
              <w:pStyle w:val="TableParagraph"/>
              <w:spacing w:before="6"/>
              <w:rPr>
                <w:rFonts w:ascii="Times New Roman"/>
                <w:b/>
                <w:sz w:val="34"/>
              </w:rPr>
            </w:pPr>
          </w:p>
          <w:p>
            <w:pPr>
              <w:pStyle w:val="TableParagraph"/>
              <w:ind w:left="791" w:right="777"/>
              <w:jc w:val="center"/>
              <w:rPr>
                <w:rFonts w:ascii="Times New Roman"/>
                <w:sz w:val="24"/>
              </w:rPr>
            </w:pPr>
            <w:r>
              <w:rPr>
                <w:rFonts w:ascii="Times New Roman"/>
                <w:sz w:val="24"/>
              </w:rPr>
              <w:t>$39.00</w:t>
            </w:r>
          </w:p>
        </w:tc>
        <w:tc>
          <w:tcPr>
            <w:tcW w:w="1745" w:type="dxa"/>
          </w:tcPr>
          <w:p>
            <w:pPr>
              <w:pStyle w:val="TableParagraph"/>
              <w:spacing w:before="6"/>
              <w:rPr>
                <w:rFonts w:ascii="Times New Roman"/>
                <w:b/>
                <w:sz w:val="34"/>
              </w:rPr>
            </w:pPr>
          </w:p>
          <w:p>
            <w:pPr>
              <w:pStyle w:val="TableParagraph"/>
              <w:ind w:left="521" w:right="513"/>
              <w:jc w:val="center"/>
              <w:rPr>
                <w:rFonts w:ascii="Times New Roman"/>
                <w:sz w:val="24"/>
              </w:rPr>
            </w:pPr>
            <w:r>
              <w:rPr>
                <w:rFonts w:ascii="Times New Roman"/>
                <w:sz w:val="24"/>
              </w:rPr>
              <w:t>$46.25</w:t>
            </w:r>
          </w:p>
        </w:tc>
        <w:tc>
          <w:tcPr>
            <w:tcW w:w="2194" w:type="dxa"/>
          </w:tcPr>
          <w:p>
            <w:pPr>
              <w:pStyle w:val="TableParagraph"/>
              <w:spacing w:before="6"/>
              <w:rPr>
                <w:rFonts w:ascii="Times New Roman"/>
                <w:b/>
                <w:sz w:val="34"/>
              </w:rPr>
            </w:pPr>
          </w:p>
          <w:p>
            <w:pPr>
              <w:pStyle w:val="TableParagraph"/>
              <w:ind w:left="744" w:right="739"/>
              <w:jc w:val="center"/>
              <w:rPr>
                <w:rFonts w:ascii="Times New Roman"/>
                <w:sz w:val="24"/>
              </w:rPr>
            </w:pPr>
            <w:r>
              <w:rPr>
                <w:rFonts w:ascii="Times New Roman"/>
                <w:sz w:val="24"/>
              </w:rPr>
              <w:t>$76.00</w:t>
            </w:r>
          </w:p>
        </w:tc>
      </w:tr>
      <w:tr>
        <w:trPr>
          <w:trHeight w:val="287" w:hRule="atLeast"/>
        </w:trPr>
        <w:tc>
          <w:tcPr>
            <w:tcW w:w="2724" w:type="dxa"/>
          </w:tcPr>
          <w:p>
            <w:pPr>
              <w:pStyle w:val="TableParagraph"/>
              <w:spacing w:line="250" w:lineRule="exact" w:before="17"/>
              <w:ind w:left="153" w:right="142"/>
              <w:jc w:val="center"/>
              <w:rPr>
                <w:rFonts w:ascii="Times New Roman"/>
                <w:b/>
                <w:sz w:val="22"/>
              </w:rPr>
            </w:pPr>
            <w:r>
              <w:rPr>
                <w:rFonts w:ascii="Times New Roman"/>
                <w:b/>
                <w:sz w:val="22"/>
              </w:rPr>
              <w:t>Annual Escalators</w:t>
            </w:r>
          </w:p>
        </w:tc>
        <w:tc>
          <w:tcPr>
            <w:tcW w:w="2278" w:type="dxa"/>
          </w:tcPr>
          <w:p>
            <w:pPr>
              <w:pStyle w:val="TableParagraph"/>
              <w:rPr>
                <w:rFonts w:ascii="Times New Roman"/>
                <w:sz w:val="20"/>
              </w:rPr>
            </w:pPr>
          </w:p>
        </w:tc>
        <w:tc>
          <w:tcPr>
            <w:tcW w:w="1745" w:type="dxa"/>
          </w:tcPr>
          <w:p>
            <w:pPr>
              <w:pStyle w:val="TableParagraph"/>
              <w:rPr>
                <w:rFonts w:ascii="Times New Roman"/>
                <w:sz w:val="20"/>
              </w:rPr>
            </w:pPr>
          </w:p>
        </w:tc>
        <w:tc>
          <w:tcPr>
            <w:tcW w:w="2194" w:type="dxa"/>
          </w:tcPr>
          <w:p>
            <w:pPr>
              <w:pStyle w:val="TableParagraph"/>
              <w:rPr>
                <w:rFonts w:ascii="Times New Roman"/>
                <w:sz w:val="20"/>
              </w:rPr>
            </w:pPr>
          </w:p>
        </w:tc>
      </w:tr>
      <w:tr>
        <w:trPr>
          <w:trHeight w:val="287" w:hRule="atLeast"/>
        </w:trPr>
        <w:tc>
          <w:tcPr>
            <w:tcW w:w="2724" w:type="dxa"/>
          </w:tcPr>
          <w:p>
            <w:pPr>
              <w:pStyle w:val="TableParagraph"/>
              <w:spacing w:line="252" w:lineRule="exact" w:before="15"/>
              <w:ind w:left="153" w:right="141"/>
              <w:jc w:val="center"/>
              <w:rPr>
                <w:rFonts w:ascii="Times New Roman"/>
                <w:sz w:val="22"/>
              </w:rPr>
            </w:pPr>
            <w:r>
              <w:rPr>
                <w:rFonts w:ascii="Times New Roman"/>
                <w:sz w:val="22"/>
              </w:rPr>
              <w:t>Year 2</w:t>
            </w:r>
          </w:p>
        </w:tc>
        <w:tc>
          <w:tcPr>
            <w:tcW w:w="2278" w:type="dxa"/>
          </w:tcPr>
          <w:p>
            <w:pPr>
              <w:pStyle w:val="TableParagraph"/>
              <w:spacing w:line="261" w:lineRule="exact" w:before="6"/>
              <w:ind w:left="791" w:right="777"/>
              <w:jc w:val="center"/>
              <w:rPr>
                <w:rFonts w:ascii="Times New Roman"/>
                <w:sz w:val="24"/>
              </w:rPr>
            </w:pPr>
            <w:r>
              <w:rPr>
                <w:rFonts w:ascii="Times New Roman"/>
                <w:sz w:val="24"/>
              </w:rPr>
              <w:t>2%</w:t>
            </w:r>
          </w:p>
        </w:tc>
        <w:tc>
          <w:tcPr>
            <w:tcW w:w="1745" w:type="dxa"/>
          </w:tcPr>
          <w:p>
            <w:pPr>
              <w:pStyle w:val="TableParagraph"/>
              <w:spacing w:line="261" w:lineRule="exact" w:before="6"/>
              <w:ind w:left="521" w:right="512"/>
              <w:jc w:val="center"/>
              <w:rPr>
                <w:rFonts w:ascii="Times New Roman"/>
                <w:sz w:val="24"/>
              </w:rPr>
            </w:pPr>
            <w:r>
              <w:rPr>
                <w:rFonts w:ascii="Times New Roman"/>
                <w:sz w:val="24"/>
              </w:rPr>
              <w:t>2%</w:t>
            </w:r>
          </w:p>
        </w:tc>
        <w:tc>
          <w:tcPr>
            <w:tcW w:w="2194" w:type="dxa"/>
          </w:tcPr>
          <w:p>
            <w:pPr>
              <w:pStyle w:val="TableParagraph"/>
              <w:spacing w:line="261" w:lineRule="exact" w:before="6"/>
              <w:ind w:left="744" w:right="738"/>
              <w:jc w:val="center"/>
              <w:rPr>
                <w:rFonts w:ascii="Times New Roman"/>
                <w:sz w:val="24"/>
              </w:rPr>
            </w:pPr>
            <w:r>
              <w:rPr>
                <w:rFonts w:ascii="Times New Roman"/>
                <w:sz w:val="24"/>
              </w:rPr>
              <w:t>3%</w:t>
            </w:r>
          </w:p>
        </w:tc>
      </w:tr>
      <w:tr>
        <w:trPr>
          <w:trHeight w:val="287" w:hRule="atLeast"/>
        </w:trPr>
        <w:tc>
          <w:tcPr>
            <w:tcW w:w="2724" w:type="dxa"/>
          </w:tcPr>
          <w:p>
            <w:pPr>
              <w:pStyle w:val="TableParagraph"/>
              <w:spacing w:line="252" w:lineRule="exact" w:before="15"/>
              <w:ind w:left="153" w:right="141"/>
              <w:jc w:val="center"/>
              <w:rPr>
                <w:rFonts w:ascii="Times New Roman"/>
                <w:sz w:val="22"/>
              </w:rPr>
            </w:pPr>
            <w:r>
              <w:rPr>
                <w:rFonts w:ascii="Times New Roman"/>
                <w:sz w:val="22"/>
              </w:rPr>
              <w:t>Year 3</w:t>
            </w:r>
          </w:p>
        </w:tc>
        <w:tc>
          <w:tcPr>
            <w:tcW w:w="2278" w:type="dxa"/>
          </w:tcPr>
          <w:p>
            <w:pPr>
              <w:pStyle w:val="TableParagraph"/>
              <w:spacing w:line="264" w:lineRule="exact" w:before="3"/>
              <w:ind w:left="791" w:right="777"/>
              <w:jc w:val="center"/>
              <w:rPr>
                <w:rFonts w:ascii="Times New Roman"/>
                <w:sz w:val="24"/>
              </w:rPr>
            </w:pPr>
            <w:r>
              <w:rPr>
                <w:rFonts w:ascii="Times New Roman"/>
                <w:sz w:val="24"/>
              </w:rPr>
              <w:t>2%</w:t>
            </w:r>
          </w:p>
        </w:tc>
        <w:tc>
          <w:tcPr>
            <w:tcW w:w="1745" w:type="dxa"/>
          </w:tcPr>
          <w:p>
            <w:pPr>
              <w:pStyle w:val="TableParagraph"/>
              <w:spacing w:line="264" w:lineRule="exact" w:before="3"/>
              <w:ind w:left="521" w:right="512"/>
              <w:jc w:val="center"/>
              <w:rPr>
                <w:rFonts w:ascii="Times New Roman"/>
                <w:sz w:val="24"/>
              </w:rPr>
            </w:pPr>
            <w:r>
              <w:rPr>
                <w:rFonts w:ascii="Times New Roman"/>
                <w:sz w:val="24"/>
              </w:rPr>
              <w:t>2%</w:t>
            </w:r>
          </w:p>
        </w:tc>
        <w:tc>
          <w:tcPr>
            <w:tcW w:w="2194" w:type="dxa"/>
          </w:tcPr>
          <w:p>
            <w:pPr>
              <w:pStyle w:val="TableParagraph"/>
              <w:spacing w:line="264" w:lineRule="exact" w:before="3"/>
              <w:ind w:left="744" w:right="738"/>
              <w:jc w:val="center"/>
              <w:rPr>
                <w:rFonts w:ascii="Times New Roman"/>
                <w:sz w:val="24"/>
              </w:rPr>
            </w:pPr>
            <w:r>
              <w:rPr>
                <w:rFonts w:ascii="Times New Roman"/>
                <w:sz w:val="24"/>
              </w:rPr>
              <w:t>3%</w:t>
            </w:r>
          </w:p>
        </w:tc>
      </w:tr>
      <w:tr>
        <w:trPr>
          <w:trHeight w:val="285" w:hRule="atLeast"/>
        </w:trPr>
        <w:tc>
          <w:tcPr>
            <w:tcW w:w="2724" w:type="dxa"/>
          </w:tcPr>
          <w:p>
            <w:pPr>
              <w:pStyle w:val="TableParagraph"/>
              <w:spacing w:line="250" w:lineRule="exact" w:before="15"/>
              <w:ind w:left="153" w:right="141"/>
              <w:jc w:val="center"/>
              <w:rPr>
                <w:rFonts w:ascii="Times New Roman"/>
                <w:sz w:val="22"/>
              </w:rPr>
            </w:pPr>
            <w:r>
              <w:rPr>
                <w:rFonts w:ascii="Times New Roman"/>
                <w:sz w:val="22"/>
              </w:rPr>
              <w:t>Year 4</w:t>
            </w:r>
          </w:p>
        </w:tc>
        <w:tc>
          <w:tcPr>
            <w:tcW w:w="2278" w:type="dxa"/>
          </w:tcPr>
          <w:p>
            <w:pPr>
              <w:pStyle w:val="TableParagraph"/>
              <w:spacing w:line="261" w:lineRule="exact" w:before="3"/>
              <w:ind w:left="791" w:right="777"/>
              <w:jc w:val="center"/>
              <w:rPr>
                <w:rFonts w:ascii="Times New Roman"/>
                <w:sz w:val="24"/>
              </w:rPr>
            </w:pPr>
            <w:r>
              <w:rPr>
                <w:rFonts w:ascii="Times New Roman"/>
                <w:sz w:val="24"/>
              </w:rPr>
              <w:t>2%</w:t>
            </w:r>
          </w:p>
        </w:tc>
        <w:tc>
          <w:tcPr>
            <w:tcW w:w="1745" w:type="dxa"/>
          </w:tcPr>
          <w:p>
            <w:pPr>
              <w:pStyle w:val="TableParagraph"/>
              <w:spacing w:line="261" w:lineRule="exact" w:before="3"/>
              <w:ind w:left="521" w:right="512"/>
              <w:jc w:val="center"/>
              <w:rPr>
                <w:rFonts w:ascii="Times New Roman"/>
                <w:sz w:val="24"/>
              </w:rPr>
            </w:pPr>
            <w:r>
              <w:rPr>
                <w:rFonts w:ascii="Times New Roman"/>
                <w:sz w:val="24"/>
              </w:rPr>
              <w:t>2%</w:t>
            </w:r>
          </w:p>
        </w:tc>
        <w:tc>
          <w:tcPr>
            <w:tcW w:w="2194" w:type="dxa"/>
          </w:tcPr>
          <w:p>
            <w:pPr>
              <w:pStyle w:val="TableParagraph"/>
              <w:spacing w:line="261" w:lineRule="exact" w:before="3"/>
              <w:ind w:left="744" w:right="738"/>
              <w:jc w:val="center"/>
              <w:rPr>
                <w:rFonts w:ascii="Times New Roman"/>
                <w:sz w:val="24"/>
              </w:rPr>
            </w:pPr>
            <w:r>
              <w:rPr>
                <w:rFonts w:ascii="Times New Roman"/>
                <w:sz w:val="24"/>
              </w:rPr>
              <w:t>3%</w:t>
            </w:r>
          </w:p>
        </w:tc>
      </w:tr>
      <w:tr>
        <w:trPr>
          <w:trHeight w:val="287" w:hRule="atLeast"/>
        </w:trPr>
        <w:tc>
          <w:tcPr>
            <w:tcW w:w="2724" w:type="dxa"/>
          </w:tcPr>
          <w:p>
            <w:pPr>
              <w:pStyle w:val="TableParagraph"/>
              <w:spacing w:line="250" w:lineRule="exact" w:before="17"/>
              <w:ind w:left="153" w:right="141"/>
              <w:jc w:val="center"/>
              <w:rPr>
                <w:rFonts w:ascii="Times New Roman"/>
                <w:sz w:val="22"/>
              </w:rPr>
            </w:pPr>
            <w:r>
              <w:rPr>
                <w:rFonts w:ascii="Times New Roman"/>
                <w:sz w:val="22"/>
              </w:rPr>
              <w:t>Year 5</w:t>
            </w:r>
          </w:p>
        </w:tc>
        <w:tc>
          <w:tcPr>
            <w:tcW w:w="2278" w:type="dxa"/>
          </w:tcPr>
          <w:p>
            <w:pPr>
              <w:pStyle w:val="TableParagraph"/>
              <w:spacing w:line="261" w:lineRule="exact" w:before="6"/>
              <w:ind w:left="791" w:right="777"/>
              <w:jc w:val="center"/>
              <w:rPr>
                <w:rFonts w:ascii="Times New Roman"/>
                <w:sz w:val="24"/>
              </w:rPr>
            </w:pPr>
            <w:r>
              <w:rPr>
                <w:rFonts w:ascii="Times New Roman"/>
                <w:sz w:val="24"/>
              </w:rPr>
              <w:t>2%</w:t>
            </w:r>
          </w:p>
        </w:tc>
        <w:tc>
          <w:tcPr>
            <w:tcW w:w="1745" w:type="dxa"/>
          </w:tcPr>
          <w:p>
            <w:pPr>
              <w:pStyle w:val="TableParagraph"/>
              <w:spacing w:line="261" w:lineRule="exact" w:before="6"/>
              <w:ind w:left="521" w:right="512"/>
              <w:jc w:val="center"/>
              <w:rPr>
                <w:rFonts w:ascii="Times New Roman"/>
                <w:sz w:val="24"/>
              </w:rPr>
            </w:pPr>
            <w:r>
              <w:rPr>
                <w:rFonts w:ascii="Times New Roman"/>
                <w:sz w:val="24"/>
              </w:rPr>
              <w:t>2%</w:t>
            </w:r>
          </w:p>
        </w:tc>
        <w:tc>
          <w:tcPr>
            <w:tcW w:w="2194" w:type="dxa"/>
          </w:tcPr>
          <w:p>
            <w:pPr>
              <w:pStyle w:val="TableParagraph"/>
              <w:spacing w:line="261" w:lineRule="exact" w:before="6"/>
              <w:ind w:left="744" w:right="738"/>
              <w:jc w:val="center"/>
              <w:rPr>
                <w:rFonts w:ascii="Times New Roman"/>
                <w:sz w:val="24"/>
              </w:rPr>
            </w:pPr>
            <w:r>
              <w:rPr>
                <w:rFonts w:ascii="Times New Roman"/>
                <w:sz w:val="24"/>
              </w:rPr>
              <w:t>3%</w:t>
            </w:r>
          </w:p>
        </w:tc>
      </w:tr>
    </w:tbl>
    <w:p>
      <w:pPr>
        <w:pStyle w:val="BodyText"/>
        <w:spacing w:before="10"/>
        <w:rPr>
          <w:b/>
          <w:sz w:val="23"/>
        </w:rPr>
      </w:pPr>
    </w:p>
    <w:p>
      <w:pPr>
        <w:pStyle w:val="BodyText"/>
        <w:ind w:left="973" w:right="1209"/>
      </w:pPr>
      <w:r>
        <w:rPr>
          <w:b/>
        </w:rPr>
        <w:t>COMMENTS</w:t>
      </w:r>
      <w:r>
        <w:rPr/>
        <w:t>: CNY Cab Service, Inc., has provided specialized transportation services in the past with positive results.</w:t>
      </w:r>
    </w:p>
    <w:p>
      <w:pPr>
        <w:pStyle w:val="BodyText"/>
      </w:pPr>
    </w:p>
    <w:p>
      <w:pPr>
        <w:pStyle w:val="BodyText"/>
        <w:ind w:left="973" w:right="975"/>
      </w:pPr>
      <w:r>
        <w:rPr>
          <w:b/>
        </w:rPr>
        <w:t>MWBE: </w:t>
      </w:r>
      <w:r>
        <w:rPr/>
        <w:t>A full waiver for MWBE participation was approved by NYS Empire Development on this contract.</w:t>
      </w:r>
    </w:p>
    <w:p>
      <w:pPr>
        <w:pStyle w:val="BodyText"/>
      </w:pPr>
    </w:p>
    <w:p>
      <w:pPr>
        <w:pStyle w:val="BodyText"/>
        <w:spacing w:before="1"/>
        <w:ind w:left="973" w:right="988"/>
      </w:pPr>
      <w:r>
        <w:rPr>
          <w:b/>
        </w:rPr>
        <w:t>RECOMMENDATION</w:t>
      </w:r>
      <w:r>
        <w:rPr/>
        <w:t>: Based upon evaluation of the bid documents staff recommends the contract award to CNY Cab Service, Inc., for a five (5) year term, commencing February 1, 2026.</w:t>
      </w:r>
    </w:p>
    <w:p>
      <w:pPr>
        <w:spacing w:after="0"/>
        <w:sectPr>
          <w:headerReference w:type="default" r:id="rId189"/>
          <w:footerReference w:type="default" r:id="rId190"/>
          <w:pgSz w:w="12240" w:h="15840"/>
          <w:pgMar w:header="0" w:footer="0" w:top="640" w:bottom="280" w:left="740" w:right="560"/>
        </w:sectPr>
      </w:pPr>
    </w:p>
    <w:p>
      <w:pPr>
        <w:pStyle w:val="BodyText"/>
        <w:ind w:left="3040"/>
        <w:rPr>
          <w:sz w:val="20"/>
        </w:rPr>
      </w:pPr>
      <w:r>
        <w:rPr>
          <w:sz w:val="20"/>
        </w:rPr>
        <w:drawing>
          <wp:inline distT="0" distB="0" distL="0" distR="0">
            <wp:extent cx="2971799" cy="809625"/>
            <wp:effectExtent l="0" t="0" r="0" b="0"/>
            <wp:docPr id="115" name="image59.jpeg" descr="A blue circle with white text  Description automatically generated"/>
            <wp:cNvGraphicFramePr>
              <a:graphicFrameLocks noChangeAspect="1"/>
            </wp:cNvGraphicFramePr>
            <a:graphic>
              <a:graphicData uri="http://schemas.openxmlformats.org/drawingml/2006/picture">
                <pic:pic>
                  <pic:nvPicPr>
                    <pic:cNvPr id="116" name="image59.jpeg"/>
                    <pic:cNvPicPr/>
                  </pic:nvPicPr>
                  <pic:blipFill>
                    <a:blip r:embed="rId193" cstate="print"/>
                    <a:stretch>
                      <a:fillRect/>
                    </a:stretch>
                  </pic:blipFill>
                  <pic:spPr>
                    <a:xfrm>
                      <a:off x="0" y="0"/>
                      <a:ext cx="2971799" cy="80962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23"/>
        </w:rPr>
      </w:pPr>
    </w:p>
    <w:p>
      <w:pPr>
        <w:tabs>
          <w:tab w:pos="1772" w:val="left" w:leader="none"/>
        </w:tabs>
        <w:spacing w:before="0"/>
        <w:ind w:left="700" w:right="0" w:firstLine="0"/>
        <w:jc w:val="left"/>
        <w:rPr>
          <w:rFonts w:ascii="Times New Roman"/>
          <w:sz w:val="22"/>
        </w:rPr>
      </w:pPr>
      <w:bookmarkStart w:name="7.25.25 Chris Board Report" w:id="53"/>
      <w:bookmarkEnd w:id="53"/>
      <w:r>
        <w:rPr/>
      </w:r>
      <w:r>
        <w:rPr>
          <w:rFonts w:ascii="Times New Roman"/>
          <w:sz w:val="22"/>
        </w:rPr>
        <w:t>TO:</w:t>
        <w:tab/>
        <w:t>CNYRTA Board of</w:t>
      </w:r>
      <w:r>
        <w:rPr>
          <w:rFonts w:ascii="Times New Roman"/>
          <w:spacing w:val="-4"/>
          <w:sz w:val="22"/>
        </w:rPr>
        <w:t> </w:t>
      </w:r>
      <w:r>
        <w:rPr>
          <w:rFonts w:ascii="Times New Roman"/>
          <w:sz w:val="22"/>
        </w:rPr>
        <w:t>Members</w:t>
      </w:r>
    </w:p>
    <w:p>
      <w:pPr>
        <w:tabs>
          <w:tab w:pos="1734" w:val="left" w:leader="none"/>
          <w:tab w:pos="1772" w:val="left" w:leader="none"/>
        </w:tabs>
        <w:spacing w:line="259" w:lineRule="auto" w:before="20"/>
        <w:ind w:left="700" w:right="5456" w:firstLine="0"/>
        <w:jc w:val="left"/>
        <w:rPr>
          <w:rFonts w:ascii="Times New Roman" w:hAnsi="Times New Roman"/>
          <w:sz w:val="22"/>
        </w:rPr>
      </w:pPr>
      <w:r>
        <w:rPr>
          <w:rFonts w:ascii="Times New Roman" w:hAnsi="Times New Roman"/>
          <w:sz w:val="22"/>
        </w:rPr>
        <w:t>FROM:</w:t>
        <w:tab/>
        <w:tab/>
        <w:t>Christopher Tuff, Chief Executive Officer RE:</w:t>
        <w:tab/>
        <w:t>Monthly Summary Report – July 2025 DATE:</w:t>
        <w:tab/>
        <w:t>July 16,</w:t>
      </w:r>
      <w:r>
        <w:rPr>
          <w:rFonts w:ascii="Times New Roman" w:hAnsi="Times New Roman"/>
          <w:spacing w:val="-3"/>
          <w:sz w:val="22"/>
        </w:rPr>
        <w:t> </w:t>
      </w:r>
      <w:r>
        <w:rPr>
          <w:rFonts w:ascii="Times New Roman" w:hAnsi="Times New Roman"/>
          <w:sz w:val="22"/>
        </w:rPr>
        <w:t>2025</w:t>
      </w:r>
    </w:p>
    <w:p>
      <w:pPr>
        <w:pStyle w:val="BodyText"/>
      </w:pPr>
    </w:p>
    <w:p>
      <w:pPr>
        <w:pStyle w:val="BodyText"/>
        <w:spacing w:before="7"/>
        <w:rPr>
          <w:sz w:val="35"/>
        </w:rPr>
      </w:pPr>
    </w:p>
    <w:p>
      <w:pPr>
        <w:spacing w:before="0"/>
        <w:ind w:left="700" w:right="0" w:firstLine="0"/>
        <w:jc w:val="left"/>
        <w:rPr>
          <w:rFonts w:ascii="Times New Roman"/>
          <w:b/>
          <w:sz w:val="22"/>
        </w:rPr>
      </w:pPr>
      <w:r>
        <w:rPr>
          <w:rFonts w:ascii="Times New Roman"/>
          <w:b/>
          <w:sz w:val="22"/>
          <w:u w:val="thick"/>
        </w:rPr>
        <w:t>Assemblyman Magnarelli</w:t>
      </w:r>
    </w:p>
    <w:p>
      <w:pPr>
        <w:spacing w:line="259" w:lineRule="auto" w:before="174"/>
        <w:ind w:left="699" w:right="1330" w:firstLine="0"/>
        <w:jc w:val="left"/>
        <w:rPr>
          <w:rFonts w:ascii="Times New Roman"/>
          <w:sz w:val="22"/>
        </w:rPr>
      </w:pPr>
      <w:r>
        <w:rPr>
          <w:rFonts w:ascii="Times New Roman"/>
          <w:sz w:val="22"/>
        </w:rPr>
        <w:t>On July 8</w:t>
      </w:r>
      <w:r>
        <w:rPr>
          <w:rFonts w:ascii="Times New Roman"/>
          <w:position w:val="8"/>
          <w:sz w:val="14"/>
        </w:rPr>
        <w:t>th, </w:t>
      </w:r>
      <w:r>
        <w:rPr>
          <w:rFonts w:ascii="Times New Roman"/>
          <w:sz w:val="22"/>
        </w:rPr>
        <w:t>Steve and I met with Assemblyman Magnarelli. We thanked the Assemblyman for his support of transportation in the State Budget this year. We updated him on the status of the System redesign and future Centro projects.</w:t>
      </w:r>
    </w:p>
    <w:p>
      <w:pPr>
        <w:spacing w:before="154"/>
        <w:ind w:left="700" w:right="0" w:firstLine="0"/>
        <w:jc w:val="left"/>
        <w:rPr>
          <w:rFonts w:ascii="Times New Roman"/>
          <w:b/>
          <w:sz w:val="22"/>
        </w:rPr>
      </w:pPr>
      <w:r>
        <w:rPr/>
        <w:pict>
          <v:line style="position:absolute;mso-position-horizontal-relative:page;mso-position-vertical-relative:paragraph;z-index:251875328" from="72pt,19.975151pt" to="213.6pt,19.975151pt" stroked="true" strokeweight="1.08pt" strokecolor="#000000">
            <v:stroke dashstyle="solid"/>
            <w10:wrap type="none"/>
          </v:line>
        </w:pict>
      </w:r>
      <w:r>
        <w:rPr>
          <w:rFonts w:ascii="Times New Roman"/>
          <w:b/>
          <w:sz w:val="22"/>
        </w:rPr>
        <w:t>ADA 35</w:t>
      </w:r>
      <w:r>
        <w:rPr>
          <w:rFonts w:ascii="Times New Roman"/>
          <w:b/>
          <w:position w:val="8"/>
          <w:sz w:val="14"/>
        </w:rPr>
        <w:t>th </w:t>
      </w:r>
      <w:r>
        <w:rPr>
          <w:rFonts w:ascii="Times New Roman"/>
          <w:b/>
          <w:sz w:val="22"/>
        </w:rPr>
        <w:t>Anniversary Parade</w:t>
      </w:r>
    </w:p>
    <w:p>
      <w:pPr>
        <w:spacing w:line="259" w:lineRule="auto" w:before="174"/>
        <w:ind w:left="699" w:right="1055" w:firstLine="0"/>
        <w:jc w:val="both"/>
        <w:rPr>
          <w:rFonts w:ascii="Times New Roman"/>
          <w:sz w:val="22"/>
        </w:rPr>
      </w:pPr>
      <w:r>
        <w:rPr>
          <w:rFonts w:ascii="Times New Roman"/>
          <w:sz w:val="22"/>
        </w:rPr>
        <w:t>On July 8</w:t>
      </w:r>
      <w:r>
        <w:rPr>
          <w:rFonts w:ascii="Times New Roman"/>
          <w:position w:val="8"/>
          <w:sz w:val="14"/>
        </w:rPr>
        <w:t>th, </w:t>
      </w:r>
      <w:r>
        <w:rPr>
          <w:rFonts w:ascii="Times New Roman"/>
          <w:sz w:val="22"/>
        </w:rPr>
        <w:t>we provided a bus for the ADA 35</w:t>
      </w:r>
      <w:r>
        <w:rPr>
          <w:rFonts w:ascii="Times New Roman"/>
          <w:position w:val="8"/>
          <w:sz w:val="14"/>
        </w:rPr>
        <w:t>th </w:t>
      </w:r>
      <w:r>
        <w:rPr>
          <w:rFonts w:ascii="Times New Roman"/>
          <w:sz w:val="22"/>
        </w:rPr>
        <w:t>anniversary parade. We provided a Call-A-Bus to be in the parade, but it also serves as transportation for those who are unable to walk in the parade. The route starts at City Hall and ends at the Jerry Rescue Monument at Clinton Square.</w:t>
      </w:r>
    </w:p>
    <w:p>
      <w:pPr>
        <w:spacing w:before="159"/>
        <w:ind w:left="700" w:right="0" w:firstLine="0"/>
        <w:jc w:val="left"/>
        <w:rPr>
          <w:rFonts w:ascii="Times New Roman"/>
          <w:b/>
          <w:sz w:val="22"/>
        </w:rPr>
      </w:pPr>
      <w:r>
        <w:rPr>
          <w:rFonts w:ascii="Times New Roman"/>
          <w:b/>
          <w:sz w:val="22"/>
          <w:u w:val="thick"/>
        </w:rPr>
        <w:t>Public Transit Leadership Institute (PTLI)</w:t>
      </w:r>
    </w:p>
    <w:p>
      <w:pPr>
        <w:spacing w:line="259" w:lineRule="auto" w:before="177"/>
        <w:ind w:left="699" w:right="897" w:firstLine="0"/>
        <w:jc w:val="left"/>
        <w:rPr>
          <w:rFonts w:ascii="Times New Roman"/>
          <w:sz w:val="22"/>
        </w:rPr>
      </w:pPr>
      <w:r>
        <w:rPr>
          <w:rFonts w:ascii="Times New Roman"/>
          <w:sz w:val="22"/>
        </w:rPr>
        <w:t>On July 15</w:t>
      </w:r>
      <w:r>
        <w:rPr>
          <w:rFonts w:ascii="Times New Roman"/>
          <w:position w:val="8"/>
          <w:sz w:val="14"/>
        </w:rPr>
        <w:t>th, </w:t>
      </w:r>
      <w:r>
        <w:rPr>
          <w:rFonts w:ascii="Times New Roman"/>
          <w:sz w:val="22"/>
        </w:rPr>
        <w:t>we hosted the New York Public Transit Association (NYPTA) PTLI session in Syracuse. This six-part, year-long series offers an in-depth professional development opportunity for mid- to senior- level managers aspiring to advance their careers as senior and executive-level public transit professionals. We provided a tour of the facility and engaged in discussions on the technology and programs we are working on in Central New York.</w:t>
      </w:r>
    </w:p>
    <w:p>
      <w:pPr>
        <w:spacing w:before="157"/>
        <w:ind w:left="700" w:right="0" w:firstLine="0"/>
        <w:jc w:val="left"/>
        <w:rPr>
          <w:rFonts w:ascii="Times New Roman"/>
          <w:b/>
          <w:sz w:val="22"/>
        </w:rPr>
      </w:pPr>
      <w:r>
        <w:rPr>
          <w:rFonts w:ascii="Times New Roman"/>
          <w:b/>
          <w:sz w:val="22"/>
          <w:u w:val="thick"/>
        </w:rPr>
        <w:t>Community Involvement</w:t>
      </w:r>
    </w:p>
    <w:p>
      <w:pPr>
        <w:spacing w:before="182"/>
        <w:ind w:left="700" w:right="0" w:firstLine="0"/>
        <w:jc w:val="left"/>
        <w:rPr>
          <w:rFonts w:ascii="Times New Roman"/>
          <w:sz w:val="22"/>
        </w:rPr>
      </w:pPr>
      <w:r>
        <w:rPr>
          <w:rFonts w:ascii="Times New Roman"/>
          <w:sz w:val="22"/>
        </w:rPr>
        <w:t>This past month, we have participated in several events in Central New York:</w:t>
      </w:r>
    </w:p>
    <w:p>
      <w:pPr>
        <w:spacing w:before="179"/>
        <w:ind w:left="700" w:right="0" w:firstLine="0"/>
        <w:jc w:val="left"/>
        <w:rPr>
          <w:rFonts w:ascii="Times New Roman"/>
          <w:sz w:val="22"/>
        </w:rPr>
      </w:pPr>
      <w:r>
        <w:rPr>
          <w:rFonts w:ascii="Times New Roman"/>
          <w:sz w:val="22"/>
        </w:rPr>
        <w:t>June 21 - I, along with several staff and their family members, walked in the Pride parade.</w:t>
      </w:r>
    </w:p>
    <w:p>
      <w:pPr>
        <w:spacing w:line="256" w:lineRule="auto" w:before="181"/>
        <w:ind w:left="700" w:right="896" w:firstLine="0"/>
        <w:jc w:val="left"/>
        <w:rPr>
          <w:rFonts w:ascii="Times New Roman" w:hAnsi="Times New Roman"/>
          <w:sz w:val="22"/>
        </w:rPr>
      </w:pPr>
      <w:r>
        <w:rPr>
          <w:rFonts w:ascii="Times New Roman" w:hAnsi="Times New Roman"/>
          <w:sz w:val="22"/>
        </w:rPr>
        <w:t>July 3 – We provided a parking lot shuttle for the Albany Symphony Orchestra for the Bicentennial of the Erie Canal. The shuttle ran from the Nexus Center to Harbor Point.</w:t>
      </w:r>
    </w:p>
    <w:p>
      <w:pPr>
        <w:spacing w:line="256" w:lineRule="auto" w:before="164"/>
        <w:ind w:left="700" w:right="1391" w:firstLine="0"/>
        <w:jc w:val="left"/>
        <w:rPr>
          <w:rFonts w:ascii="Times New Roman"/>
          <w:sz w:val="22"/>
        </w:rPr>
      </w:pPr>
      <w:r>
        <w:rPr>
          <w:rFonts w:ascii="Times New Roman"/>
          <w:sz w:val="22"/>
        </w:rPr>
        <w:t>July 4 - We provided a parking lot shuttle service for the fireworks display, transporting guests from Mohawk Valley Community College parking lots to Proctor Park and back.</w:t>
      </w:r>
    </w:p>
    <w:p>
      <w:pPr>
        <w:spacing w:before="164"/>
        <w:ind w:left="700" w:right="0" w:firstLine="0"/>
        <w:jc w:val="left"/>
        <w:rPr>
          <w:rFonts w:ascii="Times New Roman" w:hAnsi="Times New Roman"/>
          <w:sz w:val="22"/>
        </w:rPr>
      </w:pPr>
      <w:r>
        <w:rPr>
          <w:rFonts w:ascii="Times New Roman" w:hAnsi="Times New Roman"/>
          <w:sz w:val="22"/>
        </w:rPr>
        <w:t>July 8 – We provided a tour of the City of Utica for the Municipal Housing Authority.</w:t>
      </w:r>
    </w:p>
    <w:p>
      <w:pPr>
        <w:spacing w:before="180"/>
        <w:ind w:left="700" w:right="0" w:firstLine="0"/>
        <w:jc w:val="left"/>
        <w:rPr>
          <w:rFonts w:ascii="Times New Roman"/>
          <w:b/>
          <w:sz w:val="22"/>
        </w:rPr>
      </w:pPr>
      <w:r>
        <w:rPr>
          <w:rFonts w:ascii="Times New Roman"/>
          <w:b/>
          <w:sz w:val="22"/>
          <w:u w:val="thick"/>
        </w:rPr>
        <w:t>Various Meetings</w:t>
      </w:r>
    </w:p>
    <w:p>
      <w:pPr>
        <w:spacing w:line="259" w:lineRule="auto" w:before="181"/>
        <w:ind w:left="700" w:right="875" w:firstLine="0"/>
        <w:jc w:val="both"/>
        <w:rPr>
          <w:rFonts w:ascii="Times New Roman"/>
          <w:sz w:val="22"/>
        </w:rPr>
      </w:pPr>
      <w:r>
        <w:rPr>
          <w:rFonts w:ascii="Times New Roman"/>
          <w:sz w:val="22"/>
        </w:rPr>
        <w:t>Continued meetings to discuss the following items and move these projects forward. The topics include, but are not limited to, Capital Planning, Recruiting, RPM Program, NYPTA, SMTC, Arcadis (Transportation Consultants)</w:t>
      </w:r>
    </w:p>
    <w:p>
      <w:pPr>
        <w:spacing w:after="0" w:line="259" w:lineRule="auto"/>
        <w:jc w:val="both"/>
        <w:rPr>
          <w:rFonts w:ascii="Times New Roman"/>
          <w:sz w:val="22"/>
        </w:rPr>
        <w:sectPr>
          <w:headerReference w:type="default" r:id="rId191"/>
          <w:footerReference w:type="default" r:id="rId192"/>
          <w:pgSz w:w="12240" w:h="15840"/>
          <w:pgMar w:header="0" w:footer="0" w:top="720" w:bottom="280" w:left="740" w:right="560"/>
        </w:sectPr>
      </w:pPr>
    </w:p>
    <w:p>
      <w:pPr>
        <w:spacing w:before="27"/>
        <w:ind w:left="0" w:right="156" w:firstLine="0"/>
        <w:jc w:val="right"/>
        <w:rPr>
          <w:sz w:val="22"/>
        </w:rPr>
      </w:pPr>
      <w:bookmarkStart w:name="Paula__DRAFT_CNYRTA_ServiceStandardsAndP" w:id="54"/>
      <w:bookmarkEnd w:id="54"/>
      <w:r>
        <w:rPr/>
      </w:r>
      <w:r>
        <w:rPr>
          <w:sz w:val="22"/>
        </w:rPr>
        <w:t>July 14, 2025</w:t>
      </w:r>
    </w:p>
    <w:p>
      <w:pPr>
        <w:spacing w:line="240" w:lineRule="auto" w:before="2"/>
        <w:rPr>
          <w:sz w:val="22"/>
        </w:rPr>
      </w:pPr>
    </w:p>
    <w:p>
      <w:pPr>
        <w:spacing w:before="0"/>
        <w:ind w:left="889" w:right="0" w:firstLine="0"/>
        <w:jc w:val="left"/>
        <w:rPr>
          <w:b/>
          <w:sz w:val="44"/>
        </w:rPr>
      </w:pPr>
      <w:r>
        <w:rPr/>
        <w:pict>
          <v:shape style="position:absolute;margin-left:37.200001pt;margin-top:-.053032pt;width:.1pt;height:661.35pt;mso-position-horizontal-relative:page;mso-position-vertical-relative:paragraph;z-index:251877376" coordorigin="744,-1" coordsize="0,13227" path="m744,-1l744,537m744,537l744,753m744,753l744,13225e" filled="false" stroked="true" strokeweight="2.16pt" strokecolor="#4e81bd">
            <v:path arrowok="t"/>
            <v:stroke dashstyle="solid"/>
            <w10:wrap type="none"/>
          </v:shape>
        </w:pict>
      </w:r>
      <w:r>
        <w:rPr>
          <w:b/>
          <w:color w:val="1E487C"/>
          <w:sz w:val="44"/>
        </w:rPr>
        <w:t>Service Standards and Policies Executive Summary</w:t>
      </w:r>
    </w:p>
    <w:p>
      <w:pPr>
        <w:spacing w:line="240" w:lineRule="auto" w:before="5"/>
        <w:rPr>
          <w:b/>
          <w:sz w:val="13"/>
        </w:rPr>
      </w:pPr>
    </w:p>
    <w:p>
      <w:pPr>
        <w:pStyle w:val="BodyText"/>
        <w:spacing w:line="276" w:lineRule="auto" w:before="51"/>
        <w:ind w:left="116" w:right="107"/>
        <w:rPr>
          <w:rFonts w:ascii="Calibri"/>
        </w:rPr>
      </w:pPr>
      <w:r>
        <w:rPr>
          <w:rFonts w:ascii="Calibri"/>
        </w:rPr>
        <w:t>The Federal Transit Administration (FTA) Circular 4702.1 B, "Title VI Requirements and Guidelines for Federal Transit Administration Recipients" requires that all FTA recipients who operate fixed route service set system- wide service standards and policies for each specific fixed route mode of service they provide. These standards and policies must address how service is distributed across the transit system and must ensure that the manner of the distribution affords users access to these assets.</w:t>
      </w:r>
    </w:p>
    <w:p>
      <w:pPr>
        <w:pStyle w:val="BodyText"/>
        <w:spacing w:line="276" w:lineRule="auto" w:before="200"/>
        <w:ind w:left="116" w:right="611" w:hanging="1"/>
        <w:rPr>
          <w:rFonts w:ascii="Calibri" w:hAnsi="Calibri"/>
        </w:rPr>
      </w:pPr>
      <w:r>
        <w:rPr>
          <w:rFonts w:ascii="Calibri" w:hAnsi="Calibri"/>
        </w:rPr>
        <w:t>The last update of the Service Standards and Policies was in 2019. An update is necessary to align the standards and policies with Centro’s expanded service area and fleet, and with customer travel patterns.</w:t>
      </w:r>
    </w:p>
    <w:p>
      <w:pPr>
        <w:pStyle w:val="BodyText"/>
        <w:spacing w:before="200"/>
        <w:ind w:left="116"/>
        <w:rPr>
          <w:rFonts w:ascii="Calibri"/>
        </w:rPr>
      </w:pPr>
      <w:r>
        <w:rPr>
          <w:rFonts w:ascii="Calibri"/>
          <w:u w:val="single"/>
        </w:rPr>
        <w:t>Notable revisions to Service Standards:</w:t>
      </w:r>
    </w:p>
    <w:p>
      <w:pPr>
        <w:spacing w:line="240" w:lineRule="auto" w:before="2"/>
        <w:rPr>
          <w:sz w:val="20"/>
        </w:rPr>
      </w:pPr>
    </w:p>
    <w:p>
      <w:pPr>
        <w:pStyle w:val="ListParagraph"/>
        <w:numPr>
          <w:ilvl w:val="1"/>
          <w:numId w:val="10"/>
        </w:numPr>
        <w:tabs>
          <w:tab w:pos="836" w:val="left" w:leader="none"/>
          <w:tab w:pos="837" w:val="left" w:leader="none"/>
        </w:tabs>
        <w:spacing w:line="240" w:lineRule="auto" w:before="0" w:after="0"/>
        <w:ind w:left="836" w:right="0" w:hanging="361"/>
        <w:jc w:val="left"/>
        <w:rPr>
          <w:sz w:val="24"/>
        </w:rPr>
      </w:pPr>
      <w:r>
        <w:rPr>
          <w:b/>
          <w:i/>
          <w:sz w:val="24"/>
        </w:rPr>
        <w:t>Vehicle Load</w:t>
      </w:r>
      <w:r>
        <w:rPr>
          <w:sz w:val="24"/>
        </w:rPr>
        <w:t>: vehicle sizes updated, no change to maximum load</w:t>
      </w:r>
      <w:r>
        <w:rPr>
          <w:spacing w:val="-3"/>
          <w:sz w:val="24"/>
        </w:rPr>
        <w:t> </w:t>
      </w:r>
      <w:r>
        <w:rPr>
          <w:sz w:val="24"/>
        </w:rPr>
        <w:t>standard</w:t>
      </w:r>
    </w:p>
    <w:p>
      <w:pPr>
        <w:pStyle w:val="Heading8"/>
        <w:numPr>
          <w:ilvl w:val="1"/>
          <w:numId w:val="10"/>
        </w:numPr>
        <w:tabs>
          <w:tab w:pos="836" w:val="left" w:leader="none"/>
          <w:tab w:pos="837" w:val="left" w:leader="none"/>
        </w:tabs>
        <w:spacing w:line="240" w:lineRule="auto" w:before="42" w:after="0"/>
        <w:ind w:left="836" w:right="0" w:hanging="361"/>
        <w:jc w:val="left"/>
        <w:rPr>
          <w:i/>
        </w:rPr>
      </w:pPr>
      <w:r>
        <w:rPr>
          <w:i/>
        </w:rPr>
        <w:t>Vehicle Headway:</w:t>
      </w:r>
    </w:p>
    <w:p>
      <w:pPr>
        <w:pStyle w:val="ListParagraph"/>
        <w:numPr>
          <w:ilvl w:val="2"/>
          <w:numId w:val="10"/>
        </w:numPr>
        <w:tabs>
          <w:tab w:pos="1556" w:val="left" w:leader="none"/>
          <w:tab w:pos="1557" w:val="left" w:leader="none"/>
        </w:tabs>
        <w:spacing w:line="240" w:lineRule="auto" w:before="43" w:after="0"/>
        <w:ind w:left="1556" w:right="0" w:hanging="361"/>
        <w:jc w:val="left"/>
        <w:rPr>
          <w:sz w:val="24"/>
        </w:rPr>
      </w:pPr>
      <w:r>
        <w:rPr>
          <w:sz w:val="24"/>
        </w:rPr>
        <w:t>Intercity headways defined as being</w:t>
      </w:r>
      <w:r>
        <w:rPr>
          <w:spacing w:val="-5"/>
          <w:sz w:val="24"/>
        </w:rPr>
        <w:t> </w:t>
      </w:r>
      <w:r>
        <w:rPr>
          <w:sz w:val="24"/>
        </w:rPr>
        <w:t>variable</w:t>
      </w:r>
    </w:p>
    <w:p>
      <w:pPr>
        <w:pStyle w:val="ListParagraph"/>
        <w:numPr>
          <w:ilvl w:val="2"/>
          <w:numId w:val="10"/>
        </w:numPr>
        <w:tabs>
          <w:tab w:pos="1556" w:val="left" w:leader="none"/>
          <w:tab w:pos="1557" w:val="left" w:leader="none"/>
        </w:tabs>
        <w:spacing w:line="271" w:lineRule="auto" w:before="35" w:after="0"/>
        <w:ind w:left="1556" w:right="411" w:hanging="360"/>
        <w:jc w:val="left"/>
        <w:rPr>
          <w:sz w:val="24"/>
        </w:rPr>
      </w:pPr>
      <w:r>
        <w:rPr>
          <w:sz w:val="24"/>
        </w:rPr>
        <w:t>CNY Centro Inc. suburban route headways updated to include a range (40-60 minutes or 90- 120</w:t>
      </w:r>
      <w:r>
        <w:rPr>
          <w:spacing w:val="1"/>
          <w:sz w:val="24"/>
        </w:rPr>
        <w:t> </w:t>
      </w:r>
      <w:r>
        <w:rPr>
          <w:sz w:val="24"/>
        </w:rPr>
        <w:t>minutes)</w:t>
      </w:r>
    </w:p>
    <w:p>
      <w:pPr>
        <w:pStyle w:val="ListParagraph"/>
        <w:numPr>
          <w:ilvl w:val="1"/>
          <w:numId w:val="10"/>
        </w:numPr>
        <w:tabs>
          <w:tab w:pos="836" w:val="left" w:leader="none"/>
          <w:tab w:pos="837" w:val="left" w:leader="none"/>
        </w:tabs>
        <w:spacing w:line="273" w:lineRule="auto" w:before="7" w:after="0"/>
        <w:ind w:left="836" w:right="190" w:hanging="360"/>
        <w:jc w:val="left"/>
        <w:rPr>
          <w:sz w:val="24"/>
        </w:rPr>
      </w:pPr>
      <w:r>
        <w:rPr>
          <w:b/>
          <w:i/>
          <w:sz w:val="24"/>
        </w:rPr>
        <w:t>On-Time Performance: </w:t>
      </w:r>
      <w:r>
        <w:rPr>
          <w:sz w:val="24"/>
        </w:rPr>
        <w:t>updated performance objective to 85% or greater to match current Clever on- time performance analysis</w:t>
      </w:r>
    </w:p>
    <w:p>
      <w:pPr>
        <w:pStyle w:val="Heading8"/>
        <w:numPr>
          <w:ilvl w:val="1"/>
          <w:numId w:val="10"/>
        </w:numPr>
        <w:tabs>
          <w:tab w:pos="836" w:val="left" w:leader="none"/>
          <w:tab w:pos="837" w:val="left" w:leader="none"/>
        </w:tabs>
        <w:spacing w:line="240" w:lineRule="auto" w:before="5" w:after="0"/>
        <w:ind w:left="836" w:right="0" w:hanging="361"/>
        <w:jc w:val="left"/>
        <w:rPr>
          <w:i/>
        </w:rPr>
      </w:pPr>
      <w:r>
        <w:rPr>
          <w:i/>
        </w:rPr>
        <w:t>Service</w:t>
      </w:r>
      <w:r>
        <w:rPr>
          <w:i/>
          <w:spacing w:val="-1"/>
        </w:rPr>
        <w:t> </w:t>
      </w:r>
      <w:r>
        <w:rPr>
          <w:i/>
        </w:rPr>
        <w:t>Availability:</w:t>
      </w:r>
    </w:p>
    <w:p>
      <w:pPr>
        <w:pStyle w:val="ListParagraph"/>
        <w:numPr>
          <w:ilvl w:val="2"/>
          <w:numId w:val="10"/>
        </w:numPr>
        <w:tabs>
          <w:tab w:pos="1556" w:val="left" w:leader="none"/>
          <w:tab w:pos="1557" w:val="left" w:leader="none"/>
        </w:tabs>
        <w:spacing w:line="273" w:lineRule="auto" w:before="43" w:after="0"/>
        <w:ind w:left="1556" w:right="239" w:hanging="360"/>
        <w:jc w:val="left"/>
        <w:rPr>
          <w:sz w:val="24"/>
        </w:rPr>
      </w:pPr>
      <w:r>
        <w:rPr>
          <w:sz w:val="24"/>
        </w:rPr>
        <w:t>removed reference to route spacing; added walking distance and speed for urban density (.25 miles from route, 5 minutes at 3mph) and suburban/rural density (.50 miles from route, 10 minutes at</w:t>
      </w:r>
      <w:r>
        <w:rPr>
          <w:spacing w:val="2"/>
          <w:sz w:val="24"/>
        </w:rPr>
        <w:t> </w:t>
      </w:r>
      <w:r>
        <w:rPr>
          <w:sz w:val="24"/>
        </w:rPr>
        <w:t>3mph)</w:t>
      </w:r>
    </w:p>
    <w:p>
      <w:pPr>
        <w:pStyle w:val="ListParagraph"/>
        <w:numPr>
          <w:ilvl w:val="2"/>
          <w:numId w:val="10"/>
        </w:numPr>
        <w:tabs>
          <w:tab w:pos="1556" w:val="left" w:leader="none"/>
          <w:tab w:pos="1557" w:val="left" w:leader="none"/>
        </w:tabs>
        <w:spacing w:line="268" w:lineRule="auto" w:before="1" w:after="0"/>
        <w:ind w:left="1556" w:right="353" w:hanging="360"/>
        <w:jc w:val="left"/>
        <w:rPr>
          <w:sz w:val="24"/>
        </w:rPr>
      </w:pPr>
      <w:r>
        <w:rPr>
          <w:sz w:val="24"/>
        </w:rPr>
        <w:t>added bus stop standard for urban density (at least 3 bus stops per mile) and suburban/rural density (bus stops not more than 2 miles</w:t>
      </w:r>
      <w:r>
        <w:rPr>
          <w:spacing w:val="-4"/>
          <w:sz w:val="24"/>
        </w:rPr>
        <w:t> </w:t>
      </w:r>
      <w:r>
        <w:rPr>
          <w:sz w:val="24"/>
        </w:rPr>
        <w:t>apart)</w:t>
      </w:r>
    </w:p>
    <w:p>
      <w:pPr>
        <w:pStyle w:val="BodyText"/>
        <w:spacing w:before="210"/>
        <w:ind w:left="116"/>
        <w:rPr>
          <w:rFonts w:ascii="Calibri"/>
        </w:rPr>
      </w:pPr>
      <w:r>
        <w:rPr>
          <w:rFonts w:ascii="Calibri"/>
          <w:u w:val="single"/>
        </w:rPr>
        <w:t>Notable revisions to Policies:</w:t>
      </w:r>
    </w:p>
    <w:p>
      <w:pPr>
        <w:spacing w:line="240" w:lineRule="auto" w:before="2"/>
        <w:rPr>
          <w:sz w:val="20"/>
        </w:rPr>
      </w:pPr>
    </w:p>
    <w:p>
      <w:pPr>
        <w:pStyle w:val="Heading8"/>
        <w:numPr>
          <w:ilvl w:val="1"/>
          <w:numId w:val="10"/>
        </w:numPr>
        <w:tabs>
          <w:tab w:pos="836" w:val="left" w:leader="none"/>
          <w:tab w:pos="837" w:val="left" w:leader="none"/>
        </w:tabs>
        <w:spacing w:line="240" w:lineRule="auto" w:before="0" w:after="0"/>
        <w:ind w:left="836" w:right="0" w:hanging="361"/>
        <w:jc w:val="left"/>
        <w:rPr>
          <w:i/>
        </w:rPr>
      </w:pPr>
      <w:r>
        <w:rPr>
          <w:i/>
        </w:rPr>
        <w:t>Transit</w:t>
      </w:r>
      <w:r>
        <w:rPr>
          <w:i/>
          <w:spacing w:val="-2"/>
        </w:rPr>
        <w:t> </w:t>
      </w:r>
      <w:r>
        <w:rPr>
          <w:i/>
        </w:rPr>
        <w:t>Amenities:</w:t>
      </w:r>
    </w:p>
    <w:p>
      <w:pPr>
        <w:pStyle w:val="ListParagraph"/>
        <w:numPr>
          <w:ilvl w:val="2"/>
          <w:numId w:val="10"/>
        </w:numPr>
        <w:tabs>
          <w:tab w:pos="1556" w:val="left" w:leader="none"/>
          <w:tab w:pos="1557" w:val="left" w:leader="none"/>
        </w:tabs>
        <w:spacing w:line="240" w:lineRule="auto" w:before="43" w:after="0"/>
        <w:ind w:left="1556" w:right="0" w:hanging="361"/>
        <w:jc w:val="left"/>
        <w:rPr>
          <w:sz w:val="24"/>
        </w:rPr>
      </w:pPr>
      <w:r>
        <w:rPr>
          <w:sz w:val="24"/>
        </w:rPr>
        <w:t>consolidated policies to apply to all</w:t>
      </w:r>
      <w:r>
        <w:rPr>
          <w:spacing w:val="-3"/>
          <w:sz w:val="24"/>
        </w:rPr>
        <w:t> </w:t>
      </w:r>
      <w:r>
        <w:rPr>
          <w:sz w:val="24"/>
        </w:rPr>
        <w:t>locations</w:t>
      </w:r>
    </w:p>
    <w:p>
      <w:pPr>
        <w:pStyle w:val="ListParagraph"/>
        <w:numPr>
          <w:ilvl w:val="2"/>
          <w:numId w:val="10"/>
        </w:numPr>
        <w:tabs>
          <w:tab w:pos="1556" w:val="left" w:leader="none"/>
          <w:tab w:pos="1557" w:val="left" w:leader="none"/>
        </w:tabs>
        <w:spacing w:line="268" w:lineRule="auto" w:before="35" w:after="0"/>
        <w:ind w:left="1556" w:right="154" w:hanging="360"/>
        <w:jc w:val="left"/>
        <w:rPr>
          <w:sz w:val="24"/>
        </w:rPr>
      </w:pPr>
      <w:r>
        <w:rPr>
          <w:sz w:val="24"/>
        </w:rPr>
        <w:t>changed weekday ridership usage to 15% of the most frequently used bus stops for the service location</w:t>
      </w:r>
    </w:p>
    <w:p>
      <w:pPr>
        <w:pStyle w:val="ListParagraph"/>
        <w:numPr>
          <w:ilvl w:val="2"/>
          <w:numId w:val="10"/>
        </w:numPr>
        <w:tabs>
          <w:tab w:pos="1556" w:val="left" w:leader="none"/>
          <w:tab w:pos="1557" w:val="left" w:leader="none"/>
        </w:tabs>
        <w:spacing w:line="240" w:lineRule="auto" w:before="11" w:after="0"/>
        <w:ind w:left="1556" w:right="0" w:hanging="361"/>
        <w:jc w:val="left"/>
        <w:rPr>
          <w:sz w:val="24"/>
        </w:rPr>
      </w:pPr>
      <w:r>
        <w:rPr>
          <w:sz w:val="24"/>
        </w:rPr>
        <w:t>changed senior usage to a ‘substantial number of seniors’ as opposed to a specific</w:t>
      </w:r>
      <w:r>
        <w:rPr>
          <w:spacing w:val="-34"/>
          <w:sz w:val="24"/>
        </w:rPr>
        <w:t> </w:t>
      </w:r>
      <w:r>
        <w:rPr>
          <w:sz w:val="24"/>
        </w:rPr>
        <w:t>percentage</w:t>
      </w:r>
    </w:p>
    <w:p>
      <w:pPr>
        <w:pStyle w:val="ListParagraph"/>
        <w:numPr>
          <w:ilvl w:val="2"/>
          <w:numId w:val="10"/>
        </w:numPr>
        <w:tabs>
          <w:tab w:pos="1556" w:val="left" w:leader="none"/>
          <w:tab w:pos="1557" w:val="left" w:leader="none"/>
        </w:tabs>
        <w:spacing w:line="268" w:lineRule="auto" w:before="35" w:after="0"/>
        <w:ind w:left="1556" w:right="108" w:hanging="360"/>
        <w:jc w:val="left"/>
        <w:rPr>
          <w:sz w:val="24"/>
        </w:rPr>
      </w:pPr>
      <w:r>
        <w:rPr>
          <w:sz w:val="24"/>
        </w:rPr>
        <w:t>added additional Intelligent Transportation System (ITS) elements; matched installation criteria to bus</w:t>
      </w:r>
      <w:r>
        <w:rPr>
          <w:spacing w:val="-1"/>
          <w:sz w:val="24"/>
        </w:rPr>
        <w:t> </w:t>
      </w:r>
      <w:r>
        <w:rPr>
          <w:sz w:val="24"/>
        </w:rPr>
        <w:t>shelters</w:t>
      </w:r>
    </w:p>
    <w:p>
      <w:pPr>
        <w:pStyle w:val="ListParagraph"/>
        <w:numPr>
          <w:ilvl w:val="1"/>
          <w:numId w:val="10"/>
        </w:numPr>
        <w:tabs>
          <w:tab w:pos="836" w:val="left" w:leader="none"/>
          <w:tab w:pos="837" w:val="left" w:leader="none"/>
        </w:tabs>
        <w:spacing w:line="240" w:lineRule="auto" w:before="13" w:after="0"/>
        <w:ind w:left="836" w:right="0" w:hanging="361"/>
        <w:jc w:val="left"/>
        <w:rPr>
          <w:sz w:val="24"/>
        </w:rPr>
      </w:pPr>
      <w:r>
        <w:rPr>
          <w:b/>
          <w:i/>
          <w:sz w:val="24"/>
        </w:rPr>
        <w:t>Vehicle Assignment: </w:t>
      </w:r>
      <w:r>
        <w:rPr>
          <w:sz w:val="24"/>
        </w:rPr>
        <w:t>updated bus type references to better match current</w:t>
      </w:r>
      <w:r>
        <w:rPr>
          <w:spacing w:val="-7"/>
          <w:sz w:val="24"/>
        </w:rPr>
        <w:t> </w:t>
      </w:r>
      <w:r>
        <w:rPr>
          <w:sz w:val="24"/>
        </w:rPr>
        <w:t>fleet</w:t>
      </w:r>
    </w:p>
    <w:p>
      <w:pPr>
        <w:pStyle w:val="BodyText"/>
        <w:spacing w:line="276" w:lineRule="auto" w:before="242"/>
        <w:ind w:left="116" w:right="408"/>
        <w:rPr>
          <w:rFonts w:ascii="Calibri"/>
        </w:rPr>
      </w:pPr>
      <w:r>
        <w:rPr>
          <w:rFonts w:ascii="Calibri"/>
        </w:rPr>
        <w:t>Following the forthcoming Syracuse System redesign, the Service Standards and Policies will be updated as necessary.</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26"/>
        </w:rPr>
      </w:pPr>
      <w:r>
        <w:rPr/>
        <w:drawing>
          <wp:anchor distT="0" distB="0" distL="0" distR="0" allowOverlap="1" layoutInCell="1" locked="0" behindDoc="0" simplePos="0" relativeHeight="213">
            <wp:simplePos x="0" y="0"/>
            <wp:positionH relativeFrom="page">
              <wp:posOffset>3038855</wp:posOffset>
            </wp:positionH>
            <wp:positionV relativeFrom="paragraph">
              <wp:posOffset>231028</wp:posOffset>
            </wp:positionV>
            <wp:extent cx="1641729" cy="442912"/>
            <wp:effectExtent l="0" t="0" r="0" b="0"/>
            <wp:wrapTopAndBottom/>
            <wp:docPr id="117" name="image60.jpeg"/>
            <wp:cNvGraphicFramePr>
              <a:graphicFrameLocks noChangeAspect="1"/>
            </wp:cNvGraphicFramePr>
            <a:graphic>
              <a:graphicData uri="http://schemas.openxmlformats.org/drawingml/2006/picture">
                <pic:pic>
                  <pic:nvPicPr>
                    <pic:cNvPr id="118" name="image60.jpeg"/>
                    <pic:cNvPicPr/>
                  </pic:nvPicPr>
                  <pic:blipFill>
                    <a:blip r:embed="rId196" cstate="print"/>
                    <a:stretch>
                      <a:fillRect/>
                    </a:stretch>
                  </pic:blipFill>
                  <pic:spPr>
                    <a:xfrm>
                      <a:off x="0" y="0"/>
                      <a:ext cx="1641729" cy="442912"/>
                    </a:xfrm>
                    <a:prstGeom prst="rect">
                      <a:avLst/>
                    </a:prstGeom>
                  </pic:spPr>
                </pic:pic>
              </a:graphicData>
            </a:graphic>
          </wp:anchor>
        </w:drawing>
      </w:r>
    </w:p>
    <w:p>
      <w:pPr>
        <w:spacing w:after="0" w:line="240" w:lineRule="auto"/>
        <w:rPr>
          <w:sz w:val="26"/>
        </w:rPr>
        <w:sectPr>
          <w:headerReference w:type="default" r:id="rId194"/>
          <w:footerReference w:type="default" r:id="rId195"/>
          <w:pgSz w:w="12240" w:h="15840"/>
          <w:pgMar w:header="0" w:footer="0" w:top="260" w:bottom="0" w:left="740" w:right="560"/>
        </w:sectPr>
      </w:pPr>
    </w:p>
    <w:p>
      <w:pPr>
        <w:spacing w:line="240" w:lineRule="auto" w:before="4"/>
        <w:rPr>
          <w:sz w:val="16"/>
        </w:rPr>
      </w:pPr>
    </w:p>
    <w:p>
      <w:pPr>
        <w:spacing w:after="0" w:line="240" w:lineRule="auto"/>
        <w:rPr>
          <w:sz w:val="16"/>
        </w:rPr>
        <w:sectPr>
          <w:headerReference w:type="default" r:id="rId197"/>
          <w:footerReference w:type="default" r:id="rId198"/>
          <w:pgSz w:w="12240" w:h="15840"/>
          <w:pgMar w:header="0" w:footer="0" w:top="1500" w:bottom="280" w:left="740" w:right="560"/>
        </w:sectPr>
      </w:pPr>
    </w:p>
    <w:p>
      <w:pPr>
        <w:spacing w:before="20"/>
        <w:ind w:left="2598" w:right="2776" w:firstLine="0"/>
        <w:jc w:val="center"/>
        <w:rPr>
          <w:rFonts w:ascii="Calibri Light"/>
          <w:b w:val="0"/>
          <w:sz w:val="32"/>
        </w:rPr>
      </w:pPr>
      <w:r>
        <w:rPr/>
        <w:pict>
          <v:line style="position:absolute;mso-position-horizontal-relative:page;mso-position-vertical-relative:page;z-index:251880448" from="45.240002pt,35.999977pt" to="45.240002pt,756.0pt" stroked="true" strokeweight="1.44pt" strokecolor="#006fc0">
            <v:stroke dashstyle="solid"/>
            <w10:wrap type="none"/>
          </v:line>
        </w:pict>
      </w:r>
      <w:r>
        <w:rPr>
          <w:rFonts w:ascii="Calibri Light"/>
          <w:b w:val="0"/>
          <w:sz w:val="32"/>
        </w:rPr>
        <w:t>CNYRTA Service Standards and Policies</w:t>
      </w:r>
    </w:p>
    <w:p>
      <w:pPr>
        <w:pStyle w:val="BodyText"/>
        <w:spacing w:before="4"/>
        <w:rPr>
          <w:rFonts w:ascii="Calibri Light"/>
          <w:b w:val="0"/>
          <w:sz w:val="18"/>
        </w:rPr>
      </w:pPr>
    </w:p>
    <w:p>
      <w:pPr>
        <w:pStyle w:val="ListParagraph"/>
        <w:numPr>
          <w:ilvl w:val="0"/>
          <w:numId w:val="11"/>
        </w:numPr>
        <w:tabs>
          <w:tab w:pos="1059" w:val="left" w:leader="none"/>
          <w:tab w:pos="1060" w:val="left" w:leader="none"/>
        </w:tabs>
        <w:spacing w:line="240" w:lineRule="auto" w:before="52" w:after="0"/>
        <w:ind w:left="1060" w:right="0" w:hanging="478"/>
        <w:jc w:val="left"/>
        <w:rPr>
          <w:rFonts w:ascii="Calibri Light"/>
          <w:b w:val="0"/>
          <w:sz w:val="24"/>
        </w:rPr>
      </w:pPr>
      <w:r>
        <w:rPr>
          <w:rFonts w:ascii="Calibri Light"/>
          <w:b w:val="0"/>
          <w:sz w:val="24"/>
        </w:rPr>
        <w:t>Purpose of the Policy</w:t>
      </w:r>
    </w:p>
    <w:p>
      <w:pPr>
        <w:pStyle w:val="BodyText"/>
        <w:spacing w:before="3"/>
        <w:rPr>
          <w:rFonts w:ascii="Calibri Light"/>
          <w:b w:val="0"/>
          <w:sz w:val="31"/>
        </w:rPr>
      </w:pPr>
    </w:p>
    <w:p>
      <w:pPr>
        <w:spacing w:line="276" w:lineRule="auto" w:before="0"/>
        <w:ind w:left="699" w:right="1022" w:firstLine="0"/>
        <w:jc w:val="left"/>
        <w:rPr>
          <w:sz w:val="22"/>
        </w:rPr>
      </w:pPr>
      <w:r>
        <w:rPr/>
        <w:drawing>
          <wp:anchor distT="0" distB="0" distL="0" distR="0" allowOverlap="1" layoutInCell="1" locked="0" behindDoc="1" simplePos="0" relativeHeight="236496896">
            <wp:simplePos x="0" y="0"/>
            <wp:positionH relativeFrom="page">
              <wp:posOffset>1290804</wp:posOffset>
            </wp:positionH>
            <wp:positionV relativeFrom="paragraph">
              <wp:posOffset>1231815</wp:posOffset>
            </wp:positionV>
            <wp:extent cx="4669559" cy="4934068"/>
            <wp:effectExtent l="0" t="0" r="0" b="0"/>
            <wp:wrapNone/>
            <wp:docPr id="119" name="image61.png"/>
            <wp:cNvGraphicFramePr>
              <a:graphicFrameLocks noChangeAspect="1"/>
            </wp:cNvGraphicFramePr>
            <a:graphic>
              <a:graphicData uri="http://schemas.openxmlformats.org/drawingml/2006/picture">
                <pic:pic>
                  <pic:nvPicPr>
                    <pic:cNvPr id="120" name="image61.png"/>
                    <pic:cNvPicPr/>
                  </pic:nvPicPr>
                  <pic:blipFill>
                    <a:blip r:embed="rId201" cstate="print"/>
                    <a:stretch>
                      <a:fillRect/>
                    </a:stretch>
                  </pic:blipFill>
                  <pic:spPr>
                    <a:xfrm>
                      <a:off x="0" y="0"/>
                      <a:ext cx="4669559" cy="4934068"/>
                    </a:xfrm>
                    <a:prstGeom prst="rect">
                      <a:avLst/>
                    </a:prstGeom>
                  </pic:spPr>
                </pic:pic>
              </a:graphicData>
            </a:graphic>
          </wp:anchor>
        </w:drawing>
      </w:r>
      <w:r>
        <w:rPr>
          <w:sz w:val="22"/>
        </w:rPr>
        <w:t>The Federal Transit Administration (FTA) Circular 4702.1 B, "Title VI Requirements and Guidelines for Federal Transit Administration Recipients" effective October 1, 2012) requires that all FTA recipients who operate fixed route service set system-wide service standards and policies for each specific fixed route mode of service they provide. These standards and policies must address how service is distributed across the transit system and must ensure that the manner of the distribution affords users access to these assets.</w:t>
      </w:r>
    </w:p>
    <w:p>
      <w:pPr>
        <w:spacing w:line="240" w:lineRule="auto" w:before="6"/>
        <w:rPr>
          <w:sz w:val="27"/>
        </w:rPr>
      </w:pPr>
    </w:p>
    <w:p>
      <w:pPr>
        <w:pStyle w:val="ListParagraph"/>
        <w:numPr>
          <w:ilvl w:val="0"/>
          <w:numId w:val="11"/>
        </w:numPr>
        <w:tabs>
          <w:tab w:pos="1059" w:val="left" w:leader="none"/>
          <w:tab w:pos="1060" w:val="left" w:leader="none"/>
        </w:tabs>
        <w:spacing w:line="240" w:lineRule="auto" w:before="0" w:after="0"/>
        <w:ind w:left="1060" w:right="0" w:hanging="536"/>
        <w:jc w:val="left"/>
        <w:rPr>
          <w:rFonts w:ascii="Calibri Light"/>
          <w:b w:val="0"/>
          <w:sz w:val="24"/>
        </w:rPr>
      </w:pPr>
      <w:r>
        <w:rPr>
          <w:rFonts w:ascii="Calibri Light"/>
          <w:b w:val="0"/>
          <w:sz w:val="24"/>
        </w:rPr>
        <w:t>Policy Statement</w:t>
      </w:r>
    </w:p>
    <w:p>
      <w:pPr>
        <w:pStyle w:val="BodyText"/>
        <w:spacing w:before="11"/>
        <w:rPr>
          <w:rFonts w:ascii="Calibri Light"/>
          <w:b w:val="0"/>
          <w:sz w:val="28"/>
        </w:rPr>
      </w:pPr>
    </w:p>
    <w:p>
      <w:pPr>
        <w:spacing w:line="276" w:lineRule="auto" w:before="0"/>
        <w:ind w:left="699" w:right="879" w:firstLine="0"/>
        <w:jc w:val="left"/>
        <w:rPr>
          <w:sz w:val="22"/>
        </w:rPr>
      </w:pPr>
      <w:r>
        <w:rPr>
          <w:sz w:val="22"/>
        </w:rPr>
        <w:t>The Authority’s Board of Members adopts the following service standards and service policies in keeping with the Authority’s mission and in compliance with FTA Circular C 4702.1B Chapter 4 to ensure service design and operations practices do not result in discrimination on the basis of race, color, or national origin. Service policies differ from service standards in that standards are not necessarily based on a quantitative threshold.</w:t>
      </w:r>
    </w:p>
    <w:p>
      <w:pPr>
        <w:spacing w:line="240" w:lineRule="auto" w:before="3"/>
        <w:rPr>
          <w:sz w:val="25"/>
        </w:rPr>
      </w:pPr>
    </w:p>
    <w:p>
      <w:pPr>
        <w:spacing w:line="276" w:lineRule="auto" w:before="0"/>
        <w:ind w:left="699" w:right="1392" w:firstLine="0"/>
        <w:jc w:val="left"/>
        <w:rPr>
          <w:sz w:val="22"/>
        </w:rPr>
      </w:pPr>
      <w:r>
        <w:rPr>
          <w:sz w:val="22"/>
        </w:rPr>
        <w:t>As these standards and policies will be major determinants of the Authority’s operating and capital costs, the ability to adhere to them is dependent on the Authority’s fiscal position. As such, these standards and policies are “targets.” Staff are therefore directed to use their best judgement in providing efficient, cost-effective public transportation within the confines of the Authority’s fiscal means.</w:t>
      </w:r>
    </w:p>
    <w:p>
      <w:pPr>
        <w:spacing w:line="240" w:lineRule="auto" w:before="4"/>
        <w:rPr>
          <w:sz w:val="25"/>
        </w:rPr>
      </w:pPr>
    </w:p>
    <w:p>
      <w:pPr>
        <w:pStyle w:val="ListParagraph"/>
        <w:numPr>
          <w:ilvl w:val="0"/>
          <w:numId w:val="11"/>
        </w:numPr>
        <w:tabs>
          <w:tab w:pos="1059" w:val="left" w:leader="none"/>
          <w:tab w:pos="1060" w:val="left" w:leader="none"/>
        </w:tabs>
        <w:spacing w:line="240" w:lineRule="auto" w:before="0" w:after="0"/>
        <w:ind w:left="1060" w:right="0" w:hanging="596"/>
        <w:jc w:val="left"/>
        <w:rPr>
          <w:rFonts w:ascii="Calibri Light"/>
          <w:b w:val="0"/>
          <w:sz w:val="24"/>
        </w:rPr>
      </w:pPr>
      <w:r>
        <w:rPr>
          <w:rFonts w:ascii="Calibri Light"/>
          <w:b w:val="0"/>
          <w:sz w:val="24"/>
        </w:rPr>
        <w:t>Applicability &amp; Participation</w:t>
      </w:r>
      <w:r>
        <w:rPr>
          <w:rFonts w:ascii="Calibri Light"/>
          <w:b w:val="0"/>
          <w:spacing w:val="1"/>
          <w:sz w:val="24"/>
        </w:rPr>
        <w:t> </w:t>
      </w:r>
      <w:r>
        <w:rPr>
          <w:rFonts w:ascii="Calibri Light"/>
          <w:b w:val="0"/>
          <w:sz w:val="24"/>
        </w:rPr>
        <w:t>Eligibility</w:t>
      </w:r>
    </w:p>
    <w:p>
      <w:pPr>
        <w:pStyle w:val="BodyText"/>
        <w:spacing w:before="10"/>
        <w:rPr>
          <w:rFonts w:ascii="Calibri Light"/>
          <w:b w:val="0"/>
          <w:sz w:val="28"/>
        </w:rPr>
      </w:pPr>
    </w:p>
    <w:p>
      <w:pPr>
        <w:spacing w:line="276" w:lineRule="auto" w:before="1"/>
        <w:ind w:left="699" w:right="1023" w:firstLine="0"/>
        <w:jc w:val="left"/>
        <w:rPr>
          <w:sz w:val="22"/>
        </w:rPr>
      </w:pPr>
      <w:r>
        <w:rPr>
          <w:sz w:val="22"/>
        </w:rPr>
        <w:t>These standards apply to Centro’s service areas as required by the Federal Transit Administration (FTA) and are consistent with the criteria required by the FTA. Most standards apply universally to all garage locations, while others are designated as CNY Centro Inc. (Syracuse) or Small UZA (Utica)/Non-UZA (Auburn, Cortland, Oswego, Rome).</w:t>
      </w:r>
    </w:p>
    <w:p>
      <w:pPr>
        <w:spacing w:line="240" w:lineRule="auto" w:before="5"/>
        <w:rPr>
          <w:sz w:val="25"/>
        </w:rPr>
      </w:pPr>
    </w:p>
    <w:p>
      <w:pPr>
        <w:pStyle w:val="ListParagraph"/>
        <w:numPr>
          <w:ilvl w:val="0"/>
          <w:numId w:val="11"/>
        </w:numPr>
        <w:tabs>
          <w:tab w:pos="1059" w:val="left" w:leader="none"/>
          <w:tab w:pos="1060" w:val="left" w:leader="none"/>
        </w:tabs>
        <w:spacing w:line="240" w:lineRule="auto" w:before="0" w:after="0"/>
        <w:ind w:left="1060" w:right="0" w:hanging="610"/>
        <w:jc w:val="left"/>
        <w:rPr>
          <w:rFonts w:ascii="Calibri Light"/>
          <w:b w:val="0"/>
          <w:sz w:val="24"/>
        </w:rPr>
      </w:pPr>
      <w:r>
        <w:rPr>
          <w:rFonts w:ascii="Calibri Light"/>
          <w:b w:val="0"/>
          <w:sz w:val="24"/>
        </w:rPr>
        <w:t>Resources &amp; Related</w:t>
      </w:r>
      <w:r>
        <w:rPr>
          <w:rFonts w:ascii="Calibri Light"/>
          <w:b w:val="0"/>
          <w:spacing w:val="1"/>
          <w:sz w:val="24"/>
        </w:rPr>
        <w:t> </w:t>
      </w:r>
      <w:r>
        <w:rPr>
          <w:rFonts w:ascii="Calibri Light"/>
          <w:b w:val="0"/>
          <w:sz w:val="24"/>
        </w:rPr>
        <w:t>Procedures</w:t>
      </w:r>
    </w:p>
    <w:p>
      <w:pPr>
        <w:pStyle w:val="ListParagraph"/>
        <w:numPr>
          <w:ilvl w:val="1"/>
          <w:numId w:val="11"/>
        </w:numPr>
        <w:tabs>
          <w:tab w:pos="1419" w:val="left" w:leader="none"/>
          <w:tab w:pos="1420" w:val="left" w:leader="none"/>
        </w:tabs>
        <w:spacing w:line="240" w:lineRule="auto" w:before="43" w:after="0"/>
        <w:ind w:left="1420" w:right="0" w:hanging="361"/>
        <w:jc w:val="left"/>
        <w:rPr>
          <w:sz w:val="22"/>
        </w:rPr>
      </w:pPr>
      <w:r>
        <w:rPr>
          <w:sz w:val="22"/>
        </w:rPr>
        <w:t>Title VI of the Civil Rights Act of</w:t>
      </w:r>
      <w:r>
        <w:rPr>
          <w:spacing w:val="-8"/>
          <w:sz w:val="22"/>
        </w:rPr>
        <w:t> </w:t>
      </w:r>
      <w:r>
        <w:rPr>
          <w:sz w:val="22"/>
        </w:rPr>
        <w:t>1964</w:t>
      </w:r>
    </w:p>
    <w:p>
      <w:pPr>
        <w:pStyle w:val="ListParagraph"/>
        <w:numPr>
          <w:ilvl w:val="1"/>
          <w:numId w:val="11"/>
        </w:numPr>
        <w:tabs>
          <w:tab w:pos="1419" w:val="left" w:leader="none"/>
          <w:tab w:pos="1420" w:val="left" w:leader="none"/>
        </w:tabs>
        <w:spacing w:line="273" w:lineRule="auto" w:before="41" w:after="0"/>
        <w:ind w:left="1419" w:right="1255" w:hanging="360"/>
        <w:jc w:val="left"/>
        <w:rPr>
          <w:sz w:val="22"/>
        </w:rPr>
      </w:pPr>
      <w:r>
        <w:rPr>
          <w:sz w:val="22"/>
        </w:rPr>
        <w:t>FTA circular 4702.1B Title VI Requirements and Guidelines for Federal Transit Administration dated October 1,</w:t>
      </w:r>
      <w:r>
        <w:rPr>
          <w:spacing w:val="-5"/>
          <w:sz w:val="22"/>
        </w:rPr>
        <w:t> </w:t>
      </w:r>
      <w:r>
        <w:rPr>
          <w:sz w:val="22"/>
        </w:rPr>
        <w:t>2012</w:t>
      </w:r>
    </w:p>
    <w:p>
      <w:pPr>
        <w:spacing w:line="240" w:lineRule="auto" w:before="11"/>
        <w:rPr>
          <w:sz w:val="27"/>
        </w:rPr>
      </w:pPr>
    </w:p>
    <w:p>
      <w:pPr>
        <w:pStyle w:val="ListParagraph"/>
        <w:numPr>
          <w:ilvl w:val="0"/>
          <w:numId w:val="11"/>
        </w:numPr>
        <w:tabs>
          <w:tab w:pos="1059" w:val="left" w:leader="none"/>
          <w:tab w:pos="1060" w:val="left" w:leader="none"/>
        </w:tabs>
        <w:spacing w:line="240" w:lineRule="auto" w:before="0" w:after="0"/>
        <w:ind w:left="1060" w:right="0" w:hanging="557"/>
        <w:jc w:val="left"/>
        <w:rPr>
          <w:b w:val="0"/>
          <w:sz w:val="24"/>
        </w:rPr>
      </w:pPr>
      <w:r>
        <w:rPr>
          <w:rFonts w:ascii="Calibri Light"/>
          <w:b w:val="0"/>
          <w:sz w:val="24"/>
        </w:rPr>
        <w:t>Definitions</w:t>
      </w:r>
    </w:p>
    <w:p>
      <w:pPr>
        <w:pStyle w:val="ListParagraph"/>
        <w:numPr>
          <w:ilvl w:val="1"/>
          <w:numId w:val="11"/>
        </w:numPr>
        <w:tabs>
          <w:tab w:pos="1059" w:val="left" w:leader="none"/>
          <w:tab w:pos="1060" w:val="left" w:leader="none"/>
        </w:tabs>
        <w:spacing w:line="240" w:lineRule="auto" w:before="46" w:after="0"/>
        <w:ind w:left="1060" w:right="0" w:hanging="361"/>
        <w:jc w:val="left"/>
        <w:rPr>
          <w:rFonts w:ascii="Calibri Light" w:hAnsi="Calibri Light"/>
          <w:b w:val="0"/>
          <w:sz w:val="22"/>
        </w:rPr>
      </w:pPr>
      <w:r>
        <w:rPr>
          <w:rFonts w:ascii="Calibri Light" w:hAnsi="Calibri Light"/>
          <w:b w:val="0"/>
          <w:sz w:val="22"/>
        </w:rPr>
        <w:t>On-Time Performance is a measure of trips completed as</w:t>
      </w:r>
      <w:r>
        <w:rPr>
          <w:rFonts w:ascii="Calibri Light" w:hAnsi="Calibri Light"/>
          <w:b w:val="0"/>
          <w:spacing w:val="-4"/>
          <w:sz w:val="22"/>
        </w:rPr>
        <w:t> </w:t>
      </w:r>
      <w:r>
        <w:rPr>
          <w:rFonts w:ascii="Calibri Light" w:hAnsi="Calibri Light"/>
          <w:b w:val="0"/>
          <w:sz w:val="22"/>
        </w:rPr>
        <w:t>scheduled.</w:t>
      </w:r>
    </w:p>
    <w:p>
      <w:pPr>
        <w:pStyle w:val="ListParagraph"/>
        <w:numPr>
          <w:ilvl w:val="1"/>
          <w:numId w:val="11"/>
        </w:numPr>
        <w:tabs>
          <w:tab w:pos="1059" w:val="left" w:leader="none"/>
          <w:tab w:pos="1060" w:val="left" w:leader="none"/>
        </w:tabs>
        <w:spacing w:line="276" w:lineRule="auto" w:before="39" w:after="0"/>
        <w:ind w:left="1060" w:right="1181" w:hanging="360"/>
        <w:jc w:val="left"/>
        <w:rPr>
          <w:sz w:val="22"/>
        </w:rPr>
      </w:pPr>
      <w:r>
        <w:rPr>
          <w:b/>
          <w:sz w:val="22"/>
        </w:rPr>
        <w:t>Service Availability </w:t>
      </w:r>
      <w:r>
        <w:rPr>
          <w:sz w:val="22"/>
        </w:rPr>
        <w:t>is a general measure of the distribution of routes within a transit provider’s service area, characterized by the average walking distance to a bus</w:t>
      </w:r>
      <w:r>
        <w:rPr>
          <w:spacing w:val="16"/>
          <w:sz w:val="22"/>
        </w:rPr>
        <w:t> </w:t>
      </w:r>
      <w:r>
        <w:rPr>
          <w:sz w:val="22"/>
        </w:rPr>
        <w:t>line.</w:t>
      </w:r>
    </w:p>
    <w:p>
      <w:pPr>
        <w:pStyle w:val="ListParagraph"/>
        <w:numPr>
          <w:ilvl w:val="1"/>
          <w:numId w:val="11"/>
        </w:numPr>
        <w:tabs>
          <w:tab w:pos="1059" w:val="left" w:leader="none"/>
          <w:tab w:pos="1060" w:val="left" w:leader="none"/>
        </w:tabs>
        <w:spacing w:line="276" w:lineRule="auto" w:before="0" w:after="0"/>
        <w:ind w:left="1060" w:right="1365" w:hanging="360"/>
        <w:jc w:val="left"/>
        <w:rPr>
          <w:sz w:val="22"/>
        </w:rPr>
      </w:pPr>
      <w:r>
        <w:rPr>
          <w:b/>
          <w:sz w:val="22"/>
        </w:rPr>
        <w:t>Transit Amenities </w:t>
      </w:r>
      <w:r>
        <w:rPr>
          <w:sz w:val="22"/>
        </w:rPr>
        <w:t>are items of comfort, convenience, and safety available to the general riding public.</w:t>
      </w:r>
    </w:p>
    <w:p>
      <w:pPr>
        <w:spacing w:line="240" w:lineRule="auto" w:before="9"/>
        <w:rPr>
          <w:sz w:val="13"/>
        </w:rPr>
      </w:pPr>
      <w:r>
        <w:rPr/>
        <w:pict>
          <v:shape style="position:absolute;margin-left:73.560005pt;margin-top:11.109608pt;width:466.45pt;height:.1pt;mso-position-horizontal-relative:page;mso-position-vertical-relative:paragraph;z-index:-251438080;mso-wrap-distance-left:0;mso-wrap-distance-right:0" coordorigin="1471,222" coordsize="9329,0" path="m1471,222l10800,222e" filled="false" stroked="true" strokeweight="1.44pt" strokecolor="#006fbf">
            <v:path arrowok="t"/>
            <v:stroke dashstyle="solid"/>
            <w10:wrap type="topAndBottom"/>
          </v:shape>
        </w:pict>
      </w:r>
    </w:p>
    <w:p>
      <w:pPr>
        <w:spacing w:after="0" w:line="240" w:lineRule="auto"/>
        <w:rPr>
          <w:sz w:val="13"/>
        </w:rPr>
        <w:sectPr>
          <w:headerReference w:type="default" r:id="rId199"/>
          <w:footerReference w:type="default" r:id="rId200"/>
          <w:pgSz w:w="12240" w:h="15840"/>
          <w:pgMar w:header="0" w:footer="872" w:top="700" w:bottom="1060" w:left="740" w:right="560"/>
          <w:pgNumType w:start="1"/>
        </w:sectPr>
      </w:pPr>
    </w:p>
    <w:p>
      <w:pPr>
        <w:pStyle w:val="Heading3"/>
        <w:spacing w:before="20"/>
        <w:ind w:left="2598" w:right="2776"/>
        <w:jc w:val="center"/>
        <w:rPr>
          <w:rFonts w:ascii="Calibri Light"/>
          <w:b w:val="0"/>
        </w:rPr>
      </w:pPr>
      <w:r>
        <w:rPr/>
        <w:pict>
          <v:line style="position:absolute;mso-position-horizontal-relative:page;mso-position-vertical-relative:page;z-index:251883520" from="45.240002pt,35.999977pt" to="45.240002pt,756.0pt" stroked="true" strokeweight="1.44pt" strokecolor="#006fc0">
            <v:stroke dashstyle="solid"/>
            <w10:wrap type="none"/>
          </v:line>
        </w:pict>
      </w:r>
      <w:r>
        <w:rPr>
          <w:rFonts w:ascii="Calibri Light"/>
          <w:b w:val="0"/>
        </w:rPr>
        <w:t>CNYRTA Service Standards and Policies</w:t>
      </w:r>
    </w:p>
    <w:p>
      <w:pPr>
        <w:pStyle w:val="BodyText"/>
        <w:spacing w:before="5"/>
        <w:rPr>
          <w:rFonts w:ascii="Calibri Light"/>
          <w:b w:val="0"/>
          <w:sz w:val="14"/>
        </w:rPr>
      </w:pPr>
    </w:p>
    <w:p>
      <w:pPr>
        <w:pStyle w:val="ListParagraph"/>
        <w:numPr>
          <w:ilvl w:val="1"/>
          <w:numId w:val="11"/>
        </w:numPr>
        <w:tabs>
          <w:tab w:pos="1059" w:val="left" w:leader="none"/>
          <w:tab w:pos="1060" w:val="left" w:leader="none"/>
        </w:tabs>
        <w:spacing w:line="273" w:lineRule="auto" w:before="100" w:after="0"/>
        <w:ind w:left="1059" w:right="915" w:hanging="360"/>
        <w:jc w:val="left"/>
        <w:rPr>
          <w:sz w:val="22"/>
        </w:rPr>
      </w:pPr>
      <w:r>
        <w:rPr>
          <w:b/>
          <w:sz w:val="22"/>
        </w:rPr>
        <w:t>Vehicle Headway </w:t>
      </w:r>
      <w:r>
        <w:rPr>
          <w:sz w:val="22"/>
        </w:rPr>
        <w:t>is the amount of time between two vehicles traveling in the same direction on the same</w:t>
      </w:r>
      <w:r>
        <w:rPr>
          <w:spacing w:val="-2"/>
          <w:sz w:val="22"/>
        </w:rPr>
        <w:t> </w:t>
      </w:r>
      <w:r>
        <w:rPr>
          <w:sz w:val="22"/>
        </w:rPr>
        <w:t>route.</w:t>
      </w:r>
    </w:p>
    <w:p>
      <w:pPr>
        <w:pStyle w:val="ListParagraph"/>
        <w:numPr>
          <w:ilvl w:val="1"/>
          <w:numId w:val="11"/>
        </w:numPr>
        <w:tabs>
          <w:tab w:pos="1059" w:val="left" w:leader="none"/>
          <w:tab w:pos="1060" w:val="left" w:leader="none"/>
        </w:tabs>
        <w:spacing w:line="276" w:lineRule="auto" w:before="5" w:after="0"/>
        <w:ind w:left="1059" w:right="969" w:hanging="360"/>
        <w:jc w:val="left"/>
        <w:rPr>
          <w:sz w:val="22"/>
        </w:rPr>
      </w:pPr>
      <w:r>
        <w:rPr>
          <w:b/>
          <w:sz w:val="22"/>
        </w:rPr>
        <w:t>Vehicle Assignment </w:t>
      </w:r>
      <w:r>
        <w:rPr>
          <w:sz w:val="22"/>
        </w:rPr>
        <w:t>is the process by which transit vehicles are placed into service in depots and on routes throughout the transit provider’s</w:t>
      </w:r>
      <w:r>
        <w:rPr>
          <w:spacing w:val="-3"/>
          <w:sz w:val="22"/>
        </w:rPr>
        <w:t> </w:t>
      </w:r>
      <w:r>
        <w:rPr>
          <w:sz w:val="22"/>
        </w:rPr>
        <w:t>system.</w:t>
      </w:r>
    </w:p>
    <w:p>
      <w:pPr>
        <w:pStyle w:val="ListParagraph"/>
        <w:numPr>
          <w:ilvl w:val="1"/>
          <w:numId w:val="11"/>
        </w:numPr>
        <w:tabs>
          <w:tab w:pos="1059" w:val="left" w:leader="none"/>
          <w:tab w:pos="1060" w:val="left" w:leader="none"/>
        </w:tabs>
        <w:spacing w:line="276" w:lineRule="auto" w:before="0" w:after="0"/>
        <w:ind w:left="1059" w:right="896" w:hanging="360"/>
        <w:jc w:val="left"/>
        <w:rPr>
          <w:sz w:val="22"/>
        </w:rPr>
      </w:pPr>
      <w:r>
        <w:rPr>
          <w:b/>
          <w:sz w:val="22"/>
        </w:rPr>
        <w:t>Vehicle Load </w:t>
      </w:r>
      <w:r>
        <w:rPr>
          <w:sz w:val="22"/>
        </w:rPr>
        <w:t>is the ratio of passengers on board to the number of seats available on a vehicle, at the vehicle’s maximum load</w:t>
      </w:r>
      <w:r>
        <w:rPr>
          <w:spacing w:val="-4"/>
          <w:sz w:val="22"/>
        </w:rPr>
        <w:t> </w:t>
      </w:r>
      <w:r>
        <w:rPr>
          <w:sz w:val="22"/>
        </w:rPr>
        <w:t>point.</w:t>
      </w:r>
    </w:p>
    <w:p>
      <w:pPr>
        <w:spacing w:line="240" w:lineRule="auto" w:before="7"/>
        <w:rPr>
          <w:sz w:val="27"/>
        </w:rPr>
      </w:pPr>
    </w:p>
    <w:p>
      <w:pPr>
        <w:pStyle w:val="Heading7"/>
        <w:numPr>
          <w:ilvl w:val="0"/>
          <w:numId w:val="11"/>
        </w:numPr>
        <w:tabs>
          <w:tab w:pos="1059" w:val="left" w:leader="none"/>
          <w:tab w:pos="1060" w:val="left" w:leader="none"/>
        </w:tabs>
        <w:spacing w:line="240" w:lineRule="auto" w:before="0" w:after="0"/>
        <w:ind w:left="1060" w:right="0" w:hanging="617"/>
        <w:jc w:val="left"/>
        <w:rPr>
          <w:rFonts w:ascii="Calibri"/>
        </w:rPr>
      </w:pPr>
      <w:r>
        <w:rPr>
          <w:rFonts w:ascii="Calibri"/>
        </w:rPr>
        <w:t>Policy Detail for Service Standards</w:t>
      </w:r>
    </w:p>
    <w:p>
      <w:pPr>
        <w:spacing w:line="276" w:lineRule="auto" w:before="43"/>
        <w:ind w:left="1059" w:right="1256" w:firstLine="0"/>
        <w:jc w:val="left"/>
        <w:rPr>
          <w:sz w:val="22"/>
        </w:rPr>
      </w:pPr>
      <w:r>
        <w:rPr/>
        <w:drawing>
          <wp:anchor distT="0" distB="0" distL="0" distR="0" allowOverlap="1" layoutInCell="1" locked="0" behindDoc="1" simplePos="0" relativeHeight="236499968">
            <wp:simplePos x="0" y="0"/>
            <wp:positionH relativeFrom="page">
              <wp:posOffset>1290804</wp:posOffset>
            </wp:positionH>
            <wp:positionV relativeFrom="paragraph">
              <wp:posOffset>61257</wp:posOffset>
            </wp:positionV>
            <wp:extent cx="4669559" cy="4934068"/>
            <wp:effectExtent l="0" t="0" r="0" b="0"/>
            <wp:wrapNone/>
            <wp:docPr id="121" name="image62.png"/>
            <wp:cNvGraphicFramePr>
              <a:graphicFrameLocks noChangeAspect="1"/>
            </wp:cNvGraphicFramePr>
            <a:graphic>
              <a:graphicData uri="http://schemas.openxmlformats.org/drawingml/2006/picture">
                <pic:pic>
                  <pic:nvPicPr>
                    <pic:cNvPr id="122" name="image62.png"/>
                    <pic:cNvPicPr/>
                  </pic:nvPicPr>
                  <pic:blipFill>
                    <a:blip r:embed="rId204" cstate="print"/>
                    <a:stretch>
                      <a:fillRect/>
                    </a:stretch>
                  </pic:blipFill>
                  <pic:spPr>
                    <a:xfrm>
                      <a:off x="0" y="0"/>
                      <a:ext cx="4669559" cy="4934068"/>
                    </a:xfrm>
                    <a:prstGeom prst="rect">
                      <a:avLst/>
                    </a:prstGeom>
                  </pic:spPr>
                </pic:pic>
              </a:graphicData>
            </a:graphic>
          </wp:anchor>
        </w:drawing>
      </w:r>
      <w:r>
        <w:rPr>
          <w:sz w:val="22"/>
        </w:rPr>
        <w:t>FTA requires all fixed route transit providers to develop quantitative standards for all fixed route modes of operation for the indicators listed below.</w:t>
      </w:r>
    </w:p>
    <w:p>
      <w:pPr>
        <w:spacing w:line="240" w:lineRule="auto" w:before="8"/>
        <w:rPr>
          <w:sz w:val="27"/>
        </w:rPr>
      </w:pPr>
    </w:p>
    <w:p>
      <w:pPr>
        <w:pStyle w:val="ListParagraph"/>
        <w:numPr>
          <w:ilvl w:val="0"/>
          <w:numId w:val="12"/>
        </w:numPr>
        <w:tabs>
          <w:tab w:pos="1060" w:val="left" w:leader="none"/>
        </w:tabs>
        <w:spacing w:line="240" w:lineRule="auto" w:before="0" w:after="0"/>
        <w:ind w:left="1060" w:right="0" w:hanging="269"/>
        <w:jc w:val="left"/>
        <w:rPr>
          <w:rFonts w:ascii="Calibri Light"/>
          <w:b w:val="0"/>
          <w:sz w:val="24"/>
        </w:rPr>
      </w:pPr>
      <w:r>
        <w:rPr>
          <w:rFonts w:ascii="Calibri Light"/>
          <w:b w:val="0"/>
          <w:color w:val="006FC0"/>
          <w:sz w:val="24"/>
        </w:rPr>
        <w:t>Vehicle</w:t>
      </w:r>
      <w:r>
        <w:rPr>
          <w:rFonts w:ascii="Calibri Light"/>
          <w:b w:val="0"/>
          <w:color w:val="006FC0"/>
          <w:spacing w:val="-1"/>
          <w:sz w:val="24"/>
        </w:rPr>
        <w:t> </w:t>
      </w:r>
      <w:r>
        <w:rPr>
          <w:rFonts w:ascii="Calibri Light"/>
          <w:b w:val="0"/>
          <w:color w:val="006FC0"/>
          <w:sz w:val="24"/>
        </w:rPr>
        <w:t>Load</w:t>
      </w:r>
    </w:p>
    <w:p>
      <w:pPr>
        <w:pStyle w:val="BodyText"/>
        <w:rPr>
          <w:rFonts w:ascii="Calibri Light"/>
          <w:b w:val="0"/>
          <w:sz w:val="20"/>
        </w:rPr>
      </w:pPr>
    </w:p>
    <w:p>
      <w:pPr>
        <w:spacing w:before="0"/>
        <w:ind w:left="971" w:right="911" w:firstLine="0"/>
        <w:jc w:val="left"/>
        <w:rPr>
          <w:sz w:val="22"/>
        </w:rPr>
      </w:pPr>
      <w:r>
        <w:rPr>
          <w:sz w:val="22"/>
        </w:rPr>
        <w:t>Vehicle</w:t>
      </w:r>
      <w:r>
        <w:rPr>
          <w:spacing w:val="-7"/>
          <w:sz w:val="22"/>
        </w:rPr>
        <w:t> </w:t>
      </w:r>
      <w:r>
        <w:rPr>
          <w:sz w:val="22"/>
        </w:rPr>
        <w:t>load</w:t>
      </w:r>
      <w:r>
        <w:rPr>
          <w:spacing w:val="-8"/>
          <w:sz w:val="22"/>
        </w:rPr>
        <w:t> </w:t>
      </w:r>
      <w:r>
        <w:rPr>
          <w:sz w:val="22"/>
        </w:rPr>
        <w:t>is</w:t>
      </w:r>
      <w:r>
        <w:rPr>
          <w:spacing w:val="-6"/>
          <w:sz w:val="22"/>
        </w:rPr>
        <w:t> </w:t>
      </w:r>
      <w:r>
        <w:rPr>
          <w:sz w:val="22"/>
        </w:rPr>
        <w:t>a</w:t>
      </w:r>
      <w:r>
        <w:rPr>
          <w:spacing w:val="-9"/>
          <w:sz w:val="22"/>
        </w:rPr>
        <w:t> </w:t>
      </w:r>
      <w:r>
        <w:rPr>
          <w:sz w:val="22"/>
        </w:rPr>
        <w:t>metric</w:t>
      </w:r>
      <w:r>
        <w:rPr>
          <w:spacing w:val="-9"/>
          <w:sz w:val="22"/>
        </w:rPr>
        <w:t> </w:t>
      </w:r>
      <w:r>
        <w:rPr>
          <w:sz w:val="22"/>
        </w:rPr>
        <w:t>expressed</w:t>
      </w:r>
      <w:r>
        <w:rPr>
          <w:spacing w:val="-10"/>
          <w:sz w:val="22"/>
        </w:rPr>
        <w:t> </w:t>
      </w:r>
      <w:r>
        <w:rPr>
          <w:sz w:val="22"/>
        </w:rPr>
        <w:t>as</w:t>
      </w:r>
      <w:r>
        <w:rPr>
          <w:spacing w:val="-9"/>
          <w:sz w:val="22"/>
        </w:rPr>
        <w:t> </w:t>
      </w:r>
      <w:r>
        <w:rPr>
          <w:sz w:val="22"/>
        </w:rPr>
        <w:t>the</w:t>
      </w:r>
      <w:r>
        <w:rPr>
          <w:spacing w:val="-7"/>
          <w:sz w:val="22"/>
        </w:rPr>
        <w:t> </w:t>
      </w:r>
      <w:r>
        <w:rPr>
          <w:sz w:val="22"/>
        </w:rPr>
        <w:t>ratio</w:t>
      </w:r>
      <w:r>
        <w:rPr>
          <w:spacing w:val="-8"/>
          <w:sz w:val="22"/>
        </w:rPr>
        <w:t> </w:t>
      </w:r>
      <w:r>
        <w:rPr>
          <w:sz w:val="22"/>
        </w:rPr>
        <w:t>of</w:t>
      </w:r>
      <w:r>
        <w:rPr>
          <w:spacing w:val="-7"/>
          <w:sz w:val="22"/>
        </w:rPr>
        <w:t> </w:t>
      </w:r>
      <w:r>
        <w:rPr>
          <w:sz w:val="22"/>
        </w:rPr>
        <w:t>passengers</w:t>
      </w:r>
      <w:r>
        <w:rPr>
          <w:spacing w:val="-9"/>
          <w:sz w:val="22"/>
        </w:rPr>
        <w:t> </w:t>
      </w:r>
      <w:r>
        <w:rPr>
          <w:sz w:val="22"/>
        </w:rPr>
        <w:t>on</w:t>
      </w:r>
      <w:r>
        <w:rPr>
          <w:spacing w:val="-7"/>
          <w:sz w:val="22"/>
        </w:rPr>
        <w:t> </w:t>
      </w:r>
      <w:r>
        <w:rPr>
          <w:sz w:val="22"/>
        </w:rPr>
        <w:t>board</w:t>
      </w:r>
      <w:r>
        <w:rPr>
          <w:spacing w:val="-8"/>
          <w:sz w:val="22"/>
        </w:rPr>
        <w:t> </w:t>
      </w:r>
      <w:r>
        <w:rPr>
          <w:sz w:val="22"/>
        </w:rPr>
        <w:t>to</w:t>
      </w:r>
      <w:r>
        <w:rPr>
          <w:spacing w:val="-6"/>
          <w:sz w:val="22"/>
        </w:rPr>
        <w:t> </w:t>
      </w:r>
      <w:r>
        <w:rPr>
          <w:spacing w:val="-2"/>
          <w:sz w:val="22"/>
        </w:rPr>
        <w:t>the</w:t>
      </w:r>
      <w:r>
        <w:rPr>
          <w:spacing w:val="-3"/>
          <w:sz w:val="22"/>
        </w:rPr>
        <w:t> </w:t>
      </w:r>
      <w:r>
        <w:rPr>
          <w:sz w:val="22"/>
        </w:rPr>
        <w:t>number</w:t>
      </w:r>
      <w:r>
        <w:rPr>
          <w:spacing w:val="-7"/>
          <w:sz w:val="22"/>
        </w:rPr>
        <w:t> </w:t>
      </w:r>
      <w:r>
        <w:rPr>
          <w:sz w:val="22"/>
        </w:rPr>
        <w:t>of</w:t>
      </w:r>
      <w:r>
        <w:rPr>
          <w:spacing w:val="-7"/>
          <w:sz w:val="22"/>
        </w:rPr>
        <w:t> </w:t>
      </w:r>
      <w:r>
        <w:rPr>
          <w:sz w:val="22"/>
        </w:rPr>
        <w:t>seats</w:t>
      </w:r>
      <w:r>
        <w:rPr>
          <w:spacing w:val="-7"/>
          <w:sz w:val="22"/>
        </w:rPr>
        <w:t> </w:t>
      </w:r>
      <w:r>
        <w:rPr>
          <w:sz w:val="22"/>
        </w:rPr>
        <w:t>available on a vehicle, at the vehicle’s maximium load</w:t>
      </w:r>
      <w:r>
        <w:rPr>
          <w:spacing w:val="-24"/>
          <w:sz w:val="22"/>
        </w:rPr>
        <w:t> </w:t>
      </w:r>
      <w:r>
        <w:rPr>
          <w:sz w:val="22"/>
        </w:rPr>
        <w:t>point.</w:t>
      </w:r>
    </w:p>
    <w:p>
      <w:pPr>
        <w:spacing w:line="240" w:lineRule="auto" w:before="11"/>
        <w:rPr>
          <w:sz w:val="21"/>
        </w:rPr>
      </w:pPr>
    </w:p>
    <w:p>
      <w:pPr>
        <w:spacing w:before="0"/>
        <w:ind w:left="971" w:right="1330" w:firstLine="0"/>
        <w:jc w:val="left"/>
        <w:rPr>
          <w:sz w:val="22"/>
        </w:rPr>
      </w:pPr>
      <w:r>
        <w:rPr>
          <w:sz w:val="22"/>
        </w:rPr>
        <w:t>The</w:t>
      </w:r>
      <w:r>
        <w:rPr>
          <w:spacing w:val="-8"/>
          <w:sz w:val="22"/>
        </w:rPr>
        <w:t> </w:t>
      </w:r>
      <w:r>
        <w:rPr>
          <w:sz w:val="22"/>
        </w:rPr>
        <w:t>vehicle</w:t>
      </w:r>
      <w:r>
        <w:rPr>
          <w:spacing w:val="-7"/>
          <w:sz w:val="22"/>
        </w:rPr>
        <w:t> </w:t>
      </w:r>
      <w:r>
        <w:rPr>
          <w:sz w:val="22"/>
        </w:rPr>
        <w:t>fleet</w:t>
      </w:r>
      <w:r>
        <w:rPr>
          <w:spacing w:val="-7"/>
          <w:sz w:val="22"/>
        </w:rPr>
        <w:t> </w:t>
      </w:r>
      <w:r>
        <w:rPr>
          <w:sz w:val="22"/>
        </w:rPr>
        <w:t>at</w:t>
      </w:r>
      <w:r>
        <w:rPr>
          <w:spacing w:val="-8"/>
          <w:sz w:val="22"/>
        </w:rPr>
        <w:t> </w:t>
      </w:r>
      <w:r>
        <w:rPr>
          <w:sz w:val="22"/>
        </w:rPr>
        <w:t>each</w:t>
      </w:r>
      <w:r>
        <w:rPr>
          <w:spacing w:val="-8"/>
          <w:sz w:val="22"/>
        </w:rPr>
        <w:t> </w:t>
      </w:r>
      <w:r>
        <w:rPr>
          <w:sz w:val="22"/>
        </w:rPr>
        <w:t>garage</w:t>
      </w:r>
      <w:r>
        <w:rPr>
          <w:spacing w:val="-7"/>
          <w:sz w:val="22"/>
        </w:rPr>
        <w:t> </w:t>
      </w:r>
      <w:r>
        <w:rPr>
          <w:sz w:val="22"/>
        </w:rPr>
        <w:t>facility</w:t>
      </w:r>
      <w:r>
        <w:rPr>
          <w:spacing w:val="-6"/>
          <w:sz w:val="22"/>
        </w:rPr>
        <w:t> </w:t>
      </w:r>
      <w:r>
        <w:rPr>
          <w:sz w:val="22"/>
        </w:rPr>
        <w:t>is</w:t>
      </w:r>
      <w:r>
        <w:rPr>
          <w:spacing w:val="-8"/>
          <w:sz w:val="22"/>
        </w:rPr>
        <w:t> </w:t>
      </w:r>
      <w:r>
        <w:rPr>
          <w:sz w:val="22"/>
        </w:rPr>
        <w:t>to</w:t>
      </w:r>
      <w:r>
        <w:rPr>
          <w:spacing w:val="-6"/>
          <w:sz w:val="22"/>
        </w:rPr>
        <w:t> </w:t>
      </w:r>
      <w:r>
        <w:rPr>
          <w:sz w:val="22"/>
        </w:rPr>
        <w:t>be</w:t>
      </w:r>
      <w:r>
        <w:rPr>
          <w:spacing w:val="-9"/>
          <w:sz w:val="22"/>
        </w:rPr>
        <w:t> </w:t>
      </w:r>
      <w:r>
        <w:rPr>
          <w:sz w:val="22"/>
        </w:rPr>
        <w:t>matched</w:t>
      </w:r>
      <w:r>
        <w:rPr>
          <w:spacing w:val="-8"/>
          <w:sz w:val="22"/>
        </w:rPr>
        <w:t> </w:t>
      </w:r>
      <w:r>
        <w:rPr>
          <w:sz w:val="22"/>
        </w:rPr>
        <w:t>to</w:t>
      </w:r>
      <w:r>
        <w:rPr>
          <w:spacing w:val="-6"/>
          <w:sz w:val="22"/>
        </w:rPr>
        <w:t> </w:t>
      </w:r>
      <w:r>
        <w:rPr>
          <w:sz w:val="22"/>
        </w:rPr>
        <w:t>the</w:t>
      </w:r>
      <w:r>
        <w:rPr>
          <w:spacing w:val="-8"/>
          <w:sz w:val="22"/>
        </w:rPr>
        <w:t> </w:t>
      </w:r>
      <w:r>
        <w:rPr>
          <w:sz w:val="22"/>
        </w:rPr>
        <w:t>ridership</w:t>
      </w:r>
      <w:r>
        <w:rPr>
          <w:spacing w:val="-8"/>
          <w:sz w:val="22"/>
        </w:rPr>
        <w:t> </w:t>
      </w:r>
      <w:r>
        <w:rPr>
          <w:sz w:val="22"/>
        </w:rPr>
        <w:t>patterns</w:t>
      </w:r>
      <w:r>
        <w:rPr>
          <w:spacing w:val="-7"/>
          <w:sz w:val="22"/>
        </w:rPr>
        <w:t> </w:t>
      </w:r>
      <w:r>
        <w:rPr>
          <w:sz w:val="22"/>
        </w:rPr>
        <w:t>and</w:t>
      </w:r>
      <w:r>
        <w:rPr>
          <w:spacing w:val="-11"/>
          <w:sz w:val="22"/>
        </w:rPr>
        <w:t> </w:t>
      </w:r>
      <w:r>
        <w:rPr>
          <w:sz w:val="22"/>
        </w:rPr>
        <w:t>volume</w:t>
      </w:r>
      <w:r>
        <w:rPr>
          <w:spacing w:val="-9"/>
          <w:sz w:val="22"/>
        </w:rPr>
        <w:t> </w:t>
      </w:r>
      <w:r>
        <w:rPr>
          <w:sz w:val="22"/>
        </w:rPr>
        <w:t>of customers</w:t>
      </w:r>
      <w:r>
        <w:rPr>
          <w:spacing w:val="-5"/>
          <w:sz w:val="22"/>
        </w:rPr>
        <w:t> </w:t>
      </w:r>
      <w:r>
        <w:rPr>
          <w:sz w:val="22"/>
        </w:rPr>
        <w:t>served.</w:t>
      </w:r>
    </w:p>
    <w:p>
      <w:pPr>
        <w:spacing w:line="240" w:lineRule="auto" w:before="0"/>
        <w:rPr>
          <w:sz w:val="22"/>
        </w:rPr>
      </w:pPr>
    </w:p>
    <w:p>
      <w:pPr>
        <w:spacing w:before="0"/>
        <w:ind w:left="971" w:right="0" w:firstLine="0"/>
        <w:jc w:val="left"/>
        <w:rPr>
          <w:sz w:val="22"/>
        </w:rPr>
      </w:pPr>
      <w:r>
        <w:rPr>
          <w:sz w:val="22"/>
        </w:rPr>
        <w:t>CNY Centro Inc.:</w:t>
      </w:r>
    </w:p>
    <w:p>
      <w:pPr>
        <w:pStyle w:val="ListParagraph"/>
        <w:numPr>
          <w:ilvl w:val="1"/>
          <w:numId w:val="12"/>
        </w:numPr>
        <w:tabs>
          <w:tab w:pos="1691" w:val="left" w:leader="none"/>
          <w:tab w:pos="1692" w:val="left" w:leader="none"/>
        </w:tabs>
        <w:spacing w:line="240" w:lineRule="auto" w:before="1" w:after="0"/>
        <w:ind w:left="1691" w:right="891" w:hanging="360"/>
        <w:jc w:val="left"/>
        <w:rPr>
          <w:sz w:val="22"/>
        </w:rPr>
      </w:pPr>
      <w:r>
        <w:rPr>
          <w:sz w:val="22"/>
        </w:rPr>
        <w:t>Regular</w:t>
      </w:r>
      <w:r>
        <w:rPr>
          <w:spacing w:val="-9"/>
          <w:sz w:val="22"/>
        </w:rPr>
        <w:t> </w:t>
      </w:r>
      <w:r>
        <w:rPr>
          <w:sz w:val="22"/>
        </w:rPr>
        <w:t>route</w:t>
      </w:r>
      <w:r>
        <w:rPr>
          <w:spacing w:val="-8"/>
          <w:sz w:val="22"/>
        </w:rPr>
        <w:t> </w:t>
      </w:r>
      <w:r>
        <w:rPr>
          <w:sz w:val="22"/>
        </w:rPr>
        <w:t>loadings</w:t>
      </w:r>
      <w:r>
        <w:rPr>
          <w:spacing w:val="-8"/>
          <w:sz w:val="22"/>
        </w:rPr>
        <w:t> </w:t>
      </w:r>
      <w:r>
        <w:rPr>
          <w:sz w:val="22"/>
        </w:rPr>
        <w:t>in</w:t>
      </w:r>
      <w:r>
        <w:rPr>
          <w:spacing w:val="-9"/>
          <w:sz w:val="22"/>
        </w:rPr>
        <w:t> </w:t>
      </w:r>
      <w:r>
        <w:rPr>
          <w:spacing w:val="-2"/>
          <w:sz w:val="22"/>
        </w:rPr>
        <w:t>the</w:t>
      </w:r>
      <w:r>
        <w:rPr>
          <w:spacing w:val="-8"/>
          <w:sz w:val="22"/>
        </w:rPr>
        <w:t> </w:t>
      </w:r>
      <w:r>
        <w:rPr>
          <w:sz w:val="22"/>
        </w:rPr>
        <w:t>urbanized</w:t>
      </w:r>
      <w:r>
        <w:rPr>
          <w:spacing w:val="-9"/>
          <w:sz w:val="22"/>
        </w:rPr>
        <w:t> </w:t>
      </w:r>
      <w:r>
        <w:rPr>
          <w:sz w:val="22"/>
        </w:rPr>
        <w:t>Syracuse</w:t>
      </w:r>
      <w:r>
        <w:rPr>
          <w:spacing w:val="-8"/>
          <w:sz w:val="22"/>
        </w:rPr>
        <w:t> </w:t>
      </w:r>
      <w:r>
        <w:rPr>
          <w:sz w:val="22"/>
        </w:rPr>
        <w:t>region</w:t>
      </w:r>
      <w:r>
        <w:rPr>
          <w:spacing w:val="-7"/>
          <w:sz w:val="22"/>
        </w:rPr>
        <w:t> </w:t>
      </w:r>
      <w:r>
        <w:rPr>
          <w:sz w:val="22"/>
        </w:rPr>
        <w:t>require</w:t>
      </w:r>
      <w:r>
        <w:rPr>
          <w:spacing w:val="-10"/>
          <w:sz w:val="22"/>
        </w:rPr>
        <w:t> </w:t>
      </w:r>
      <w:r>
        <w:rPr>
          <w:sz w:val="22"/>
        </w:rPr>
        <w:t>most</w:t>
      </w:r>
      <w:r>
        <w:rPr>
          <w:spacing w:val="-8"/>
          <w:sz w:val="22"/>
        </w:rPr>
        <w:t> </w:t>
      </w:r>
      <w:r>
        <w:rPr>
          <w:sz w:val="22"/>
        </w:rPr>
        <w:t>of</w:t>
      </w:r>
      <w:r>
        <w:rPr>
          <w:spacing w:val="-9"/>
          <w:sz w:val="22"/>
        </w:rPr>
        <w:t> </w:t>
      </w:r>
      <w:r>
        <w:rPr>
          <w:sz w:val="22"/>
        </w:rPr>
        <w:t>the</w:t>
      </w:r>
      <w:r>
        <w:rPr>
          <w:spacing w:val="-8"/>
          <w:sz w:val="22"/>
        </w:rPr>
        <w:t> </w:t>
      </w:r>
      <w:r>
        <w:rPr>
          <w:sz w:val="22"/>
        </w:rPr>
        <w:t>fleet</w:t>
      </w:r>
      <w:r>
        <w:rPr>
          <w:spacing w:val="-9"/>
          <w:sz w:val="22"/>
        </w:rPr>
        <w:t> </w:t>
      </w:r>
      <w:r>
        <w:rPr>
          <w:sz w:val="22"/>
        </w:rPr>
        <w:t>to</w:t>
      </w:r>
      <w:r>
        <w:rPr>
          <w:spacing w:val="-8"/>
          <w:sz w:val="22"/>
        </w:rPr>
        <w:t> </w:t>
      </w:r>
      <w:r>
        <w:rPr>
          <w:sz w:val="22"/>
        </w:rPr>
        <w:t>be</w:t>
      </w:r>
      <w:r>
        <w:rPr>
          <w:spacing w:val="-8"/>
          <w:sz w:val="22"/>
        </w:rPr>
        <w:t> </w:t>
      </w:r>
      <w:r>
        <w:rPr>
          <w:sz w:val="22"/>
        </w:rPr>
        <w:t>40-foot buses. Within the 40-foot category, various seating configurations yield between 30 and 38 seats.</w:t>
      </w:r>
    </w:p>
    <w:p>
      <w:pPr>
        <w:spacing w:line="240" w:lineRule="auto" w:before="11"/>
        <w:rPr>
          <w:sz w:val="21"/>
        </w:rPr>
      </w:pPr>
    </w:p>
    <w:p>
      <w:pPr>
        <w:spacing w:before="0"/>
        <w:ind w:left="971" w:right="0" w:firstLine="0"/>
        <w:jc w:val="left"/>
        <w:rPr>
          <w:sz w:val="22"/>
        </w:rPr>
      </w:pPr>
      <w:r>
        <w:rPr>
          <w:sz w:val="22"/>
        </w:rPr>
        <w:t>Small UZA/Non-UZA:</w:t>
      </w:r>
    </w:p>
    <w:p>
      <w:pPr>
        <w:pStyle w:val="ListParagraph"/>
        <w:numPr>
          <w:ilvl w:val="1"/>
          <w:numId w:val="12"/>
        </w:numPr>
        <w:tabs>
          <w:tab w:pos="1691" w:val="left" w:leader="none"/>
          <w:tab w:pos="1692" w:val="left" w:leader="none"/>
        </w:tabs>
        <w:spacing w:line="240" w:lineRule="auto" w:before="0" w:after="0"/>
        <w:ind w:left="1691" w:right="1003" w:hanging="360"/>
        <w:jc w:val="left"/>
        <w:rPr>
          <w:sz w:val="22"/>
        </w:rPr>
      </w:pPr>
      <w:r>
        <w:rPr>
          <w:sz w:val="22"/>
        </w:rPr>
        <w:t>Regular route loadings in Utica, and the non-urbanized areas of Auburn, Oswego, and Rome require</w:t>
      </w:r>
      <w:r>
        <w:rPr>
          <w:spacing w:val="-10"/>
          <w:sz w:val="22"/>
        </w:rPr>
        <w:t> </w:t>
      </w:r>
      <w:r>
        <w:rPr>
          <w:sz w:val="22"/>
        </w:rPr>
        <w:t>various</w:t>
      </w:r>
      <w:r>
        <w:rPr>
          <w:spacing w:val="-11"/>
          <w:sz w:val="22"/>
        </w:rPr>
        <w:t> </w:t>
      </w:r>
      <w:r>
        <w:rPr>
          <w:sz w:val="22"/>
        </w:rPr>
        <w:t>sized</w:t>
      </w:r>
      <w:r>
        <w:rPr>
          <w:spacing w:val="-11"/>
          <w:sz w:val="22"/>
        </w:rPr>
        <w:t> </w:t>
      </w:r>
      <w:r>
        <w:rPr>
          <w:sz w:val="22"/>
        </w:rPr>
        <w:t>vehicles</w:t>
      </w:r>
      <w:r>
        <w:rPr>
          <w:spacing w:val="-10"/>
          <w:sz w:val="22"/>
        </w:rPr>
        <w:t> </w:t>
      </w:r>
      <w:r>
        <w:rPr>
          <w:sz w:val="22"/>
        </w:rPr>
        <w:t>to</w:t>
      </w:r>
      <w:r>
        <w:rPr>
          <w:spacing w:val="-10"/>
          <w:sz w:val="22"/>
        </w:rPr>
        <w:t> </w:t>
      </w:r>
      <w:r>
        <w:rPr>
          <w:sz w:val="22"/>
        </w:rPr>
        <w:t>meet</w:t>
      </w:r>
      <w:r>
        <w:rPr>
          <w:spacing w:val="-8"/>
          <w:sz w:val="22"/>
        </w:rPr>
        <w:t> </w:t>
      </w:r>
      <w:r>
        <w:rPr>
          <w:sz w:val="22"/>
        </w:rPr>
        <w:t>the</w:t>
      </w:r>
      <w:r>
        <w:rPr>
          <w:spacing w:val="-9"/>
          <w:sz w:val="22"/>
        </w:rPr>
        <w:t> </w:t>
      </w:r>
      <w:r>
        <w:rPr>
          <w:sz w:val="22"/>
        </w:rPr>
        <w:t>local</w:t>
      </w:r>
      <w:r>
        <w:rPr>
          <w:spacing w:val="-9"/>
          <w:sz w:val="22"/>
        </w:rPr>
        <w:t> </w:t>
      </w:r>
      <w:r>
        <w:rPr>
          <w:sz w:val="22"/>
        </w:rPr>
        <w:t>ridership</w:t>
      </w:r>
      <w:r>
        <w:rPr>
          <w:spacing w:val="-9"/>
          <w:sz w:val="22"/>
        </w:rPr>
        <w:t> </w:t>
      </w:r>
      <w:r>
        <w:rPr>
          <w:sz w:val="22"/>
        </w:rPr>
        <w:t>demand.</w:t>
      </w:r>
      <w:r>
        <w:rPr>
          <w:spacing w:val="-9"/>
          <w:sz w:val="22"/>
        </w:rPr>
        <w:t> </w:t>
      </w:r>
      <w:r>
        <w:rPr>
          <w:sz w:val="22"/>
        </w:rPr>
        <w:t>Within</w:t>
      </w:r>
      <w:r>
        <w:rPr>
          <w:spacing w:val="-11"/>
          <w:sz w:val="22"/>
        </w:rPr>
        <w:t> </w:t>
      </w:r>
      <w:r>
        <w:rPr>
          <w:sz w:val="22"/>
        </w:rPr>
        <w:t>these</w:t>
      </w:r>
      <w:r>
        <w:rPr>
          <w:spacing w:val="-8"/>
          <w:sz w:val="22"/>
        </w:rPr>
        <w:t> </w:t>
      </w:r>
      <w:r>
        <w:rPr>
          <w:sz w:val="22"/>
        </w:rPr>
        <w:t>service</w:t>
      </w:r>
      <w:r>
        <w:rPr>
          <w:spacing w:val="-9"/>
          <w:sz w:val="22"/>
        </w:rPr>
        <w:t> </w:t>
      </w:r>
      <w:r>
        <w:rPr>
          <w:sz w:val="22"/>
        </w:rPr>
        <w:t>areas, bus sizes range from 29 to 40 feet in length with seating capacities ranging from 24 to 38 seats. Several 40-foot coach vehicles are assigned to intercity service. Coach style vehicles have</w:t>
      </w:r>
      <w:r>
        <w:rPr>
          <w:spacing w:val="-3"/>
          <w:sz w:val="22"/>
        </w:rPr>
        <w:t> </w:t>
      </w:r>
      <w:r>
        <w:rPr>
          <w:sz w:val="22"/>
        </w:rPr>
        <w:t>40-49</w:t>
      </w:r>
      <w:r>
        <w:rPr>
          <w:spacing w:val="-4"/>
          <w:sz w:val="22"/>
        </w:rPr>
        <w:t> </w:t>
      </w:r>
      <w:r>
        <w:rPr>
          <w:sz w:val="22"/>
        </w:rPr>
        <w:t>seats</w:t>
      </w:r>
      <w:r>
        <w:rPr>
          <w:spacing w:val="-3"/>
          <w:sz w:val="22"/>
        </w:rPr>
        <w:t> </w:t>
      </w:r>
      <w:r>
        <w:rPr>
          <w:sz w:val="22"/>
        </w:rPr>
        <w:t>and</w:t>
      </w:r>
      <w:r>
        <w:rPr>
          <w:spacing w:val="-3"/>
          <w:sz w:val="22"/>
        </w:rPr>
        <w:t> </w:t>
      </w:r>
      <w:r>
        <w:rPr>
          <w:sz w:val="22"/>
        </w:rPr>
        <w:t>a</w:t>
      </w:r>
      <w:r>
        <w:rPr>
          <w:spacing w:val="-5"/>
          <w:sz w:val="22"/>
        </w:rPr>
        <w:t> </w:t>
      </w:r>
      <w:r>
        <w:rPr>
          <w:sz w:val="22"/>
        </w:rPr>
        <w:t>max</w:t>
      </w:r>
      <w:r>
        <w:rPr>
          <w:spacing w:val="-3"/>
          <w:sz w:val="22"/>
        </w:rPr>
        <w:t> </w:t>
      </w:r>
      <w:r>
        <w:rPr>
          <w:sz w:val="22"/>
        </w:rPr>
        <w:t>load</w:t>
      </w:r>
      <w:r>
        <w:rPr>
          <w:spacing w:val="-6"/>
          <w:sz w:val="22"/>
        </w:rPr>
        <w:t> </w:t>
      </w:r>
      <w:r>
        <w:rPr>
          <w:sz w:val="22"/>
        </w:rPr>
        <w:t>of</w:t>
      </w:r>
      <w:r>
        <w:rPr>
          <w:spacing w:val="-5"/>
          <w:sz w:val="22"/>
        </w:rPr>
        <w:t> </w:t>
      </w:r>
      <w:r>
        <w:rPr>
          <w:sz w:val="22"/>
        </w:rPr>
        <w:t>100%</w:t>
      </w:r>
      <w:r>
        <w:rPr>
          <w:spacing w:val="-2"/>
          <w:sz w:val="22"/>
        </w:rPr>
        <w:t> </w:t>
      </w:r>
      <w:r>
        <w:rPr>
          <w:sz w:val="22"/>
        </w:rPr>
        <w:t>seating</w:t>
      </w:r>
      <w:r>
        <w:rPr>
          <w:spacing w:val="-4"/>
          <w:sz w:val="22"/>
        </w:rPr>
        <w:t> </w:t>
      </w:r>
      <w:r>
        <w:rPr>
          <w:sz w:val="22"/>
        </w:rPr>
        <w:t>capacity.</w:t>
      </w:r>
    </w:p>
    <w:p>
      <w:pPr>
        <w:pStyle w:val="ListParagraph"/>
        <w:numPr>
          <w:ilvl w:val="1"/>
          <w:numId w:val="12"/>
        </w:numPr>
        <w:tabs>
          <w:tab w:pos="1691" w:val="left" w:leader="none"/>
          <w:tab w:pos="1692" w:val="left" w:leader="none"/>
        </w:tabs>
        <w:spacing w:line="240" w:lineRule="auto" w:before="2" w:after="0"/>
        <w:ind w:left="1691" w:right="1286" w:hanging="360"/>
        <w:jc w:val="left"/>
        <w:rPr>
          <w:sz w:val="22"/>
        </w:rPr>
      </w:pPr>
      <w:r>
        <w:rPr>
          <w:sz w:val="22"/>
        </w:rPr>
        <w:t>The Cortland fleet was inherited from Cortland Transit and is comprised of medium duty cutaways</w:t>
      </w:r>
      <w:r>
        <w:rPr>
          <w:spacing w:val="-11"/>
          <w:sz w:val="22"/>
        </w:rPr>
        <w:t> </w:t>
      </w:r>
      <w:r>
        <w:rPr>
          <w:sz w:val="22"/>
        </w:rPr>
        <w:t>with</w:t>
      </w:r>
      <w:r>
        <w:rPr>
          <w:spacing w:val="-8"/>
          <w:sz w:val="22"/>
        </w:rPr>
        <w:t> </w:t>
      </w:r>
      <w:r>
        <w:rPr>
          <w:sz w:val="22"/>
        </w:rPr>
        <w:t>seating</w:t>
      </w:r>
      <w:r>
        <w:rPr>
          <w:spacing w:val="-8"/>
          <w:sz w:val="22"/>
        </w:rPr>
        <w:t> </w:t>
      </w:r>
      <w:r>
        <w:rPr>
          <w:sz w:val="22"/>
        </w:rPr>
        <w:t>capacities</w:t>
      </w:r>
      <w:r>
        <w:rPr>
          <w:spacing w:val="-8"/>
          <w:sz w:val="22"/>
        </w:rPr>
        <w:t> </w:t>
      </w:r>
      <w:r>
        <w:rPr>
          <w:sz w:val="22"/>
        </w:rPr>
        <w:t>between</w:t>
      </w:r>
      <w:r>
        <w:rPr>
          <w:spacing w:val="-8"/>
          <w:sz w:val="22"/>
        </w:rPr>
        <w:t> </w:t>
      </w:r>
      <w:r>
        <w:rPr>
          <w:sz w:val="22"/>
        </w:rPr>
        <w:t>17</w:t>
      </w:r>
      <w:r>
        <w:rPr>
          <w:spacing w:val="-7"/>
          <w:sz w:val="22"/>
        </w:rPr>
        <w:t> </w:t>
      </w:r>
      <w:r>
        <w:rPr>
          <w:sz w:val="22"/>
        </w:rPr>
        <w:t>and</w:t>
      </w:r>
      <w:r>
        <w:rPr>
          <w:spacing w:val="-11"/>
          <w:sz w:val="22"/>
        </w:rPr>
        <w:t> </w:t>
      </w:r>
      <w:r>
        <w:rPr>
          <w:sz w:val="22"/>
        </w:rPr>
        <w:t>19</w:t>
      </w:r>
      <w:r>
        <w:rPr>
          <w:spacing w:val="-7"/>
          <w:sz w:val="22"/>
        </w:rPr>
        <w:t> </w:t>
      </w:r>
      <w:r>
        <w:rPr>
          <w:sz w:val="22"/>
        </w:rPr>
        <w:t>seats</w:t>
      </w:r>
      <w:r>
        <w:rPr>
          <w:spacing w:val="-7"/>
          <w:sz w:val="22"/>
        </w:rPr>
        <w:t> </w:t>
      </w:r>
      <w:r>
        <w:rPr>
          <w:sz w:val="22"/>
        </w:rPr>
        <w:t>and</w:t>
      </w:r>
      <w:r>
        <w:rPr>
          <w:spacing w:val="-11"/>
          <w:sz w:val="22"/>
        </w:rPr>
        <w:t> </w:t>
      </w:r>
      <w:r>
        <w:rPr>
          <w:sz w:val="22"/>
        </w:rPr>
        <w:t>35-foot</w:t>
      </w:r>
      <w:r>
        <w:rPr>
          <w:spacing w:val="-8"/>
          <w:sz w:val="22"/>
        </w:rPr>
        <w:t> </w:t>
      </w:r>
      <w:r>
        <w:rPr>
          <w:sz w:val="22"/>
        </w:rPr>
        <w:t>buses</w:t>
      </w:r>
      <w:r>
        <w:rPr>
          <w:spacing w:val="-7"/>
          <w:sz w:val="22"/>
        </w:rPr>
        <w:t> </w:t>
      </w:r>
      <w:r>
        <w:rPr>
          <w:sz w:val="22"/>
        </w:rPr>
        <w:t>with</w:t>
      </w:r>
      <w:r>
        <w:rPr>
          <w:spacing w:val="-9"/>
          <w:sz w:val="22"/>
        </w:rPr>
        <w:t> </w:t>
      </w:r>
      <w:r>
        <w:rPr>
          <w:sz w:val="22"/>
        </w:rPr>
        <w:t>seating capacities</w:t>
      </w:r>
      <w:r>
        <w:rPr>
          <w:spacing w:val="-7"/>
          <w:sz w:val="22"/>
        </w:rPr>
        <w:t> </w:t>
      </w:r>
      <w:r>
        <w:rPr>
          <w:sz w:val="22"/>
        </w:rPr>
        <w:t>between</w:t>
      </w:r>
      <w:r>
        <w:rPr>
          <w:spacing w:val="-7"/>
          <w:sz w:val="22"/>
        </w:rPr>
        <w:t> </w:t>
      </w:r>
      <w:r>
        <w:rPr>
          <w:sz w:val="22"/>
        </w:rPr>
        <w:t>26</w:t>
      </w:r>
      <w:r>
        <w:rPr>
          <w:spacing w:val="-6"/>
          <w:sz w:val="22"/>
        </w:rPr>
        <w:t> </w:t>
      </w:r>
      <w:r>
        <w:rPr>
          <w:sz w:val="22"/>
        </w:rPr>
        <w:t>and</w:t>
      </w:r>
      <w:r>
        <w:rPr>
          <w:spacing w:val="-10"/>
          <w:sz w:val="22"/>
        </w:rPr>
        <w:t> </w:t>
      </w:r>
      <w:r>
        <w:rPr>
          <w:sz w:val="22"/>
        </w:rPr>
        <w:t>34</w:t>
      </w:r>
      <w:r>
        <w:rPr>
          <w:spacing w:val="-6"/>
          <w:sz w:val="22"/>
        </w:rPr>
        <w:t> </w:t>
      </w:r>
      <w:r>
        <w:rPr>
          <w:sz w:val="22"/>
        </w:rPr>
        <w:t>seats.</w:t>
      </w:r>
      <w:r>
        <w:rPr>
          <w:spacing w:val="-7"/>
          <w:sz w:val="22"/>
        </w:rPr>
        <w:t> </w:t>
      </w:r>
      <w:r>
        <w:rPr>
          <w:spacing w:val="-2"/>
          <w:sz w:val="22"/>
        </w:rPr>
        <w:t>The</w:t>
      </w:r>
      <w:r>
        <w:rPr>
          <w:spacing w:val="-7"/>
          <w:sz w:val="22"/>
        </w:rPr>
        <w:t> </w:t>
      </w:r>
      <w:r>
        <w:rPr>
          <w:sz w:val="22"/>
        </w:rPr>
        <w:t>max</w:t>
      </w:r>
      <w:r>
        <w:rPr>
          <w:spacing w:val="-6"/>
          <w:sz w:val="22"/>
        </w:rPr>
        <w:t> </w:t>
      </w:r>
      <w:r>
        <w:rPr>
          <w:sz w:val="22"/>
        </w:rPr>
        <w:t>load</w:t>
      </w:r>
      <w:r>
        <w:rPr>
          <w:spacing w:val="-8"/>
          <w:sz w:val="22"/>
        </w:rPr>
        <w:t> </w:t>
      </w:r>
      <w:r>
        <w:rPr>
          <w:sz w:val="22"/>
        </w:rPr>
        <w:t>on</w:t>
      </w:r>
      <w:r>
        <w:rPr>
          <w:spacing w:val="-6"/>
          <w:sz w:val="22"/>
        </w:rPr>
        <w:t> </w:t>
      </w:r>
      <w:r>
        <w:rPr>
          <w:sz w:val="22"/>
        </w:rPr>
        <w:t>the</w:t>
      </w:r>
      <w:r>
        <w:rPr>
          <w:spacing w:val="-7"/>
          <w:sz w:val="22"/>
        </w:rPr>
        <w:t> </w:t>
      </w:r>
      <w:r>
        <w:rPr>
          <w:sz w:val="22"/>
        </w:rPr>
        <w:t>current</w:t>
      </w:r>
      <w:r>
        <w:rPr>
          <w:spacing w:val="-8"/>
          <w:sz w:val="22"/>
        </w:rPr>
        <w:t> </w:t>
      </w:r>
      <w:r>
        <w:rPr>
          <w:sz w:val="22"/>
        </w:rPr>
        <w:t>Cortland</w:t>
      </w:r>
      <w:r>
        <w:rPr>
          <w:spacing w:val="-8"/>
          <w:sz w:val="22"/>
        </w:rPr>
        <w:t> </w:t>
      </w:r>
      <w:r>
        <w:rPr>
          <w:sz w:val="22"/>
        </w:rPr>
        <w:t>fleet</w:t>
      </w:r>
      <w:r>
        <w:rPr>
          <w:spacing w:val="-6"/>
          <w:sz w:val="22"/>
        </w:rPr>
        <w:t> </w:t>
      </w:r>
      <w:r>
        <w:rPr>
          <w:sz w:val="22"/>
        </w:rPr>
        <w:t>is</w:t>
      </w:r>
      <w:r>
        <w:rPr>
          <w:spacing w:val="-7"/>
          <w:sz w:val="22"/>
        </w:rPr>
        <w:t> </w:t>
      </w:r>
      <w:r>
        <w:rPr>
          <w:sz w:val="22"/>
        </w:rPr>
        <w:t>100%</w:t>
      </w:r>
      <w:r>
        <w:rPr>
          <w:spacing w:val="-6"/>
          <w:sz w:val="22"/>
        </w:rPr>
        <w:t> </w:t>
      </w:r>
      <w:r>
        <w:rPr>
          <w:sz w:val="22"/>
        </w:rPr>
        <w:t>of seating</w:t>
      </w:r>
      <w:r>
        <w:rPr>
          <w:spacing w:val="-5"/>
          <w:sz w:val="22"/>
        </w:rPr>
        <w:t> </w:t>
      </w:r>
      <w:r>
        <w:rPr>
          <w:sz w:val="22"/>
        </w:rPr>
        <w:t>capacity.</w:t>
      </w:r>
    </w:p>
    <w:p>
      <w:pPr>
        <w:spacing w:line="240" w:lineRule="auto" w:before="11"/>
        <w:rPr>
          <w:sz w:val="21"/>
        </w:rPr>
      </w:pPr>
    </w:p>
    <w:p>
      <w:pPr>
        <w:spacing w:before="0"/>
        <w:ind w:left="971" w:right="964" w:firstLine="0"/>
        <w:jc w:val="left"/>
        <w:rPr>
          <w:sz w:val="22"/>
        </w:rPr>
      </w:pPr>
      <w:r>
        <w:rPr>
          <w:sz w:val="22"/>
        </w:rPr>
        <w:t>The</w:t>
      </w:r>
      <w:r>
        <w:rPr>
          <w:spacing w:val="-11"/>
          <w:sz w:val="22"/>
        </w:rPr>
        <w:t> </w:t>
      </w:r>
      <w:r>
        <w:rPr>
          <w:sz w:val="22"/>
        </w:rPr>
        <w:t>variety</w:t>
      </w:r>
      <w:r>
        <w:rPr>
          <w:spacing w:val="-12"/>
          <w:sz w:val="22"/>
        </w:rPr>
        <w:t> </w:t>
      </w:r>
      <w:r>
        <w:rPr>
          <w:sz w:val="22"/>
        </w:rPr>
        <w:t>of</w:t>
      </w:r>
      <w:r>
        <w:rPr>
          <w:spacing w:val="-13"/>
          <w:sz w:val="22"/>
        </w:rPr>
        <w:t> </w:t>
      </w:r>
      <w:r>
        <w:rPr>
          <w:sz w:val="22"/>
        </w:rPr>
        <w:t>service</w:t>
      </w:r>
      <w:r>
        <w:rPr>
          <w:spacing w:val="-11"/>
          <w:sz w:val="22"/>
        </w:rPr>
        <w:t> </w:t>
      </w:r>
      <w:r>
        <w:rPr>
          <w:sz w:val="22"/>
        </w:rPr>
        <w:t>area</w:t>
      </w:r>
      <w:r>
        <w:rPr>
          <w:spacing w:val="-13"/>
          <w:sz w:val="22"/>
        </w:rPr>
        <w:t> </w:t>
      </w:r>
      <w:r>
        <w:rPr>
          <w:sz w:val="22"/>
        </w:rPr>
        <w:t>characteristics,</w:t>
      </w:r>
      <w:r>
        <w:rPr>
          <w:spacing w:val="-10"/>
          <w:sz w:val="22"/>
        </w:rPr>
        <w:t> </w:t>
      </w:r>
      <w:r>
        <w:rPr>
          <w:sz w:val="22"/>
        </w:rPr>
        <w:t>vehicle</w:t>
      </w:r>
      <w:r>
        <w:rPr>
          <w:spacing w:val="-11"/>
          <w:sz w:val="22"/>
        </w:rPr>
        <w:t> </w:t>
      </w:r>
      <w:r>
        <w:rPr>
          <w:sz w:val="22"/>
        </w:rPr>
        <w:t>types,</w:t>
      </w:r>
      <w:r>
        <w:rPr>
          <w:spacing w:val="-10"/>
          <w:sz w:val="22"/>
        </w:rPr>
        <w:t> </w:t>
      </w:r>
      <w:r>
        <w:rPr>
          <w:sz w:val="22"/>
        </w:rPr>
        <w:t>amenities,</w:t>
      </w:r>
      <w:r>
        <w:rPr>
          <w:spacing w:val="-11"/>
          <w:sz w:val="22"/>
        </w:rPr>
        <w:t> </w:t>
      </w:r>
      <w:r>
        <w:rPr>
          <w:sz w:val="22"/>
        </w:rPr>
        <w:t>and</w:t>
      </w:r>
      <w:r>
        <w:rPr>
          <w:spacing w:val="-11"/>
          <w:sz w:val="22"/>
        </w:rPr>
        <w:t> </w:t>
      </w:r>
      <w:r>
        <w:rPr>
          <w:sz w:val="22"/>
        </w:rPr>
        <w:t>seating</w:t>
      </w:r>
      <w:r>
        <w:rPr>
          <w:spacing w:val="-11"/>
          <w:sz w:val="22"/>
        </w:rPr>
        <w:t> </w:t>
      </w:r>
      <w:r>
        <w:rPr>
          <w:sz w:val="22"/>
        </w:rPr>
        <w:t>configurations</w:t>
      </w:r>
      <w:r>
        <w:rPr>
          <w:spacing w:val="-11"/>
          <w:sz w:val="22"/>
        </w:rPr>
        <w:t> </w:t>
      </w:r>
      <w:r>
        <w:rPr>
          <w:sz w:val="22"/>
        </w:rPr>
        <w:t>make identification of a “one size fits all” vehicle load standard difficult. To </w:t>
      </w:r>
      <w:r>
        <w:rPr>
          <w:spacing w:val="-2"/>
          <w:sz w:val="22"/>
        </w:rPr>
        <w:t>the </w:t>
      </w:r>
      <w:r>
        <w:rPr>
          <w:sz w:val="22"/>
        </w:rPr>
        <w:t>extent possible, except where</w:t>
      </w:r>
      <w:r>
        <w:rPr>
          <w:spacing w:val="-8"/>
          <w:sz w:val="22"/>
        </w:rPr>
        <w:t> </w:t>
      </w:r>
      <w:r>
        <w:rPr>
          <w:sz w:val="22"/>
        </w:rPr>
        <w:t>previously</w:t>
      </w:r>
      <w:r>
        <w:rPr>
          <w:spacing w:val="-6"/>
          <w:sz w:val="22"/>
        </w:rPr>
        <w:t> </w:t>
      </w:r>
      <w:r>
        <w:rPr>
          <w:sz w:val="22"/>
        </w:rPr>
        <w:t>noted,</w:t>
      </w:r>
      <w:r>
        <w:rPr>
          <w:spacing w:val="-10"/>
          <w:sz w:val="22"/>
        </w:rPr>
        <w:t> </w:t>
      </w:r>
      <w:r>
        <w:rPr>
          <w:sz w:val="22"/>
        </w:rPr>
        <w:t>the</w:t>
      </w:r>
      <w:r>
        <w:rPr>
          <w:spacing w:val="-7"/>
          <w:sz w:val="22"/>
        </w:rPr>
        <w:t> </w:t>
      </w:r>
      <w:r>
        <w:rPr>
          <w:sz w:val="22"/>
        </w:rPr>
        <w:t>following</w:t>
      </w:r>
      <w:r>
        <w:rPr>
          <w:spacing w:val="-9"/>
          <w:sz w:val="22"/>
        </w:rPr>
        <w:t> </w:t>
      </w:r>
      <w:r>
        <w:rPr>
          <w:sz w:val="22"/>
        </w:rPr>
        <w:t>vehicle</w:t>
      </w:r>
      <w:r>
        <w:rPr>
          <w:spacing w:val="-7"/>
          <w:sz w:val="22"/>
        </w:rPr>
        <w:t> </w:t>
      </w:r>
      <w:r>
        <w:rPr>
          <w:sz w:val="22"/>
        </w:rPr>
        <w:t>load</w:t>
      </w:r>
      <w:r>
        <w:rPr>
          <w:spacing w:val="-7"/>
          <w:sz w:val="22"/>
        </w:rPr>
        <w:t> </w:t>
      </w:r>
      <w:r>
        <w:rPr>
          <w:sz w:val="22"/>
        </w:rPr>
        <w:t>guidelines</w:t>
      </w:r>
      <w:r>
        <w:rPr>
          <w:spacing w:val="-10"/>
          <w:sz w:val="22"/>
        </w:rPr>
        <w:t> </w:t>
      </w:r>
      <w:r>
        <w:rPr>
          <w:sz w:val="22"/>
        </w:rPr>
        <w:t>should</w:t>
      </w:r>
      <w:r>
        <w:rPr>
          <w:spacing w:val="-8"/>
          <w:sz w:val="22"/>
        </w:rPr>
        <w:t> </w:t>
      </w:r>
      <w:r>
        <w:rPr>
          <w:sz w:val="22"/>
        </w:rPr>
        <w:t>be</w:t>
      </w:r>
      <w:r>
        <w:rPr>
          <w:spacing w:val="-8"/>
          <w:sz w:val="22"/>
        </w:rPr>
        <w:t> </w:t>
      </w:r>
      <w:r>
        <w:rPr>
          <w:sz w:val="22"/>
        </w:rPr>
        <w:t>used</w:t>
      </w:r>
      <w:r>
        <w:rPr>
          <w:spacing w:val="-8"/>
          <w:sz w:val="22"/>
        </w:rPr>
        <w:t> </w:t>
      </w:r>
      <w:r>
        <w:rPr>
          <w:sz w:val="22"/>
        </w:rPr>
        <w:t>in</w:t>
      </w:r>
      <w:r>
        <w:rPr>
          <w:spacing w:val="-8"/>
          <w:sz w:val="22"/>
        </w:rPr>
        <w:t> </w:t>
      </w:r>
      <w:r>
        <w:rPr>
          <w:sz w:val="22"/>
        </w:rPr>
        <w:t>service</w:t>
      </w:r>
      <w:r>
        <w:rPr>
          <w:spacing w:val="-7"/>
          <w:sz w:val="22"/>
        </w:rPr>
        <w:t> </w:t>
      </w:r>
      <w:r>
        <w:rPr>
          <w:sz w:val="22"/>
        </w:rPr>
        <w:t>planning:</w:t>
      </w:r>
    </w:p>
    <w:p>
      <w:pPr>
        <w:spacing w:line="240" w:lineRule="auto" w:before="2" w:after="0"/>
        <w:rPr>
          <w:sz w:val="20"/>
        </w:rPr>
      </w:pPr>
    </w:p>
    <w:tbl>
      <w:tblPr>
        <w:tblW w:w="0" w:type="auto"/>
        <w:jc w:val="left"/>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58"/>
        <w:gridCol w:w="4516"/>
      </w:tblGrid>
      <w:tr>
        <w:trPr>
          <w:trHeight w:val="268" w:hRule="atLeast"/>
        </w:trPr>
        <w:tc>
          <w:tcPr>
            <w:tcW w:w="2858" w:type="dxa"/>
          </w:tcPr>
          <w:p>
            <w:pPr>
              <w:pStyle w:val="TableParagraph"/>
              <w:spacing w:line="248" w:lineRule="exact"/>
              <w:ind w:left="822"/>
              <w:rPr>
                <w:rFonts w:ascii="Calibri"/>
                <w:b/>
                <w:sz w:val="22"/>
              </w:rPr>
            </w:pPr>
            <w:r>
              <w:rPr>
                <w:rFonts w:ascii="Calibri"/>
                <w:b/>
                <w:sz w:val="22"/>
              </w:rPr>
              <w:t>TIME PERIOD</w:t>
            </w:r>
          </w:p>
        </w:tc>
        <w:tc>
          <w:tcPr>
            <w:tcW w:w="4516" w:type="dxa"/>
          </w:tcPr>
          <w:p>
            <w:pPr>
              <w:pStyle w:val="TableParagraph"/>
              <w:spacing w:line="248" w:lineRule="exact"/>
              <w:ind w:left="267" w:right="252"/>
              <w:jc w:val="center"/>
              <w:rPr>
                <w:rFonts w:ascii="Calibri"/>
                <w:b/>
                <w:sz w:val="22"/>
              </w:rPr>
            </w:pPr>
            <w:r>
              <w:rPr>
                <w:rFonts w:ascii="Calibri"/>
                <w:b/>
                <w:sz w:val="22"/>
              </w:rPr>
              <w:t>% OF SEATING CAPACITY/MAXIMUM LOAD</w:t>
            </w:r>
          </w:p>
        </w:tc>
      </w:tr>
      <w:tr>
        <w:trPr>
          <w:trHeight w:val="268" w:hRule="atLeast"/>
        </w:trPr>
        <w:tc>
          <w:tcPr>
            <w:tcW w:w="2858" w:type="dxa"/>
          </w:tcPr>
          <w:p>
            <w:pPr>
              <w:pStyle w:val="TableParagraph"/>
              <w:spacing w:line="248" w:lineRule="exact"/>
              <w:ind w:left="110"/>
              <w:rPr>
                <w:rFonts w:ascii="Calibri" w:hAnsi="Calibri"/>
                <w:sz w:val="22"/>
              </w:rPr>
            </w:pPr>
            <w:r>
              <w:rPr>
                <w:rFonts w:ascii="Calibri" w:hAnsi="Calibri"/>
                <w:sz w:val="22"/>
              </w:rPr>
              <w:t>Peak – Maximum any 1 trip</w:t>
            </w:r>
          </w:p>
        </w:tc>
        <w:tc>
          <w:tcPr>
            <w:tcW w:w="4516" w:type="dxa"/>
          </w:tcPr>
          <w:p>
            <w:pPr>
              <w:pStyle w:val="TableParagraph"/>
              <w:spacing w:line="248" w:lineRule="exact"/>
              <w:ind w:left="267" w:right="252"/>
              <w:jc w:val="center"/>
              <w:rPr>
                <w:rFonts w:ascii="Calibri"/>
                <w:sz w:val="22"/>
              </w:rPr>
            </w:pPr>
            <w:r>
              <w:rPr>
                <w:rFonts w:ascii="Calibri"/>
                <w:sz w:val="22"/>
              </w:rPr>
              <w:t>155%</w:t>
            </w:r>
          </w:p>
        </w:tc>
      </w:tr>
      <w:tr>
        <w:trPr>
          <w:trHeight w:val="268" w:hRule="atLeast"/>
        </w:trPr>
        <w:tc>
          <w:tcPr>
            <w:tcW w:w="2858" w:type="dxa"/>
          </w:tcPr>
          <w:p>
            <w:pPr>
              <w:pStyle w:val="TableParagraph"/>
              <w:spacing w:line="248" w:lineRule="exact"/>
              <w:ind w:left="110"/>
              <w:rPr>
                <w:rFonts w:ascii="Calibri" w:hAnsi="Calibri"/>
                <w:sz w:val="22"/>
              </w:rPr>
            </w:pPr>
            <w:r>
              <w:rPr>
                <w:rFonts w:ascii="Calibri" w:hAnsi="Calibri"/>
                <w:sz w:val="22"/>
              </w:rPr>
              <w:t>Peak – 1 hour average</w:t>
            </w:r>
          </w:p>
        </w:tc>
        <w:tc>
          <w:tcPr>
            <w:tcW w:w="4516" w:type="dxa"/>
          </w:tcPr>
          <w:p>
            <w:pPr>
              <w:pStyle w:val="TableParagraph"/>
              <w:spacing w:line="248" w:lineRule="exact"/>
              <w:ind w:left="267" w:right="252"/>
              <w:jc w:val="center"/>
              <w:rPr>
                <w:rFonts w:ascii="Calibri"/>
                <w:sz w:val="22"/>
              </w:rPr>
            </w:pPr>
            <w:r>
              <w:rPr>
                <w:rFonts w:ascii="Calibri"/>
                <w:sz w:val="22"/>
              </w:rPr>
              <w:t>130%</w:t>
            </w:r>
          </w:p>
        </w:tc>
      </w:tr>
      <w:tr>
        <w:trPr>
          <w:trHeight w:val="268" w:hRule="atLeast"/>
        </w:trPr>
        <w:tc>
          <w:tcPr>
            <w:tcW w:w="2858" w:type="dxa"/>
          </w:tcPr>
          <w:p>
            <w:pPr>
              <w:pStyle w:val="TableParagraph"/>
              <w:spacing w:line="248" w:lineRule="exact"/>
              <w:ind w:left="110"/>
              <w:rPr>
                <w:rFonts w:ascii="Calibri"/>
                <w:sz w:val="22"/>
              </w:rPr>
            </w:pPr>
            <w:r>
              <w:rPr>
                <w:rFonts w:ascii="Calibri"/>
                <w:sz w:val="22"/>
              </w:rPr>
              <w:t>Non-peak average</w:t>
            </w:r>
          </w:p>
        </w:tc>
        <w:tc>
          <w:tcPr>
            <w:tcW w:w="4516" w:type="dxa"/>
          </w:tcPr>
          <w:p>
            <w:pPr>
              <w:pStyle w:val="TableParagraph"/>
              <w:spacing w:line="248" w:lineRule="exact"/>
              <w:ind w:left="267" w:right="252"/>
              <w:jc w:val="center"/>
              <w:rPr>
                <w:rFonts w:ascii="Calibri"/>
                <w:sz w:val="22"/>
              </w:rPr>
            </w:pPr>
            <w:r>
              <w:rPr>
                <w:rFonts w:ascii="Calibri"/>
                <w:sz w:val="22"/>
              </w:rPr>
              <w:t>100%</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17"/>
        </w:rPr>
      </w:pPr>
      <w:r>
        <w:rPr/>
        <w:pict>
          <v:shape style="position:absolute;margin-left:73.560005pt;margin-top:13.178907pt;width:466.45pt;height:.1pt;mso-position-horizontal-relative:page;mso-position-vertical-relative:paragraph;z-index:-251435008;mso-wrap-distance-left:0;mso-wrap-distance-right:0" coordorigin="1471,264" coordsize="9329,0" path="m1471,264l10800,264e" filled="false" stroked="true" strokeweight="1.44pt" strokecolor="#006fbf">
            <v:path arrowok="t"/>
            <v:stroke dashstyle="solid"/>
            <w10:wrap type="topAndBottom"/>
          </v:shape>
        </w:pict>
      </w:r>
    </w:p>
    <w:p>
      <w:pPr>
        <w:spacing w:after="0" w:line="240" w:lineRule="auto"/>
        <w:rPr>
          <w:sz w:val="17"/>
        </w:rPr>
        <w:sectPr>
          <w:headerReference w:type="default" r:id="rId202"/>
          <w:footerReference w:type="default" r:id="rId203"/>
          <w:pgSz w:w="12240" w:h="15840"/>
          <w:pgMar w:header="0" w:footer="872" w:top="700" w:bottom="1060" w:left="740" w:right="560"/>
          <w:pgNumType w:start="2"/>
        </w:sectPr>
      </w:pPr>
    </w:p>
    <w:p>
      <w:pPr>
        <w:pStyle w:val="Heading3"/>
        <w:spacing w:before="20"/>
        <w:ind w:left="2598" w:right="2776"/>
        <w:jc w:val="center"/>
        <w:rPr>
          <w:rFonts w:ascii="Calibri Light"/>
          <w:b w:val="0"/>
        </w:rPr>
      </w:pPr>
      <w:r>
        <w:rPr/>
        <w:pict>
          <v:line style="position:absolute;mso-position-horizontal-relative:page;mso-position-vertical-relative:page;z-index:251886592" from="45.240002pt,35.999977pt" to="45.240002pt,756.0pt" stroked="true" strokeweight="1.44pt" strokecolor="#006fc0">
            <v:stroke dashstyle="solid"/>
            <w10:wrap type="none"/>
          </v:line>
        </w:pict>
      </w:r>
      <w:r>
        <w:rPr>
          <w:rFonts w:ascii="Calibri Light"/>
          <w:b w:val="0"/>
        </w:rPr>
        <w:t>CNYRTA Service Standards and Policies</w:t>
      </w:r>
    </w:p>
    <w:p>
      <w:pPr>
        <w:pStyle w:val="BodyText"/>
        <w:spacing w:before="4"/>
        <w:rPr>
          <w:rFonts w:ascii="Calibri Light"/>
          <w:b w:val="0"/>
          <w:sz w:val="18"/>
        </w:rPr>
      </w:pPr>
    </w:p>
    <w:p>
      <w:pPr>
        <w:pStyle w:val="ListParagraph"/>
        <w:numPr>
          <w:ilvl w:val="0"/>
          <w:numId w:val="12"/>
        </w:numPr>
        <w:tabs>
          <w:tab w:pos="1060" w:val="left" w:leader="none"/>
        </w:tabs>
        <w:spacing w:line="240" w:lineRule="auto" w:before="52" w:after="0"/>
        <w:ind w:left="1060" w:right="0" w:hanging="269"/>
        <w:jc w:val="left"/>
        <w:rPr>
          <w:rFonts w:ascii="Calibri Light"/>
          <w:b w:val="0"/>
          <w:sz w:val="24"/>
        </w:rPr>
      </w:pPr>
      <w:r>
        <w:rPr>
          <w:rFonts w:ascii="Calibri Light"/>
          <w:b w:val="0"/>
          <w:color w:val="006FC0"/>
          <w:sz w:val="24"/>
        </w:rPr>
        <w:t>Vehicle</w:t>
      </w:r>
      <w:r>
        <w:rPr>
          <w:rFonts w:ascii="Calibri Light"/>
          <w:b w:val="0"/>
          <w:color w:val="006FC0"/>
          <w:spacing w:val="-1"/>
          <w:sz w:val="24"/>
        </w:rPr>
        <w:t> </w:t>
      </w:r>
      <w:r>
        <w:rPr>
          <w:rFonts w:ascii="Calibri Light"/>
          <w:b w:val="0"/>
          <w:color w:val="006FC0"/>
          <w:sz w:val="24"/>
        </w:rPr>
        <w:t>Headway</w:t>
      </w:r>
    </w:p>
    <w:p>
      <w:pPr>
        <w:pStyle w:val="BodyText"/>
        <w:spacing w:before="12"/>
        <w:rPr>
          <w:rFonts w:ascii="Calibri Light"/>
          <w:b w:val="0"/>
          <w:sz w:val="23"/>
        </w:rPr>
      </w:pPr>
    </w:p>
    <w:p>
      <w:pPr>
        <w:spacing w:before="0"/>
        <w:ind w:left="971" w:right="964" w:firstLine="0"/>
        <w:jc w:val="left"/>
        <w:rPr>
          <w:sz w:val="22"/>
        </w:rPr>
      </w:pPr>
      <w:r>
        <w:rPr>
          <w:sz w:val="22"/>
        </w:rPr>
        <w:t>A “headway” is the time interval between two vehicles traveling in the same direction on the same route.</w:t>
      </w:r>
    </w:p>
    <w:p>
      <w:pPr>
        <w:spacing w:line="240" w:lineRule="auto" w:before="10"/>
        <w:rPr>
          <w:sz w:val="21"/>
        </w:rPr>
      </w:pPr>
    </w:p>
    <w:p>
      <w:pPr>
        <w:spacing w:before="0"/>
        <w:ind w:left="971" w:right="1279" w:firstLine="0"/>
        <w:jc w:val="left"/>
        <w:rPr>
          <w:sz w:val="22"/>
        </w:rPr>
      </w:pPr>
      <w:r>
        <w:rPr>
          <w:sz w:val="22"/>
        </w:rPr>
        <w:t>As with the vehicle load standard, vehicle headways are tailored to the route’s ridership characteristics and patterns. To the extent possible, Centro should strive to achieve the following minimum vehicle headways listed in minutes:</w:t>
      </w:r>
    </w:p>
    <w:p>
      <w:pPr>
        <w:spacing w:line="240" w:lineRule="auto" w:before="1"/>
        <w:rPr>
          <w:sz w:val="22"/>
        </w:rPr>
      </w:pPr>
    </w:p>
    <w:p>
      <w:pPr>
        <w:spacing w:before="0"/>
        <w:ind w:left="971" w:right="0" w:firstLine="0"/>
        <w:jc w:val="left"/>
        <w:rPr>
          <w:b/>
          <w:sz w:val="22"/>
        </w:rPr>
      </w:pPr>
      <w:r>
        <w:rPr/>
        <w:drawing>
          <wp:anchor distT="0" distB="0" distL="0" distR="0" allowOverlap="1" layoutInCell="1" locked="0" behindDoc="1" simplePos="0" relativeHeight="236503040">
            <wp:simplePos x="0" y="0"/>
            <wp:positionH relativeFrom="page">
              <wp:posOffset>1290804</wp:posOffset>
            </wp:positionH>
            <wp:positionV relativeFrom="paragraph">
              <wp:posOffset>94912</wp:posOffset>
            </wp:positionV>
            <wp:extent cx="4669559" cy="4934068"/>
            <wp:effectExtent l="0" t="0" r="0" b="0"/>
            <wp:wrapNone/>
            <wp:docPr id="123" name="image61.png"/>
            <wp:cNvGraphicFramePr>
              <a:graphicFrameLocks noChangeAspect="1"/>
            </wp:cNvGraphicFramePr>
            <a:graphic>
              <a:graphicData uri="http://schemas.openxmlformats.org/drawingml/2006/picture">
                <pic:pic>
                  <pic:nvPicPr>
                    <pic:cNvPr id="124" name="image61.png"/>
                    <pic:cNvPicPr/>
                  </pic:nvPicPr>
                  <pic:blipFill>
                    <a:blip r:embed="rId201" cstate="print"/>
                    <a:stretch>
                      <a:fillRect/>
                    </a:stretch>
                  </pic:blipFill>
                  <pic:spPr>
                    <a:xfrm>
                      <a:off x="0" y="0"/>
                      <a:ext cx="4669559" cy="4934068"/>
                    </a:xfrm>
                    <a:prstGeom prst="rect">
                      <a:avLst/>
                    </a:prstGeom>
                  </pic:spPr>
                </pic:pic>
              </a:graphicData>
            </a:graphic>
          </wp:anchor>
        </w:drawing>
      </w:r>
      <w:r>
        <w:rPr>
          <w:b/>
          <w:sz w:val="22"/>
        </w:rPr>
        <w:t>CNY Centro Inc. (Syracuse)</w:t>
      </w:r>
    </w:p>
    <w:tbl>
      <w:tblPr>
        <w:tblW w:w="0" w:type="auto"/>
        <w:jc w:val="left"/>
        <w:tblInd w:w="1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620"/>
        <w:gridCol w:w="2160"/>
        <w:gridCol w:w="1529"/>
        <w:gridCol w:w="1440"/>
      </w:tblGrid>
      <w:tr>
        <w:trPr>
          <w:trHeight w:val="537" w:hRule="atLeast"/>
        </w:trPr>
        <w:tc>
          <w:tcPr>
            <w:tcW w:w="1418" w:type="dxa"/>
          </w:tcPr>
          <w:p>
            <w:pPr>
              <w:pStyle w:val="TableParagraph"/>
              <w:spacing w:line="268" w:lineRule="exact"/>
              <w:ind w:left="110"/>
              <w:rPr>
                <w:rFonts w:ascii="Calibri"/>
                <w:b/>
                <w:sz w:val="22"/>
              </w:rPr>
            </w:pPr>
            <w:r>
              <w:rPr>
                <w:rFonts w:ascii="Calibri"/>
                <w:b/>
                <w:sz w:val="22"/>
              </w:rPr>
              <w:t>AREA TYPE</w:t>
            </w:r>
          </w:p>
        </w:tc>
        <w:tc>
          <w:tcPr>
            <w:tcW w:w="1620" w:type="dxa"/>
          </w:tcPr>
          <w:p>
            <w:pPr>
              <w:pStyle w:val="TableParagraph"/>
              <w:spacing w:line="268" w:lineRule="exact"/>
              <w:ind w:left="105" w:right="239"/>
              <w:jc w:val="center"/>
              <w:rPr>
                <w:rFonts w:ascii="Calibri"/>
                <w:b/>
                <w:sz w:val="22"/>
              </w:rPr>
            </w:pPr>
            <w:r>
              <w:rPr>
                <w:rFonts w:ascii="Calibri"/>
                <w:b/>
                <w:sz w:val="22"/>
              </w:rPr>
              <w:t>WEEKDAY</w:t>
            </w:r>
          </w:p>
          <w:p>
            <w:pPr>
              <w:pStyle w:val="TableParagraph"/>
              <w:spacing w:line="249" w:lineRule="exact"/>
              <w:ind w:left="105" w:right="241"/>
              <w:jc w:val="center"/>
              <w:rPr>
                <w:rFonts w:ascii="Calibri"/>
                <w:b/>
                <w:sz w:val="22"/>
              </w:rPr>
            </w:pPr>
            <w:r>
              <w:rPr>
                <w:rFonts w:ascii="Calibri"/>
                <w:b/>
                <w:sz w:val="22"/>
              </w:rPr>
              <w:t>PEAK PERIOD</w:t>
            </w:r>
          </w:p>
        </w:tc>
        <w:tc>
          <w:tcPr>
            <w:tcW w:w="2160" w:type="dxa"/>
          </w:tcPr>
          <w:p>
            <w:pPr>
              <w:pStyle w:val="TableParagraph"/>
              <w:spacing w:line="268" w:lineRule="exact"/>
              <w:ind w:left="250" w:right="383"/>
              <w:jc w:val="center"/>
              <w:rPr>
                <w:rFonts w:ascii="Calibri"/>
                <w:b/>
                <w:sz w:val="22"/>
              </w:rPr>
            </w:pPr>
            <w:r>
              <w:rPr>
                <w:rFonts w:ascii="Calibri"/>
                <w:b/>
                <w:sz w:val="22"/>
              </w:rPr>
              <w:t>WEEKDAY NON-</w:t>
            </w:r>
          </w:p>
          <w:p>
            <w:pPr>
              <w:pStyle w:val="TableParagraph"/>
              <w:spacing w:line="249" w:lineRule="exact"/>
              <w:ind w:left="249" w:right="383"/>
              <w:jc w:val="center"/>
              <w:rPr>
                <w:rFonts w:ascii="Calibri"/>
                <w:b/>
                <w:sz w:val="22"/>
              </w:rPr>
            </w:pPr>
            <w:r>
              <w:rPr>
                <w:rFonts w:ascii="Calibri"/>
                <w:b/>
                <w:sz w:val="22"/>
              </w:rPr>
              <w:t>PEAK PERIOD</w:t>
            </w:r>
          </w:p>
        </w:tc>
        <w:tc>
          <w:tcPr>
            <w:tcW w:w="1529" w:type="dxa"/>
          </w:tcPr>
          <w:p>
            <w:pPr>
              <w:pStyle w:val="TableParagraph"/>
              <w:spacing w:line="268" w:lineRule="exact"/>
              <w:ind w:left="174" w:right="304"/>
              <w:jc w:val="center"/>
              <w:rPr>
                <w:rFonts w:ascii="Calibri"/>
                <w:b/>
                <w:sz w:val="22"/>
              </w:rPr>
            </w:pPr>
            <w:r>
              <w:rPr>
                <w:rFonts w:ascii="Calibri"/>
                <w:b/>
                <w:sz w:val="22"/>
              </w:rPr>
              <w:t>SATURDAY</w:t>
            </w:r>
          </w:p>
        </w:tc>
        <w:tc>
          <w:tcPr>
            <w:tcW w:w="1440" w:type="dxa"/>
          </w:tcPr>
          <w:p>
            <w:pPr>
              <w:pStyle w:val="TableParagraph"/>
              <w:spacing w:line="268" w:lineRule="exact"/>
              <w:ind w:left="254"/>
              <w:rPr>
                <w:rFonts w:ascii="Calibri"/>
                <w:b/>
                <w:sz w:val="22"/>
              </w:rPr>
            </w:pPr>
            <w:r>
              <w:rPr>
                <w:rFonts w:ascii="Calibri"/>
                <w:b/>
                <w:sz w:val="22"/>
              </w:rPr>
              <w:t>SUNDAY</w:t>
            </w:r>
          </w:p>
        </w:tc>
      </w:tr>
      <w:tr>
        <w:trPr>
          <w:trHeight w:val="268" w:hRule="atLeast"/>
        </w:trPr>
        <w:tc>
          <w:tcPr>
            <w:tcW w:w="1418" w:type="dxa"/>
          </w:tcPr>
          <w:p>
            <w:pPr>
              <w:pStyle w:val="TableParagraph"/>
              <w:spacing w:line="248" w:lineRule="exact"/>
              <w:ind w:left="110"/>
              <w:rPr>
                <w:rFonts w:ascii="Calibri"/>
                <w:sz w:val="22"/>
              </w:rPr>
            </w:pPr>
            <w:r>
              <w:rPr>
                <w:rFonts w:ascii="Calibri"/>
                <w:sz w:val="22"/>
              </w:rPr>
              <w:t>Urban</w:t>
            </w:r>
          </w:p>
        </w:tc>
        <w:tc>
          <w:tcPr>
            <w:tcW w:w="1620" w:type="dxa"/>
          </w:tcPr>
          <w:p>
            <w:pPr>
              <w:pStyle w:val="TableParagraph"/>
              <w:spacing w:line="248" w:lineRule="exact"/>
              <w:ind w:left="105" w:right="240"/>
              <w:jc w:val="center"/>
              <w:rPr>
                <w:rFonts w:ascii="Calibri"/>
                <w:sz w:val="22"/>
              </w:rPr>
            </w:pPr>
            <w:r>
              <w:rPr>
                <w:rFonts w:ascii="Calibri"/>
                <w:sz w:val="22"/>
              </w:rPr>
              <w:t>30 - 40</w:t>
            </w:r>
          </w:p>
        </w:tc>
        <w:tc>
          <w:tcPr>
            <w:tcW w:w="2160" w:type="dxa"/>
          </w:tcPr>
          <w:p>
            <w:pPr>
              <w:pStyle w:val="TableParagraph"/>
              <w:spacing w:line="248" w:lineRule="exact"/>
              <w:ind w:left="250" w:right="382"/>
              <w:jc w:val="center"/>
              <w:rPr>
                <w:rFonts w:ascii="Calibri"/>
                <w:sz w:val="22"/>
              </w:rPr>
            </w:pPr>
            <w:r>
              <w:rPr>
                <w:rFonts w:ascii="Calibri"/>
                <w:sz w:val="22"/>
              </w:rPr>
              <w:t>45 - 60</w:t>
            </w:r>
          </w:p>
        </w:tc>
        <w:tc>
          <w:tcPr>
            <w:tcW w:w="1529" w:type="dxa"/>
          </w:tcPr>
          <w:p>
            <w:pPr>
              <w:pStyle w:val="TableParagraph"/>
              <w:spacing w:line="248" w:lineRule="exact"/>
              <w:ind w:left="174" w:right="304"/>
              <w:jc w:val="center"/>
              <w:rPr>
                <w:rFonts w:ascii="Calibri"/>
                <w:sz w:val="22"/>
              </w:rPr>
            </w:pPr>
            <w:r>
              <w:rPr>
                <w:rFonts w:ascii="Calibri"/>
                <w:sz w:val="22"/>
              </w:rPr>
              <w:t>60 - 80</w:t>
            </w:r>
          </w:p>
        </w:tc>
        <w:tc>
          <w:tcPr>
            <w:tcW w:w="1440" w:type="dxa"/>
          </w:tcPr>
          <w:p>
            <w:pPr>
              <w:pStyle w:val="TableParagraph"/>
              <w:spacing w:line="248" w:lineRule="exact"/>
              <w:ind w:left="338"/>
              <w:rPr>
                <w:rFonts w:ascii="Calibri"/>
                <w:sz w:val="22"/>
              </w:rPr>
            </w:pPr>
            <w:r>
              <w:rPr>
                <w:rFonts w:ascii="Calibri"/>
                <w:sz w:val="22"/>
              </w:rPr>
              <w:t>60 - 80</w:t>
            </w:r>
          </w:p>
        </w:tc>
      </w:tr>
      <w:tr>
        <w:trPr>
          <w:trHeight w:val="268" w:hRule="atLeast"/>
        </w:trPr>
        <w:tc>
          <w:tcPr>
            <w:tcW w:w="1418" w:type="dxa"/>
          </w:tcPr>
          <w:p>
            <w:pPr>
              <w:pStyle w:val="TableParagraph"/>
              <w:spacing w:line="248" w:lineRule="exact"/>
              <w:ind w:left="110"/>
              <w:rPr>
                <w:rFonts w:ascii="Calibri"/>
                <w:sz w:val="22"/>
              </w:rPr>
            </w:pPr>
            <w:r>
              <w:rPr>
                <w:rFonts w:ascii="Calibri"/>
                <w:sz w:val="22"/>
              </w:rPr>
              <w:t>Suburban</w:t>
            </w:r>
          </w:p>
        </w:tc>
        <w:tc>
          <w:tcPr>
            <w:tcW w:w="1620" w:type="dxa"/>
          </w:tcPr>
          <w:p>
            <w:pPr>
              <w:pStyle w:val="TableParagraph"/>
              <w:spacing w:line="248" w:lineRule="exact"/>
              <w:ind w:left="105" w:right="240"/>
              <w:jc w:val="center"/>
              <w:rPr>
                <w:rFonts w:ascii="Calibri"/>
                <w:sz w:val="22"/>
              </w:rPr>
            </w:pPr>
            <w:r>
              <w:rPr>
                <w:rFonts w:ascii="Calibri"/>
                <w:sz w:val="22"/>
              </w:rPr>
              <w:t>40 - 60</w:t>
            </w:r>
          </w:p>
        </w:tc>
        <w:tc>
          <w:tcPr>
            <w:tcW w:w="2160" w:type="dxa"/>
          </w:tcPr>
          <w:p>
            <w:pPr>
              <w:pStyle w:val="TableParagraph"/>
              <w:spacing w:line="248" w:lineRule="exact"/>
              <w:ind w:left="248" w:right="383"/>
              <w:jc w:val="center"/>
              <w:rPr>
                <w:rFonts w:ascii="Calibri"/>
                <w:sz w:val="22"/>
              </w:rPr>
            </w:pPr>
            <w:r>
              <w:rPr>
                <w:rFonts w:ascii="Calibri"/>
                <w:sz w:val="22"/>
              </w:rPr>
              <w:t>90 - 120</w:t>
            </w:r>
          </w:p>
        </w:tc>
        <w:tc>
          <w:tcPr>
            <w:tcW w:w="1529" w:type="dxa"/>
          </w:tcPr>
          <w:p>
            <w:pPr>
              <w:pStyle w:val="TableParagraph"/>
              <w:spacing w:line="248" w:lineRule="exact"/>
              <w:ind w:left="172" w:right="304"/>
              <w:jc w:val="center"/>
              <w:rPr>
                <w:rFonts w:ascii="Calibri"/>
                <w:sz w:val="22"/>
              </w:rPr>
            </w:pPr>
            <w:r>
              <w:rPr>
                <w:rFonts w:ascii="Calibri"/>
                <w:sz w:val="22"/>
              </w:rPr>
              <w:t>90 - 120</w:t>
            </w:r>
          </w:p>
        </w:tc>
        <w:tc>
          <w:tcPr>
            <w:tcW w:w="1440" w:type="dxa"/>
          </w:tcPr>
          <w:p>
            <w:pPr>
              <w:pStyle w:val="TableParagraph"/>
              <w:spacing w:line="248" w:lineRule="exact"/>
              <w:ind w:left="307"/>
              <w:rPr>
                <w:rFonts w:ascii="Calibri"/>
                <w:sz w:val="22"/>
              </w:rPr>
            </w:pPr>
            <w:r>
              <w:rPr>
                <w:rFonts w:ascii="Calibri"/>
                <w:sz w:val="22"/>
              </w:rPr>
              <w:t>90 -120</w:t>
            </w:r>
          </w:p>
        </w:tc>
      </w:tr>
      <w:tr>
        <w:trPr>
          <w:trHeight w:val="268" w:hRule="atLeast"/>
        </w:trPr>
        <w:tc>
          <w:tcPr>
            <w:tcW w:w="1418" w:type="dxa"/>
          </w:tcPr>
          <w:p>
            <w:pPr>
              <w:pStyle w:val="TableParagraph"/>
              <w:spacing w:line="248" w:lineRule="exact"/>
              <w:ind w:left="110"/>
              <w:rPr>
                <w:rFonts w:ascii="Calibri"/>
                <w:sz w:val="22"/>
              </w:rPr>
            </w:pPr>
            <w:r>
              <w:rPr>
                <w:rFonts w:ascii="Calibri"/>
                <w:sz w:val="22"/>
              </w:rPr>
              <w:t>Intercity</w:t>
            </w:r>
          </w:p>
        </w:tc>
        <w:tc>
          <w:tcPr>
            <w:tcW w:w="1620" w:type="dxa"/>
          </w:tcPr>
          <w:p>
            <w:pPr>
              <w:pStyle w:val="TableParagraph"/>
              <w:spacing w:line="248" w:lineRule="exact"/>
              <w:ind w:left="105" w:right="240"/>
              <w:jc w:val="center"/>
              <w:rPr>
                <w:rFonts w:ascii="Calibri"/>
                <w:sz w:val="22"/>
              </w:rPr>
            </w:pPr>
            <w:r>
              <w:rPr>
                <w:rFonts w:ascii="Calibri"/>
                <w:sz w:val="22"/>
              </w:rPr>
              <w:t>Variable</w:t>
            </w:r>
          </w:p>
        </w:tc>
        <w:tc>
          <w:tcPr>
            <w:tcW w:w="2160" w:type="dxa"/>
          </w:tcPr>
          <w:p>
            <w:pPr>
              <w:pStyle w:val="TableParagraph"/>
              <w:spacing w:line="248" w:lineRule="exact"/>
              <w:ind w:left="246" w:right="383"/>
              <w:jc w:val="center"/>
              <w:rPr>
                <w:rFonts w:ascii="Calibri"/>
                <w:sz w:val="22"/>
              </w:rPr>
            </w:pPr>
            <w:r>
              <w:rPr>
                <w:rFonts w:ascii="Calibri"/>
                <w:sz w:val="22"/>
              </w:rPr>
              <w:t>Variable</w:t>
            </w:r>
          </w:p>
        </w:tc>
        <w:tc>
          <w:tcPr>
            <w:tcW w:w="1529" w:type="dxa"/>
          </w:tcPr>
          <w:p>
            <w:pPr>
              <w:pStyle w:val="TableParagraph"/>
              <w:spacing w:line="248" w:lineRule="exact"/>
              <w:ind w:left="169" w:right="304"/>
              <w:jc w:val="center"/>
              <w:rPr>
                <w:rFonts w:ascii="Calibri"/>
                <w:sz w:val="22"/>
              </w:rPr>
            </w:pPr>
            <w:r>
              <w:rPr>
                <w:rFonts w:ascii="Calibri"/>
                <w:sz w:val="22"/>
              </w:rPr>
              <w:t>Variable</w:t>
            </w:r>
          </w:p>
        </w:tc>
        <w:tc>
          <w:tcPr>
            <w:tcW w:w="1440" w:type="dxa"/>
          </w:tcPr>
          <w:p>
            <w:pPr>
              <w:pStyle w:val="TableParagraph"/>
              <w:spacing w:line="248" w:lineRule="exact"/>
              <w:ind w:left="273"/>
              <w:rPr>
                <w:rFonts w:ascii="Calibri"/>
                <w:sz w:val="22"/>
              </w:rPr>
            </w:pPr>
            <w:r>
              <w:rPr>
                <w:rFonts w:ascii="Calibri"/>
                <w:sz w:val="22"/>
              </w:rPr>
              <w:t>Variable</w:t>
            </w:r>
          </w:p>
        </w:tc>
      </w:tr>
    </w:tbl>
    <w:p>
      <w:pPr>
        <w:spacing w:line="240" w:lineRule="auto" w:before="11"/>
        <w:rPr>
          <w:b/>
          <w:sz w:val="21"/>
        </w:rPr>
      </w:pPr>
    </w:p>
    <w:p>
      <w:pPr>
        <w:spacing w:before="0"/>
        <w:ind w:left="971" w:right="0" w:firstLine="0"/>
        <w:jc w:val="left"/>
        <w:rPr>
          <w:b/>
          <w:sz w:val="22"/>
        </w:rPr>
      </w:pPr>
      <w:r>
        <w:rPr>
          <w:b/>
          <w:sz w:val="22"/>
        </w:rPr>
        <w:t>Small UZA (Utica) / Non-UZA (Auburn, Cortland, Oswego, Rome)</w:t>
      </w:r>
    </w:p>
    <w:tbl>
      <w:tblPr>
        <w:tblW w:w="0" w:type="auto"/>
        <w:jc w:val="left"/>
        <w:tblInd w:w="1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620"/>
        <w:gridCol w:w="2160"/>
        <w:gridCol w:w="1529"/>
        <w:gridCol w:w="1440"/>
      </w:tblGrid>
      <w:tr>
        <w:trPr>
          <w:trHeight w:val="537" w:hRule="atLeast"/>
        </w:trPr>
        <w:tc>
          <w:tcPr>
            <w:tcW w:w="1418" w:type="dxa"/>
          </w:tcPr>
          <w:p>
            <w:pPr>
              <w:pStyle w:val="TableParagraph"/>
              <w:spacing w:line="268" w:lineRule="exact"/>
              <w:ind w:left="110"/>
              <w:rPr>
                <w:rFonts w:ascii="Calibri"/>
                <w:b/>
                <w:sz w:val="22"/>
              </w:rPr>
            </w:pPr>
            <w:r>
              <w:rPr>
                <w:rFonts w:ascii="Calibri"/>
                <w:b/>
                <w:sz w:val="22"/>
              </w:rPr>
              <w:t>AREA TYPE</w:t>
            </w:r>
          </w:p>
        </w:tc>
        <w:tc>
          <w:tcPr>
            <w:tcW w:w="1620" w:type="dxa"/>
          </w:tcPr>
          <w:p>
            <w:pPr>
              <w:pStyle w:val="TableParagraph"/>
              <w:spacing w:line="268" w:lineRule="exact"/>
              <w:ind w:left="105" w:right="239"/>
              <w:jc w:val="center"/>
              <w:rPr>
                <w:rFonts w:ascii="Calibri"/>
                <w:b/>
                <w:sz w:val="22"/>
              </w:rPr>
            </w:pPr>
            <w:r>
              <w:rPr>
                <w:rFonts w:ascii="Calibri"/>
                <w:b/>
                <w:sz w:val="22"/>
              </w:rPr>
              <w:t>WEEKDAY</w:t>
            </w:r>
          </w:p>
          <w:p>
            <w:pPr>
              <w:pStyle w:val="TableParagraph"/>
              <w:spacing w:line="249" w:lineRule="exact"/>
              <w:ind w:left="105" w:right="241"/>
              <w:jc w:val="center"/>
              <w:rPr>
                <w:rFonts w:ascii="Calibri"/>
                <w:b/>
                <w:sz w:val="22"/>
              </w:rPr>
            </w:pPr>
            <w:r>
              <w:rPr>
                <w:rFonts w:ascii="Calibri"/>
                <w:b/>
                <w:sz w:val="22"/>
              </w:rPr>
              <w:t>PEAK PERIOD</w:t>
            </w:r>
          </w:p>
        </w:tc>
        <w:tc>
          <w:tcPr>
            <w:tcW w:w="2160" w:type="dxa"/>
          </w:tcPr>
          <w:p>
            <w:pPr>
              <w:pStyle w:val="TableParagraph"/>
              <w:spacing w:line="268" w:lineRule="exact"/>
              <w:ind w:left="250" w:right="383"/>
              <w:jc w:val="center"/>
              <w:rPr>
                <w:rFonts w:ascii="Calibri"/>
                <w:b/>
                <w:sz w:val="22"/>
              </w:rPr>
            </w:pPr>
            <w:r>
              <w:rPr>
                <w:rFonts w:ascii="Calibri"/>
                <w:b/>
                <w:sz w:val="22"/>
              </w:rPr>
              <w:t>WEEKDAY NON-</w:t>
            </w:r>
          </w:p>
          <w:p>
            <w:pPr>
              <w:pStyle w:val="TableParagraph"/>
              <w:spacing w:line="249" w:lineRule="exact"/>
              <w:ind w:left="249" w:right="383"/>
              <w:jc w:val="center"/>
              <w:rPr>
                <w:rFonts w:ascii="Calibri"/>
                <w:b/>
                <w:sz w:val="22"/>
              </w:rPr>
            </w:pPr>
            <w:r>
              <w:rPr>
                <w:rFonts w:ascii="Calibri"/>
                <w:b/>
                <w:sz w:val="22"/>
              </w:rPr>
              <w:t>PEAK PERIOD</w:t>
            </w:r>
          </w:p>
        </w:tc>
        <w:tc>
          <w:tcPr>
            <w:tcW w:w="1529" w:type="dxa"/>
          </w:tcPr>
          <w:p>
            <w:pPr>
              <w:pStyle w:val="TableParagraph"/>
              <w:spacing w:line="268" w:lineRule="exact"/>
              <w:ind w:left="174" w:right="304"/>
              <w:jc w:val="center"/>
              <w:rPr>
                <w:rFonts w:ascii="Calibri"/>
                <w:b/>
                <w:sz w:val="22"/>
              </w:rPr>
            </w:pPr>
            <w:r>
              <w:rPr>
                <w:rFonts w:ascii="Calibri"/>
                <w:b/>
                <w:sz w:val="22"/>
              </w:rPr>
              <w:t>SATURDAY</w:t>
            </w:r>
          </w:p>
        </w:tc>
        <w:tc>
          <w:tcPr>
            <w:tcW w:w="1440" w:type="dxa"/>
          </w:tcPr>
          <w:p>
            <w:pPr>
              <w:pStyle w:val="TableParagraph"/>
              <w:spacing w:line="268" w:lineRule="exact"/>
              <w:ind w:left="238" w:right="373"/>
              <w:jc w:val="center"/>
              <w:rPr>
                <w:rFonts w:ascii="Calibri"/>
                <w:b/>
                <w:sz w:val="22"/>
              </w:rPr>
            </w:pPr>
            <w:r>
              <w:rPr>
                <w:rFonts w:ascii="Calibri"/>
                <w:b/>
                <w:sz w:val="22"/>
              </w:rPr>
              <w:t>SUNDAY</w:t>
            </w:r>
          </w:p>
        </w:tc>
      </w:tr>
      <w:tr>
        <w:trPr>
          <w:trHeight w:val="268" w:hRule="atLeast"/>
        </w:trPr>
        <w:tc>
          <w:tcPr>
            <w:tcW w:w="1418" w:type="dxa"/>
          </w:tcPr>
          <w:p>
            <w:pPr>
              <w:pStyle w:val="TableParagraph"/>
              <w:spacing w:line="248" w:lineRule="exact"/>
              <w:ind w:left="110"/>
              <w:rPr>
                <w:rFonts w:ascii="Calibri"/>
                <w:sz w:val="22"/>
              </w:rPr>
            </w:pPr>
            <w:r>
              <w:rPr>
                <w:rFonts w:ascii="Calibri"/>
                <w:sz w:val="22"/>
              </w:rPr>
              <w:t>Urban</w:t>
            </w:r>
          </w:p>
        </w:tc>
        <w:tc>
          <w:tcPr>
            <w:tcW w:w="1620" w:type="dxa"/>
          </w:tcPr>
          <w:p>
            <w:pPr>
              <w:pStyle w:val="TableParagraph"/>
              <w:spacing w:line="248" w:lineRule="exact"/>
              <w:ind w:left="105" w:right="240"/>
              <w:jc w:val="center"/>
              <w:rPr>
                <w:rFonts w:ascii="Calibri"/>
                <w:sz w:val="22"/>
              </w:rPr>
            </w:pPr>
            <w:r>
              <w:rPr>
                <w:rFonts w:ascii="Calibri"/>
                <w:sz w:val="22"/>
              </w:rPr>
              <w:t>30 - 45</w:t>
            </w:r>
          </w:p>
        </w:tc>
        <w:tc>
          <w:tcPr>
            <w:tcW w:w="2160" w:type="dxa"/>
          </w:tcPr>
          <w:p>
            <w:pPr>
              <w:pStyle w:val="TableParagraph"/>
              <w:spacing w:line="248" w:lineRule="exact"/>
              <w:ind w:left="250" w:right="382"/>
              <w:jc w:val="center"/>
              <w:rPr>
                <w:rFonts w:ascii="Calibri"/>
                <w:sz w:val="22"/>
              </w:rPr>
            </w:pPr>
            <w:r>
              <w:rPr>
                <w:rFonts w:ascii="Calibri"/>
                <w:sz w:val="22"/>
              </w:rPr>
              <w:t>45 - 60</w:t>
            </w:r>
          </w:p>
        </w:tc>
        <w:tc>
          <w:tcPr>
            <w:tcW w:w="1529" w:type="dxa"/>
          </w:tcPr>
          <w:p>
            <w:pPr>
              <w:pStyle w:val="TableParagraph"/>
              <w:spacing w:line="248" w:lineRule="exact"/>
              <w:ind w:left="174" w:right="304"/>
              <w:jc w:val="center"/>
              <w:rPr>
                <w:rFonts w:ascii="Calibri"/>
                <w:sz w:val="22"/>
              </w:rPr>
            </w:pPr>
            <w:r>
              <w:rPr>
                <w:rFonts w:ascii="Calibri"/>
                <w:sz w:val="22"/>
              </w:rPr>
              <w:t>45 - 60</w:t>
            </w:r>
          </w:p>
        </w:tc>
        <w:tc>
          <w:tcPr>
            <w:tcW w:w="1440" w:type="dxa"/>
          </w:tcPr>
          <w:p>
            <w:pPr>
              <w:pStyle w:val="TableParagraph"/>
              <w:spacing w:line="248" w:lineRule="exact"/>
              <w:ind w:left="237" w:right="373"/>
              <w:jc w:val="center"/>
              <w:rPr>
                <w:rFonts w:ascii="Calibri"/>
                <w:sz w:val="22"/>
              </w:rPr>
            </w:pPr>
            <w:r>
              <w:rPr>
                <w:rFonts w:ascii="Calibri"/>
                <w:sz w:val="22"/>
              </w:rPr>
              <w:t>N/A</w:t>
            </w:r>
          </w:p>
        </w:tc>
      </w:tr>
      <w:tr>
        <w:trPr>
          <w:trHeight w:val="268" w:hRule="atLeast"/>
        </w:trPr>
        <w:tc>
          <w:tcPr>
            <w:tcW w:w="1418" w:type="dxa"/>
          </w:tcPr>
          <w:p>
            <w:pPr>
              <w:pStyle w:val="TableParagraph"/>
              <w:spacing w:line="248" w:lineRule="exact"/>
              <w:ind w:left="110"/>
              <w:rPr>
                <w:rFonts w:ascii="Calibri"/>
                <w:sz w:val="22"/>
              </w:rPr>
            </w:pPr>
            <w:r>
              <w:rPr>
                <w:rFonts w:ascii="Calibri"/>
                <w:sz w:val="22"/>
              </w:rPr>
              <w:t>Suburban</w:t>
            </w:r>
          </w:p>
        </w:tc>
        <w:tc>
          <w:tcPr>
            <w:tcW w:w="1620" w:type="dxa"/>
          </w:tcPr>
          <w:p>
            <w:pPr>
              <w:pStyle w:val="TableParagraph"/>
              <w:spacing w:line="248" w:lineRule="exact"/>
              <w:ind w:left="105" w:right="240"/>
              <w:jc w:val="center"/>
              <w:rPr>
                <w:rFonts w:ascii="Calibri"/>
                <w:sz w:val="22"/>
              </w:rPr>
            </w:pPr>
            <w:r>
              <w:rPr>
                <w:rFonts w:ascii="Calibri"/>
                <w:sz w:val="22"/>
              </w:rPr>
              <w:t>45 - 60</w:t>
            </w:r>
          </w:p>
        </w:tc>
        <w:tc>
          <w:tcPr>
            <w:tcW w:w="2160" w:type="dxa"/>
          </w:tcPr>
          <w:p>
            <w:pPr>
              <w:pStyle w:val="TableParagraph"/>
              <w:spacing w:line="248" w:lineRule="exact"/>
              <w:ind w:left="250" w:right="382"/>
              <w:jc w:val="center"/>
              <w:rPr>
                <w:rFonts w:ascii="Calibri"/>
                <w:sz w:val="22"/>
              </w:rPr>
            </w:pPr>
            <w:r>
              <w:rPr>
                <w:rFonts w:ascii="Calibri"/>
                <w:sz w:val="22"/>
              </w:rPr>
              <w:t>60 - 90</w:t>
            </w:r>
          </w:p>
        </w:tc>
        <w:tc>
          <w:tcPr>
            <w:tcW w:w="1529" w:type="dxa"/>
          </w:tcPr>
          <w:p>
            <w:pPr>
              <w:pStyle w:val="TableParagraph"/>
              <w:spacing w:line="248" w:lineRule="exact"/>
              <w:ind w:left="174" w:right="304"/>
              <w:jc w:val="center"/>
              <w:rPr>
                <w:rFonts w:ascii="Calibri"/>
                <w:sz w:val="22"/>
              </w:rPr>
            </w:pPr>
            <w:r>
              <w:rPr>
                <w:rFonts w:ascii="Calibri"/>
                <w:sz w:val="22"/>
              </w:rPr>
              <w:t>60 - 90</w:t>
            </w:r>
          </w:p>
        </w:tc>
        <w:tc>
          <w:tcPr>
            <w:tcW w:w="1440" w:type="dxa"/>
          </w:tcPr>
          <w:p>
            <w:pPr>
              <w:pStyle w:val="TableParagraph"/>
              <w:spacing w:line="248" w:lineRule="exact"/>
              <w:ind w:left="237" w:right="373"/>
              <w:jc w:val="center"/>
              <w:rPr>
                <w:rFonts w:ascii="Calibri"/>
                <w:sz w:val="22"/>
              </w:rPr>
            </w:pPr>
            <w:r>
              <w:rPr>
                <w:rFonts w:ascii="Calibri"/>
                <w:sz w:val="22"/>
              </w:rPr>
              <w:t>N/A</w:t>
            </w:r>
          </w:p>
        </w:tc>
      </w:tr>
      <w:tr>
        <w:trPr>
          <w:trHeight w:val="270" w:hRule="atLeast"/>
        </w:trPr>
        <w:tc>
          <w:tcPr>
            <w:tcW w:w="1418" w:type="dxa"/>
          </w:tcPr>
          <w:p>
            <w:pPr>
              <w:pStyle w:val="TableParagraph"/>
              <w:spacing w:line="251" w:lineRule="exact"/>
              <w:ind w:left="110"/>
              <w:rPr>
                <w:rFonts w:ascii="Calibri"/>
                <w:sz w:val="22"/>
              </w:rPr>
            </w:pPr>
            <w:r>
              <w:rPr>
                <w:rFonts w:ascii="Calibri"/>
                <w:sz w:val="22"/>
              </w:rPr>
              <w:t>Intercity</w:t>
            </w:r>
          </w:p>
        </w:tc>
        <w:tc>
          <w:tcPr>
            <w:tcW w:w="1620" w:type="dxa"/>
          </w:tcPr>
          <w:p>
            <w:pPr>
              <w:pStyle w:val="TableParagraph"/>
              <w:spacing w:line="251" w:lineRule="exact"/>
              <w:ind w:left="105" w:right="240"/>
              <w:jc w:val="center"/>
              <w:rPr>
                <w:rFonts w:ascii="Calibri"/>
                <w:sz w:val="22"/>
              </w:rPr>
            </w:pPr>
            <w:r>
              <w:rPr>
                <w:rFonts w:ascii="Calibri"/>
                <w:sz w:val="22"/>
              </w:rPr>
              <w:t>Variable</w:t>
            </w:r>
          </w:p>
        </w:tc>
        <w:tc>
          <w:tcPr>
            <w:tcW w:w="2160" w:type="dxa"/>
          </w:tcPr>
          <w:p>
            <w:pPr>
              <w:pStyle w:val="TableParagraph"/>
              <w:spacing w:line="251" w:lineRule="exact"/>
              <w:ind w:left="246" w:right="383"/>
              <w:jc w:val="center"/>
              <w:rPr>
                <w:rFonts w:ascii="Calibri"/>
                <w:sz w:val="22"/>
              </w:rPr>
            </w:pPr>
            <w:r>
              <w:rPr>
                <w:rFonts w:ascii="Calibri"/>
                <w:sz w:val="22"/>
              </w:rPr>
              <w:t>Variable</w:t>
            </w:r>
          </w:p>
        </w:tc>
        <w:tc>
          <w:tcPr>
            <w:tcW w:w="1529" w:type="dxa"/>
          </w:tcPr>
          <w:p>
            <w:pPr>
              <w:pStyle w:val="TableParagraph"/>
              <w:spacing w:line="251" w:lineRule="exact"/>
              <w:ind w:left="169" w:right="304"/>
              <w:jc w:val="center"/>
              <w:rPr>
                <w:rFonts w:ascii="Calibri"/>
                <w:sz w:val="22"/>
              </w:rPr>
            </w:pPr>
            <w:r>
              <w:rPr>
                <w:rFonts w:ascii="Calibri"/>
                <w:sz w:val="22"/>
              </w:rPr>
              <w:t>Variable</w:t>
            </w:r>
          </w:p>
        </w:tc>
        <w:tc>
          <w:tcPr>
            <w:tcW w:w="1440" w:type="dxa"/>
          </w:tcPr>
          <w:p>
            <w:pPr>
              <w:pStyle w:val="TableParagraph"/>
              <w:spacing w:line="251" w:lineRule="exact"/>
              <w:ind w:left="236" w:right="373"/>
              <w:jc w:val="center"/>
              <w:rPr>
                <w:rFonts w:ascii="Calibri"/>
                <w:sz w:val="22"/>
              </w:rPr>
            </w:pPr>
            <w:r>
              <w:rPr>
                <w:rFonts w:ascii="Calibri"/>
                <w:sz w:val="22"/>
              </w:rPr>
              <w:t>Variable</w:t>
            </w:r>
          </w:p>
        </w:tc>
      </w:tr>
    </w:tbl>
    <w:p>
      <w:pPr>
        <w:spacing w:line="240" w:lineRule="auto" w:before="4"/>
        <w:rPr>
          <w:b/>
          <w:sz w:val="23"/>
        </w:rPr>
      </w:pPr>
    </w:p>
    <w:p>
      <w:pPr>
        <w:spacing w:before="0"/>
        <w:ind w:left="699" w:right="0" w:firstLine="0"/>
        <w:jc w:val="left"/>
        <w:rPr>
          <w:sz w:val="22"/>
        </w:rPr>
      </w:pPr>
      <w:r>
        <w:rPr>
          <w:sz w:val="22"/>
        </w:rPr>
        <w:t>Notes:</w:t>
      </w:r>
    </w:p>
    <w:p>
      <w:pPr>
        <w:pStyle w:val="ListParagraph"/>
        <w:numPr>
          <w:ilvl w:val="1"/>
          <w:numId w:val="12"/>
        </w:numPr>
        <w:tabs>
          <w:tab w:pos="1419" w:val="left" w:leader="none"/>
          <w:tab w:pos="1420" w:val="left" w:leader="none"/>
        </w:tabs>
        <w:spacing w:line="240" w:lineRule="auto" w:before="0" w:after="0"/>
        <w:ind w:left="1420" w:right="0" w:hanging="361"/>
        <w:jc w:val="left"/>
        <w:rPr>
          <w:sz w:val="22"/>
        </w:rPr>
      </w:pPr>
      <w:r>
        <w:rPr>
          <w:sz w:val="22"/>
        </w:rPr>
        <w:t>More frequent headways may be provided if warranted by passenger</w:t>
      </w:r>
      <w:r>
        <w:rPr>
          <w:spacing w:val="19"/>
          <w:sz w:val="22"/>
        </w:rPr>
        <w:t> </w:t>
      </w:r>
      <w:r>
        <w:rPr>
          <w:sz w:val="22"/>
        </w:rPr>
        <w:t>loads.</w:t>
      </w:r>
    </w:p>
    <w:p>
      <w:pPr>
        <w:pStyle w:val="ListParagraph"/>
        <w:numPr>
          <w:ilvl w:val="1"/>
          <w:numId w:val="12"/>
        </w:numPr>
        <w:tabs>
          <w:tab w:pos="1419" w:val="left" w:leader="none"/>
          <w:tab w:pos="1420" w:val="left" w:leader="none"/>
        </w:tabs>
        <w:spacing w:line="240" w:lineRule="auto" w:before="1" w:after="0"/>
        <w:ind w:left="1419" w:right="1264" w:hanging="360"/>
        <w:jc w:val="left"/>
        <w:rPr>
          <w:sz w:val="22"/>
        </w:rPr>
      </w:pPr>
      <w:r>
        <w:rPr>
          <w:sz w:val="22"/>
        </w:rPr>
        <w:t>Specialized services may be designed to only make trips as required by passenger demand. Service on such routes </w:t>
      </w:r>
      <w:r>
        <w:rPr>
          <w:spacing w:val="2"/>
          <w:sz w:val="22"/>
        </w:rPr>
        <w:t>may </w:t>
      </w:r>
      <w:r>
        <w:rPr>
          <w:sz w:val="22"/>
        </w:rPr>
        <w:t>be scheduled to </w:t>
      </w:r>
      <w:r>
        <w:rPr>
          <w:spacing w:val="2"/>
          <w:sz w:val="22"/>
        </w:rPr>
        <w:t>extend </w:t>
      </w:r>
      <w:r>
        <w:rPr>
          <w:sz w:val="22"/>
        </w:rPr>
        <w:t>outside of the vehicle headway guidelines.</w:t>
      </w:r>
    </w:p>
    <w:p>
      <w:pPr>
        <w:pStyle w:val="ListParagraph"/>
        <w:numPr>
          <w:ilvl w:val="1"/>
          <w:numId w:val="12"/>
        </w:numPr>
        <w:tabs>
          <w:tab w:pos="1419" w:val="left" w:leader="none"/>
          <w:tab w:pos="1420" w:val="left" w:leader="none"/>
        </w:tabs>
        <w:spacing w:line="240" w:lineRule="auto" w:before="1" w:after="0"/>
        <w:ind w:left="1419" w:right="1084" w:hanging="360"/>
        <w:jc w:val="left"/>
        <w:rPr>
          <w:sz w:val="22"/>
        </w:rPr>
      </w:pPr>
      <w:r>
        <w:rPr>
          <w:sz w:val="22"/>
        </w:rPr>
        <w:t>Intercity bus service is determined by customer demand and available funding, and in many cases, services are considered performed as a matter of policy. Services are variable and changeable due to staffing and trip connections and are dependent upon available</w:t>
      </w:r>
      <w:r>
        <w:rPr>
          <w:spacing w:val="4"/>
          <w:sz w:val="22"/>
        </w:rPr>
        <w:t> </w:t>
      </w:r>
      <w:r>
        <w:rPr>
          <w:sz w:val="22"/>
        </w:rPr>
        <w:t>resources.</w:t>
      </w:r>
    </w:p>
    <w:p>
      <w:pPr>
        <w:spacing w:line="240" w:lineRule="auto" w:before="0"/>
        <w:rPr>
          <w:sz w:val="22"/>
        </w:rPr>
      </w:pPr>
    </w:p>
    <w:p>
      <w:pPr>
        <w:spacing w:line="240" w:lineRule="auto" w:before="10"/>
        <w:rPr>
          <w:sz w:val="25"/>
        </w:rPr>
      </w:pPr>
    </w:p>
    <w:p>
      <w:pPr>
        <w:pStyle w:val="ListParagraph"/>
        <w:numPr>
          <w:ilvl w:val="0"/>
          <w:numId w:val="12"/>
        </w:numPr>
        <w:tabs>
          <w:tab w:pos="1060" w:val="left" w:leader="none"/>
        </w:tabs>
        <w:spacing w:line="240" w:lineRule="auto" w:before="0" w:after="0"/>
        <w:ind w:left="1060" w:right="0" w:hanging="361"/>
        <w:jc w:val="left"/>
        <w:rPr>
          <w:rFonts w:ascii="Calibri Light"/>
          <w:b w:val="0"/>
          <w:sz w:val="24"/>
        </w:rPr>
      </w:pPr>
      <w:r>
        <w:rPr>
          <w:rFonts w:ascii="Calibri Light"/>
          <w:b w:val="0"/>
          <w:color w:val="006FC0"/>
          <w:sz w:val="24"/>
        </w:rPr>
        <w:t>On-Time</w:t>
      </w:r>
      <w:r>
        <w:rPr>
          <w:rFonts w:ascii="Calibri Light"/>
          <w:b w:val="0"/>
          <w:color w:val="006FC0"/>
          <w:spacing w:val="-1"/>
          <w:sz w:val="24"/>
        </w:rPr>
        <w:t> </w:t>
      </w:r>
      <w:r>
        <w:rPr>
          <w:rFonts w:ascii="Calibri Light"/>
          <w:b w:val="0"/>
          <w:color w:val="006FC0"/>
          <w:sz w:val="24"/>
        </w:rPr>
        <w:t>Performance</w:t>
      </w:r>
    </w:p>
    <w:p>
      <w:pPr>
        <w:pStyle w:val="BodyText"/>
        <w:rPr>
          <w:rFonts w:ascii="Calibri Light"/>
          <w:b w:val="0"/>
          <w:sz w:val="22"/>
        </w:rPr>
      </w:pPr>
    </w:p>
    <w:p>
      <w:pPr>
        <w:spacing w:before="0"/>
        <w:ind w:left="699" w:right="1330" w:firstLine="0"/>
        <w:jc w:val="left"/>
        <w:rPr>
          <w:sz w:val="22"/>
        </w:rPr>
      </w:pPr>
      <w:r>
        <w:rPr>
          <w:sz w:val="22"/>
        </w:rPr>
        <w:t>On-time performance is a measure of trips completed as scheduled. Adherence to a published schedule is critical to ensure reliability of service to the public.</w:t>
      </w:r>
    </w:p>
    <w:p>
      <w:pPr>
        <w:spacing w:line="240" w:lineRule="auto" w:before="1"/>
        <w:rPr>
          <w:sz w:val="22"/>
        </w:rPr>
      </w:pPr>
    </w:p>
    <w:p>
      <w:pPr>
        <w:pStyle w:val="ListParagraph"/>
        <w:numPr>
          <w:ilvl w:val="0"/>
          <w:numId w:val="13"/>
        </w:numPr>
        <w:tabs>
          <w:tab w:pos="1060" w:val="left" w:leader="none"/>
        </w:tabs>
        <w:spacing w:line="276" w:lineRule="auto" w:before="0" w:after="0"/>
        <w:ind w:left="1059" w:right="1336" w:hanging="269"/>
        <w:jc w:val="left"/>
        <w:rPr>
          <w:sz w:val="22"/>
        </w:rPr>
      </w:pPr>
      <w:r>
        <w:rPr>
          <w:sz w:val="22"/>
        </w:rPr>
        <w:t>A vehicle is considered on time if it departs a scheduled timepoint no more than 5 minutes late. Centro’s on-time performance objective is 85% or</w:t>
      </w:r>
      <w:r>
        <w:rPr>
          <w:spacing w:val="-3"/>
          <w:sz w:val="22"/>
        </w:rPr>
        <w:t> </w:t>
      </w:r>
      <w:r>
        <w:rPr>
          <w:sz w:val="22"/>
        </w:rPr>
        <w:t>greater.</w:t>
      </w:r>
    </w:p>
    <w:p>
      <w:pPr>
        <w:spacing w:line="240" w:lineRule="auto" w:before="3"/>
        <w:rPr>
          <w:sz w:val="25"/>
        </w:rPr>
      </w:pPr>
    </w:p>
    <w:p>
      <w:pPr>
        <w:pStyle w:val="ListParagraph"/>
        <w:numPr>
          <w:ilvl w:val="0"/>
          <w:numId w:val="13"/>
        </w:numPr>
        <w:tabs>
          <w:tab w:pos="1060" w:val="left" w:leader="none"/>
        </w:tabs>
        <w:spacing w:line="276" w:lineRule="auto" w:before="1" w:after="0"/>
        <w:ind w:left="1059" w:right="1245" w:hanging="269"/>
        <w:jc w:val="left"/>
        <w:rPr>
          <w:sz w:val="22"/>
        </w:rPr>
      </w:pPr>
      <w:r>
        <w:rPr>
          <w:sz w:val="22"/>
        </w:rPr>
        <w:t>Any bus line exceeding 15% of trips late will be defined as having a schedule adherence problem and steps will be taken to rectify the</w:t>
      </w:r>
      <w:r>
        <w:rPr>
          <w:spacing w:val="13"/>
          <w:sz w:val="22"/>
        </w:rPr>
        <w:t> </w:t>
      </w:r>
      <w:r>
        <w:rPr>
          <w:sz w:val="22"/>
        </w:rPr>
        <w:t>situation.</w:t>
      </w:r>
    </w:p>
    <w:p>
      <w:pPr>
        <w:spacing w:line="240" w:lineRule="auto" w:before="3"/>
        <w:rPr>
          <w:sz w:val="25"/>
        </w:rPr>
      </w:pPr>
    </w:p>
    <w:p>
      <w:pPr>
        <w:pStyle w:val="ListParagraph"/>
        <w:numPr>
          <w:ilvl w:val="0"/>
          <w:numId w:val="13"/>
        </w:numPr>
        <w:tabs>
          <w:tab w:pos="1060" w:val="left" w:leader="none"/>
        </w:tabs>
        <w:spacing w:line="240" w:lineRule="auto" w:before="0" w:after="0"/>
        <w:ind w:left="1060" w:right="0" w:hanging="269"/>
        <w:jc w:val="left"/>
        <w:rPr>
          <w:sz w:val="22"/>
        </w:rPr>
      </w:pPr>
      <w:r>
        <w:rPr>
          <w:sz w:val="22"/>
        </w:rPr>
        <w:t>No trips should leave a terminal or time point ahead of</w:t>
      </w:r>
      <w:r>
        <w:rPr>
          <w:spacing w:val="41"/>
          <w:sz w:val="22"/>
        </w:rPr>
        <w:t> </w:t>
      </w:r>
      <w:r>
        <w:rPr>
          <w:sz w:val="22"/>
        </w:rPr>
        <w:t>schedule.</w:t>
      </w:r>
    </w:p>
    <w:p>
      <w:pPr>
        <w:spacing w:line="240" w:lineRule="auto" w:before="0"/>
        <w:rPr>
          <w:sz w:val="20"/>
        </w:rPr>
      </w:pPr>
    </w:p>
    <w:p>
      <w:pPr>
        <w:spacing w:line="240" w:lineRule="auto" w:before="10"/>
        <w:rPr>
          <w:sz w:val="21"/>
        </w:rPr>
      </w:pPr>
      <w:r>
        <w:rPr/>
        <w:pict>
          <v:shape style="position:absolute;margin-left:73.560005pt;margin-top:16.057882pt;width:466.45pt;height:.1pt;mso-position-horizontal-relative:page;mso-position-vertical-relative:paragraph;z-index:-251431936;mso-wrap-distance-left:0;mso-wrap-distance-right:0" coordorigin="1471,321" coordsize="9329,0" path="m1471,321l10800,321e" filled="false" stroked="true" strokeweight="1.44pt" strokecolor="#006fbf">
            <v:path arrowok="t"/>
            <v:stroke dashstyle="solid"/>
            <w10:wrap type="topAndBottom"/>
          </v:shape>
        </w:pict>
      </w:r>
    </w:p>
    <w:p>
      <w:pPr>
        <w:spacing w:after="0" w:line="240" w:lineRule="auto"/>
        <w:rPr>
          <w:sz w:val="21"/>
        </w:rPr>
        <w:sectPr>
          <w:headerReference w:type="default" r:id="rId205"/>
          <w:footerReference w:type="default" r:id="rId206"/>
          <w:pgSz w:w="12240" w:h="15840"/>
          <w:pgMar w:header="0" w:footer="872" w:top="700" w:bottom="1060" w:left="740" w:right="560"/>
          <w:pgNumType w:start="3"/>
        </w:sectPr>
      </w:pPr>
    </w:p>
    <w:p>
      <w:pPr>
        <w:pStyle w:val="Heading3"/>
        <w:spacing w:before="20"/>
        <w:ind w:left="2598" w:right="2776"/>
        <w:jc w:val="center"/>
        <w:rPr>
          <w:rFonts w:ascii="Calibri Light"/>
          <w:b w:val="0"/>
        </w:rPr>
      </w:pPr>
      <w:r>
        <w:rPr/>
        <w:pict>
          <v:line style="position:absolute;mso-position-horizontal-relative:page;mso-position-vertical-relative:page;z-index:251889664" from="45.240002pt,35.999977pt" to="45.240002pt,756.0pt" stroked="true" strokeweight="1.44pt" strokecolor="#006fc0">
            <v:stroke dashstyle="solid"/>
            <w10:wrap type="none"/>
          </v:line>
        </w:pict>
      </w:r>
      <w:r>
        <w:rPr>
          <w:rFonts w:ascii="Calibri Light"/>
          <w:b w:val="0"/>
        </w:rPr>
        <w:t>CNYRTA Service Standards and Policies</w:t>
      </w:r>
    </w:p>
    <w:p>
      <w:pPr>
        <w:pStyle w:val="BodyText"/>
        <w:rPr>
          <w:rFonts w:ascii="Calibri Light"/>
          <w:b w:val="0"/>
          <w:sz w:val="18"/>
        </w:rPr>
      </w:pPr>
    </w:p>
    <w:p>
      <w:pPr>
        <w:pStyle w:val="ListParagraph"/>
        <w:numPr>
          <w:ilvl w:val="0"/>
          <w:numId w:val="13"/>
        </w:numPr>
        <w:tabs>
          <w:tab w:pos="1060" w:val="left" w:leader="none"/>
        </w:tabs>
        <w:spacing w:line="240" w:lineRule="auto" w:before="56" w:after="0"/>
        <w:ind w:left="1059" w:right="1916" w:hanging="269"/>
        <w:jc w:val="left"/>
        <w:rPr>
          <w:sz w:val="22"/>
        </w:rPr>
      </w:pPr>
      <w:r>
        <w:rPr>
          <w:sz w:val="22"/>
        </w:rPr>
        <w:t>Wherever practical, recovery time should be built into running times and used as a management tool to support schedule adherence. Recovery time should be minimal but sufficient to maintain timely schedules under most</w:t>
      </w:r>
      <w:r>
        <w:rPr>
          <w:spacing w:val="-5"/>
          <w:sz w:val="22"/>
        </w:rPr>
        <w:t> </w:t>
      </w:r>
      <w:r>
        <w:rPr>
          <w:sz w:val="22"/>
        </w:rPr>
        <w:t>conditions.</w:t>
      </w:r>
    </w:p>
    <w:p>
      <w:pPr>
        <w:spacing w:line="240" w:lineRule="auto" w:before="0"/>
        <w:rPr>
          <w:sz w:val="24"/>
        </w:rPr>
      </w:pPr>
    </w:p>
    <w:p>
      <w:pPr>
        <w:pStyle w:val="ListParagraph"/>
        <w:numPr>
          <w:ilvl w:val="0"/>
          <w:numId w:val="12"/>
        </w:numPr>
        <w:tabs>
          <w:tab w:pos="1060" w:val="left" w:leader="none"/>
        </w:tabs>
        <w:spacing w:line="240" w:lineRule="auto" w:before="1" w:after="0"/>
        <w:ind w:left="1060" w:right="0" w:hanging="361"/>
        <w:jc w:val="left"/>
        <w:rPr>
          <w:rFonts w:ascii="Calibri Light"/>
          <w:b w:val="0"/>
          <w:sz w:val="24"/>
        </w:rPr>
      </w:pPr>
      <w:r>
        <w:rPr>
          <w:rFonts w:ascii="Calibri Light"/>
          <w:b w:val="0"/>
          <w:color w:val="006FC0"/>
          <w:sz w:val="24"/>
        </w:rPr>
        <w:t>Service</w:t>
      </w:r>
      <w:r>
        <w:rPr>
          <w:rFonts w:ascii="Calibri Light"/>
          <w:b w:val="0"/>
          <w:color w:val="006FC0"/>
          <w:spacing w:val="-1"/>
          <w:sz w:val="24"/>
        </w:rPr>
        <w:t> </w:t>
      </w:r>
      <w:r>
        <w:rPr>
          <w:rFonts w:ascii="Calibri Light"/>
          <w:b w:val="0"/>
          <w:color w:val="006FC0"/>
          <w:sz w:val="24"/>
        </w:rPr>
        <w:t>Availability</w:t>
      </w:r>
    </w:p>
    <w:p>
      <w:pPr>
        <w:pStyle w:val="BodyText"/>
        <w:spacing w:before="9"/>
        <w:rPr>
          <w:rFonts w:ascii="Calibri Light"/>
          <w:b w:val="0"/>
          <w:sz w:val="21"/>
        </w:rPr>
      </w:pPr>
    </w:p>
    <w:p>
      <w:pPr>
        <w:spacing w:before="0"/>
        <w:ind w:left="699" w:right="1075" w:firstLine="0"/>
        <w:jc w:val="left"/>
        <w:rPr>
          <w:sz w:val="22"/>
        </w:rPr>
      </w:pPr>
      <w:r>
        <w:rPr/>
        <w:drawing>
          <wp:anchor distT="0" distB="0" distL="0" distR="0" allowOverlap="1" layoutInCell="1" locked="0" behindDoc="1" simplePos="0" relativeHeight="236506112">
            <wp:simplePos x="0" y="0"/>
            <wp:positionH relativeFrom="page">
              <wp:posOffset>1290804</wp:posOffset>
            </wp:positionH>
            <wp:positionV relativeFrom="paragraph">
              <wp:posOffset>606975</wp:posOffset>
            </wp:positionV>
            <wp:extent cx="4669559" cy="4934068"/>
            <wp:effectExtent l="0" t="0" r="0" b="0"/>
            <wp:wrapNone/>
            <wp:docPr id="125" name="image63.png"/>
            <wp:cNvGraphicFramePr>
              <a:graphicFrameLocks noChangeAspect="1"/>
            </wp:cNvGraphicFramePr>
            <a:graphic>
              <a:graphicData uri="http://schemas.openxmlformats.org/drawingml/2006/picture">
                <pic:pic>
                  <pic:nvPicPr>
                    <pic:cNvPr id="126" name="image63.png"/>
                    <pic:cNvPicPr/>
                  </pic:nvPicPr>
                  <pic:blipFill>
                    <a:blip r:embed="rId209" cstate="print"/>
                    <a:stretch>
                      <a:fillRect/>
                    </a:stretch>
                  </pic:blipFill>
                  <pic:spPr>
                    <a:xfrm>
                      <a:off x="0" y="0"/>
                      <a:ext cx="4669559" cy="4934068"/>
                    </a:xfrm>
                    <a:prstGeom prst="rect">
                      <a:avLst/>
                    </a:prstGeom>
                  </pic:spPr>
                </pic:pic>
              </a:graphicData>
            </a:graphic>
          </wp:anchor>
        </w:drawing>
      </w:r>
      <w:r>
        <w:rPr>
          <w:sz w:val="22"/>
        </w:rPr>
        <w:t>Service availability is a general measure of the distribution of routes within a transit provider’s service area. Centro’s service area is vast and encompasses the entirety of five separate counties. Bus service   is concentrated within and surrounding the cities. Centro defines service "availability" as the average walking distance to a bus line. Factors that affect the public’s perception of the availability of transit services include the land use pattern adjacent to bus routes and stops, topography, the presence of sidewalks</w:t>
      </w:r>
      <w:r>
        <w:rPr>
          <w:spacing w:val="4"/>
          <w:sz w:val="22"/>
        </w:rPr>
        <w:t> </w:t>
      </w:r>
      <w:r>
        <w:rPr>
          <w:sz w:val="22"/>
        </w:rPr>
        <w:t>and</w:t>
      </w:r>
      <w:r>
        <w:rPr>
          <w:spacing w:val="7"/>
          <w:sz w:val="22"/>
        </w:rPr>
        <w:t> </w:t>
      </w:r>
      <w:r>
        <w:rPr>
          <w:sz w:val="22"/>
        </w:rPr>
        <w:t>the</w:t>
      </w:r>
      <w:r>
        <w:rPr>
          <w:spacing w:val="6"/>
          <w:sz w:val="22"/>
        </w:rPr>
        <w:t> </w:t>
      </w:r>
      <w:r>
        <w:rPr>
          <w:sz w:val="22"/>
        </w:rPr>
        <w:t>condition</w:t>
      </w:r>
      <w:r>
        <w:rPr>
          <w:spacing w:val="7"/>
          <w:sz w:val="22"/>
        </w:rPr>
        <w:t> </w:t>
      </w:r>
      <w:r>
        <w:rPr>
          <w:sz w:val="22"/>
        </w:rPr>
        <w:t>of</w:t>
      </w:r>
      <w:r>
        <w:rPr>
          <w:spacing w:val="5"/>
          <w:sz w:val="22"/>
        </w:rPr>
        <w:t> </w:t>
      </w:r>
      <w:r>
        <w:rPr>
          <w:sz w:val="22"/>
        </w:rPr>
        <w:t>the</w:t>
      </w:r>
      <w:r>
        <w:rPr>
          <w:spacing w:val="9"/>
          <w:sz w:val="22"/>
        </w:rPr>
        <w:t> </w:t>
      </w:r>
      <w:r>
        <w:rPr>
          <w:sz w:val="22"/>
        </w:rPr>
        <w:t>bus</w:t>
      </w:r>
      <w:r>
        <w:rPr>
          <w:spacing w:val="8"/>
          <w:sz w:val="22"/>
        </w:rPr>
        <w:t> </w:t>
      </w:r>
      <w:r>
        <w:rPr>
          <w:sz w:val="22"/>
        </w:rPr>
        <w:t>stop</w:t>
      </w:r>
      <w:r>
        <w:rPr>
          <w:spacing w:val="7"/>
          <w:sz w:val="22"/>
        </w:rPr>
        <w:t> </w:t>
      </w:r>
      <w:r>
        <w:rPr>
          <w:sz w:val="22"/>
        </w:rPr>
        <w:t>area</w:t>
      </w:r>
      <w:r>
        <w:rPr>
          <w:spacing w:val="5"/>
          <w:sz w:val="22"/>
        </w:rPr>
        <w:t> </w:t>
      </w:r>
      <w:r>
        <w:rPr>
          <w:sz w:val="22"/>
        </w:rPr>
        <w:t>in</w:t>
      </w:r>
      <w:r>
        <w:rPr>
          <w:spacing w:val="5"/>
          <w:sz w:val="22"/>
        </w:rPr>
        <w:t> </w:t>
      </w:r>
      <w:r>
        <w:rPr>
          <w:sz w:val="22"/>
        </w:rPr>
        <w:t>clear</w:t>
      </w:r>
      <w:r>
        <w:rPr>
          <w:spacing w:val="5"/>
          <w:sz w:val="22"/>
        </w:rPr>
        <w:t> </w:t>
      </w:r>
      <w:r>
        <w:rPr>
          <w:sz w:val="22"/>
        </w:rPr>
        <w:t>weather</w:t>
      </w:r>
      <w:r>
        <w:rPr>
          <w:spacing w:val="5"/>
          <w:sz w:val="22"/>
        </w:rPr>
        <w:t> </w:t>
      </w:r>
      <w:r>
        <w:rPr>
          <w:sz w:val="22"/>
        </w:rPr>
        <w:t>and</w:t>
      </w:r>
      <w:r>
        <w:rPr>
          <w:spacing w:val="7"/>
          <w:sz w:val="22"/>
        </w:rPr>
        <w:t> </w:t>
      </w:r>
      <w:r>
        <w:rPr>
          <w:sz w:val="22"/>
        </w:rPr>
        <w:t>inclement</w:t>
      </w:r>
      <w:r>
        <w:rPr>
          <w:spacing w:val="6"/>
          <w:sz w:val="22"/>
        </w:rPr>
        <w:t> </w:t>
      </w:r>
      <w:r>
        <w:rPr>
          <w:sz w:val="22"/>
        </w:rPr>
        <w:t>weather.</w:t>
      </w:r>
    </w:p>
    <w:p>
      <w:pPr>
        <w:spacing w:line="240" w:lineRule="auto" w:before="2"/>
        <w:rPr>
          <w:sz w:val="22"/>
        </w:rPr>
      </w:pPr>
    </w:p>
    <w:p>
      <w:pPr>
        <w:spacing w:line="240" w:lineRule="auto" w:before="0"/>
        <w:ind w:left="699" w:right="991" w:firstLine="0"/>
        <w:jc w:val="left"/>
        <w:rPr>
          <w:sz w:val="22"/>
        </w:rPr>
      </w:pPr>
      <w:r>
        <w:rPr>
          <w:sz w:val="22"/>
        </w:rPr>
        <w:t>In areas of urban density, Centro provides walk-on access to persons residing within .25 miles of a bus route (5 minutes at 3 mph average walking speed). In areas of suburban/rural density, Centro’s walk-  on access increases to .50 miles (10 minutes at 3</w:t>
      </w:r>
      <w:r>
        <w:rPr>
          <w:spacing w:val="29"/>
          <w:sz w:val="22"/>
        </w:rPr>
        <w:t> </w:t>
      </w:r>
      <w:r>
        <w:rPr>
          <w:sz w:val="22"/>
        </w:rPr>
        <w:t>mph).</w:t>
      </w:r>
    </w:p>
    <w:p>
      <w:pPr>
        <w:spacing w:line="240" w:lineRule="auto" w:before="11"/>
        <w:rPr>
          <w:sz w:val="21"/>
        </w:rPr>
      </w:pPr>
    </w:p>
    <w:p>
      <w:pPr>
        <w:spacing w:before="0"/>
        <w:ind w:left="699" w:right="1159" w:firstLine="0"/>
        <w:jc w:val="left"/>
        <w:rPr>
          <w:sz w:val="22"/>
        </w:rPr>
      </w:pPr>
      <w:r>
        <w:rPr>
          <w:sz w:val="22"/>
        </w:rPr>
        <w:t>In terms of bus stops, persons living in areas of urban density are afforded at least 3 bus stops per  mile and persons living in suburban/urban areas are afforded bus stops not more than 2 miles apart. Highway mileage is not included as vehicles are not picking up</w:t>
      </w:r>
      <w:r>
        <w:rPr>
          <w:spacing w:val="6"/>
          <w:sz w:val="22"/>
        </w:rPr>
        <w:t> </w:t>
      </w:r>
      <w:r>
        <w:rPr>
          <w:sz w:val="22"/>
        </w:rPr>
        <w:t>passengers.</w:t>
      </w:r>
    </w:p>
    <w:p>
      <w:pPr>
        <w:spacing w:line="240" w:lineRule="auto" w:before="1"/>
        <w:rPr>
          <w:sz w:val="22"/>
        </w:rPr>
      </w:pPr>
    </w:p>
    <w:p>
      <w:pPr>
        <w:pStyle w:val="ListParagraph"/>
        <w:numPr>
          <w:ilvl w:val="0"/>
          <w:numId w:val="11"/>
        </w:numPr>
        <w:tabs>
          <w:tab w:pos="1059" w:val="left" w:leader="none"/>
          <w:tab w:pos="1060" w:val="left" w:leader="none"/>
        </w:tabs>
        <w:spacing w:line="240" w:lineRule="auto" w:before="0" w:after="0"/>
        <w:ind w:left="1060" w:right="0" w:hanging="670"/>
        <w:jc w:val="left"/>
        <w:rPr>
          <w:rFonts w:ascii="Calibri Light"/>
          <w:b w:val="0"/>
          <w:sz w:val="24"/>
        </w:rPr>
      </w:pPr>
      <w:r>
        <w:rPr>
          <w:rFonts w:ascii="Calibri Light"/>
          <w:b w:val="0"/>
          <w:sz w:val="24"/>
        </w:rPr>
        <w:t>Policy Detail for Service</w:t>
      </w:r>
      <w:r>
        <w:rPr>
          <w:rFonts w:ascii="Calibri Light"/>
          <w:b w:val="0"/>
          <w:spacing w:val="2"/>
          <w:sz w:val="24"/>
        </w:rPr>
        <w:t> </w:t>
      </w:r>
      <w:r>
        <w:rPr>
          <w:rFonts w:ascii="Calibri Light"/>
          <w:b w:val="0"/>
          <w:sz w:val="24"/>
        </w:rPr>
        <w:t>Policies</w:t>
      </w:r>
    </w:p>
    <w:p>
      <w:pPr>
        <w:pStyle w:val="BodyText"/>
        <w:spacing w:before="3"/>
        <w:rPr>
          <w:rFonts w:ascii="Calibri Light"/>
          <w:b w:val="0"/>
          <w:sz w:val="31"/>
        </w:rPr>
      </w:pPr>
    </w:p>
    <w:p>
      <w:pPr>
        <w:spacing w:before="0"/>
        <w:ind w:left="699" w:right="0" w:firstLine="0"/>
        <w:jc w:val="left"/>
        <w:rPr>
          <w:sz w:val="22"/>
        </w:rPr>
      </w:pPr>
      <w:r>
        <w:rPr>
          <w:sz w:val="22"/>
        </w:rPr>
        <w:t>FTA requires fixed route transit providers to develop a policy for each of the following service indicators.</w:t>
      </w:r>
    </w:p>
    <w:p>
      <w:pPr>
        <w:spacing w:line="240" w:lineRule="auto" w:before="6"/>
        <w:rPr>
          <w:sz w:val="28"/>
        </w:rPr>
      </w:pPr>
    </w:p>
    <w:p>
      <w:pPr>
        <w:pStyle w:val="BodyText"/>
        <w:ind w:left="699"/>
        <w:rPr>
          <w:rFonts w:ascii="Calibri Light"/>
          <w:b w:val="0"/>
        </w:rPr>
      </w:pPr>
      <w:r>
        <w:rPr>
          <w:rFonts w:ascii="Calibri Light"/>
          <w:b w:val="0"/>
        </w:rPr>
        <w:t>a. </w:t>
      </w:r>
      <w:r>
        <w:rPr>
          <w:rFonts w:ascii="Calibri Light"/>
          <w:b w:val="0"/>
          <w:color w:val="006FC0"/>
        </w:rPr>
        <w:t>Transit Amenities</w:t>
      </w:r>
    </w:p>
    <w:p>
      <w:pPr>
        <w:pStyle w:val="BodyText"/>
        <w:rPr>
          <w:rFonts w:ascii="Calibri Light"/>
          <w:b w:val="0"/>
          <w:sz w:val="22"/>
        </w:rPr>
      </w:pPr>
    </w:p>
    <w:p>
      <w:pPr>
        <w:spacing w:before="0"/>
        <w:ind w:left="699" w:right="1087" w:firstLine="0"/>
        <w:jc w:val="left"/>
        <w:rPr>
          <w:sz w:val="22"/>
        </w:rPr>
      </w:pPr>
      <w:r>
        <w:rPr>
          <w:sz w:val="22"/>
        </w:rPr>
        <w:t>The installation of transit amenities along bus routes will be based on the number of passengers boarding at individual bus stops. Transit amenities include bus shelters, benches, schedule panels, and Intelligent Transportation System (ITS) elements used to provide information to the public.</w:t>
      </w:r>
    </w:p>
    <w:p>
      <w:pPr>
        <w:spacing w:before="121"/>
        <w:ind w:left="699" w:right="1039" w:firstLine="0"/>
        <w:jc w:val="left"/>
        <w:rPr>
          <w:sz w:val="22"/>
        </w:rPr>
      </w:pPr>
      <w:r>
        <w:rPr>
          <w:sz w:val="22"/>
        </w:rPr>
        <w:t>Transit amenities are defined for the current fixed route service and do not apply to future system changes such as Bus Rapid Transit (BRT). The Policy will be updated at such time as BRT is incorporated into the bus system.</w:t>
      </w:r>
    </w:p>
    <w:p>
      <w:pPr>
        <w:spacing w:line="240" w:lineRule="auto" w:before="0"/>
        <w:rPr>
          <w:sz w:val="22"/>
        </w:rPr>
      </w:pPr>
    </w:p>
    <w:p>
      <w:pPr>
        <w:pStyle w:val="ListParagraph"/>
        <w:numPr>
          <w:ilvl w:val="0"/>
          <w:numId w:val="14"/>
        </w:numPr>
        <w:tabs>
          <w:tab w:pos="972" w:val="left" w:leader="none"/>
        </w:tabs>
        <w:spacing w:line="240" w:lineRule="auto" w:before="143" w:after="0"/>
        <w:ind w:left="971" w:right="0" w:hanging="273"/>
        <w:jc w:val="left"/>
        <w:rPr>
          <w:rFonts w:ascii="Calibri Light"/>
          <w:b w:val="0"/>
          <w:sz w:val="22"/>
        </w:rPr>
      </w:pPr>
      <w:r>
        <w:rPr>
          <w:rFonts w:ascii="Calibri Light"/>
          <w:b w:val="0"/>
          <w:sz w:val="22"/>
        </w:rPr>
        <w:t>Bus</w:t>
      </w:r>
      <w:r>
        <w:rPr>
          <w:rFonts w:ascii="Calibri Light"/>
          <w:b w:val="0"/>
          <w:spacing w:val="1"/>
          <w:sz w:val="22"/>
        </w:rPr>
        <w:t> </w:t>
      </w:r>
      <w:r>
        <w:rPr>
          <w:rFonts w:ascii="Calibri Light"/>
          <w:b w:val="0"/>
          <w:sz w:val="22"/>
        </w:rPr>
        <w:t>Shelters</w:t>
      </w:r>
    </w:p>
    <w:p>
      <w:pPr>
        <w:spacing w:before="0"/>
        <w:ind w:left="971" w:right="956" w:firstLine="0"/>
        <w:jc w:val="left"/>
        <w:rPr>
          <w:sz w:val="22"/>
        </w:rPr>
      </w:pPr>
      <w:r>
        <w:rPr>
          <w:sz w:val="22"/>
        </w:rPr>
        <w:t>Bus shelters are the most frequently requested transit amenity; however, bus stops are not always physically suitable candidates for a bus shelter. In addition, Centro has limited capital and operating (maintenance) resources to devote to bus shelters. Staff will evaluate each requested shelter location using the criteria below as a guide. Based on the results, a recommendation will be made to the Executive Director or his/her designee for final decision. The decision to install a shelter will include, but not be limited to, the following</w:t>
      </w:r>
      <w:r>
        <w:rPr>
          <w:spacing w:val="16"/>
          <w:sz w:val="22"/>
        </w:rPr>
        <w:t> </w:t>
      </w:r>
      <w:r>
        <w:rPr>
          <w:sz w:val="22"/>
        </w:rPr>
        <w:t>factors:</w:t>
      </w:r>
    </w:p>
    <w:p>
      <w:pPr>
        <w:spacing w:line="240" w:lineRule="auto" w:before="4"/>
        <w:rPr>
          <w:sz w:val="22"/>
        </w:rPr>
      </w:pPr>
    </w:p>
    <w:p>
      <w:pPr>
        <w:pStyle w:val="ListParagraph"/>
        <w:numPr>
          <w:ilvl w:val="1"/>
          <w:numId w:val="14"/>
        </w:numPr>
        <w:tabs>
          <w:tab w:pos="1421" w:val="left" w:leader="none"/>
        </w:tabs>
        <w:spacing w:line="237" w:lineRule="auto" w:before="0" w:after="0"/>
        <w:ind w:left="1420" w:right="1122" w:hanging="360"/>
        <w:jc w:val="left"/>
        <w:rPr>
          <w:sz w:val="22"/>
        </w:rPr>
      </w:pPr>
      <w:r>
        <w:rPr>
          <w:sz w:val="22"/>
        </w:rPr>
        <w:t>Weekday ridership usage at the site must be among the top 15% of the most frequently used bus stops for the service</w:t>
      </w:r>
      <w:r>
        <w:rPr>
          <w:spacing w:val="11"/>
          <w:sz w:val="22"/>
        </w:rPr>
        <w:t> </w:t>
      </w:r>
      <w:r>
        <w:rPr>
          <w:sz w:val="22"/>
        </w:rPr>
        <w:t>location.</w:t>
      </w:r>
    </w:p>
    <w:p>
      <w:pPr>
        <w:pStyle w:val="ListParagraph"/>
        <w:numPr>
          <w:ilvl w:val="1"/>
          <w:numId w:val="14"/>
        </w:numPr>
        <w:tabs>
          <w:tab w:pos="1421" w:val="left" w:leader="none"/>
        </w:tabs>
        <w:spacing w:line="240" w:lineRule="auto" w:before="1" w:after="0"/>
        <w:ind w:left="1420" w:right="0" w:hanging="361"/>
        <w:jc w:val="left"/>
        <w:rPr>
          <w:sz w:val="22"/>
        </w:rPr>
      </w:pPr>
      <w:r>
        <w:rPr>
          <w:sz w:val="22"/>
        </w:rPr>
        <w:t>No </w:t>
      </w:r>
      <w:r>
        <w:rPr>
          <w:spacing w:val="3"/>
          <w:sz w:val="22"/>
        </w:rPr>
        <w:t>alternative shelter </w:t>
      </w:r>
      <w:r>
        <w:rPr>
          <w:sz w:val="22"/>
        </w:rPr>
        <w:t>is </w:t>
      </w:r>
      <w:r>
        <w:rPr>
          <w:spacing w:val="2"/>
          <w:sz w:val="22"/>
        </w:rPr>
        <w:t>available </w:t>
      </w:r>
      <w:r>
        <w:rPr>
          <w:sz w:val="22"/>
        </w:rPr>
        <w:t>(i.e., a building entrance/overhang,</w:t>
      </w:r>
      <w:r>
        <w:rPr>
          <w:spacing w:val="38"/>
          <w:sz w:val="22"/>
        </w:rPr>
        <w:t> </w:t>
      </w:r>
      <w:r>
        <w:rPr>
          <w:sz w:val="22"/>
        </w:rPr>
        <w:t>etc.).</w:t>
      </w:r>
    </w:p>
    <w:p>
      <w:pPr>
        <w:pStyle w:val="ListParagraph"/>
        <w:numPr>
          <w:ilvl w:val="1"/>
          <w:numId w:val="14"/>
        </w:numPr>
        <w:tabs>
          <w:tab w:pos="1419" w:val="left" w:leader="none"/>
          <w:tab w:pos="1420" w:val="left" w:leader="none"/>
        </w:tabs>
        <w:spacing w:line="240" w:lineRule="auto" w:before="0" w:after="0"/>
        <w:ind w:left="1420" w:right="0" w:hanging="360"/>
        <w:jc w:val="left"/>
        <w:rPr>
          <w:sz w:val="22"/>
        </w:rPr>
      </w:pPr>
      <w:r>
        <w:rPr>
          <w:spacing w:val="2"/>
          <w:sz w:val="22"/>
        </w:rPr>
        <w:t>There must </w:t>
      </w:r>
      <w:r>
        <w:rPr>
          <w:sz w:val="22"/>
        </w:rPr>
        <w:t>be </w:t>
      </w:r>
      <w:r>
        <w:rPr>
          <w:spacing w:val="2"/>
          <w:sz w:val="22"/>
        </w:rPr>
        <w:t>sufficient space </w:t>
      </w:r>
      <w:r>
        <w:rPr>
          <w:sz w:val="22"/>
        </w:rPr>
        <w:t>to </w:t>
      </w:r>
      <w:r>
        <w:rPr>
          <w:spacing w:val="2"/>
          <w:sz w:val="22"/>
        </w:rPr>
        <w:t>safely </w:t>
      </w:r>
      <w:r>
        <w:rPr>
          <w:spacing w:val="3"/>
          <w:sz w:val="22"/>
        </w:rPr>
        <w:t>install </w:t>
      </w:r>
      <w:r>
        <w:rPr>
          <w:sz w:val="22"/>
        </w:rPr>
        <w:t>a</w:t>
      </w:r>
      <w:r>
        <w:rPr>
          <w:spacing w:val="16"/>
          <w:sz w:val="22"/>
        </w:rPr>
        <w:t> </w:t>
      </w:r>
      <w:r>
        <w:rPr>
          <w:spacing w:val="2"/>
          <w:sz w:val="22"/>
        </w:rPr>
        <w:t>shelter.</w:t>
      </w:r>
    </w:p>
    <w:p>
      <w:pPr>
        <w:spacing w:line="240" w:lineRule="auto" w:before="11"/>
        <w:rPr>
          <w:sz w:val="16"/>
        </w:rPr>
      </w:pPr>
      <w:r>
        <w:rPr/>
        <w:pict>
          <v:shape style="position:absolute;margin-left:73.560005pt;margin-top:13.03781pt;width:466.45pt;height:.1pt;mso-position-horizontal-relative:page;mso-position-vertical-relative:paragraph;z-index:-251428864;mso-wrap-distance-left:0;mso-wrap-distance-right:0" coordorigin="1471,261" coordsize="9329,0" path="m1471,261l10800,261e" filled="false" stroked="true" strokeweight="1.44pt" strokecolor="#006fbf">
            <v:path arrowok="t"/>
            <v:stroke dashstyle="solid"/>
            <w10:wrap type="topAndBottom"/>
          </v:shape>
        </w:pict>
      </w:r>
    </w:p>
    <w:p>
      <w:pPr>
        <w:spacing w:after="0" w:line="240" w:lineRule="auto"/>
        <w:rPr>
          <w:sz w:val="16"/>
        </w:rPr>
        <w:sectPr>
          <w:headerReference w:type="default" r:id="rId207"/>
          <w:footerReference w:type="default" r:id="rId208"/>
          <w:pgSz w:w="12240" w:h="15840"/>
          <w:pgMar w:header="0" w:footer="872" w:top="700" w:bottom="1060" w:left="740" w:right="560"/>
          <w:pgNumType w:start="4"/>
        </w:sectPr>
      </w:pPr>
    </w:p>
    <w:p>
      <w:pPr>
        <w:pStyle w:val="Heading3"/>
        <w:spacing w:before="20"/>
        <w:ind w:left="2598" w:right="2776"/>
        <w:jc w:val="center"/>
        <w:rPr>
          <w:rFonts w:ascii="Calibri Light"/>
          <w:b w:val="0"/>
        </w:rPr>
      </w:pPr>
      <w:r>
        <w:rPr/>
        <w:pict>
          <v:line style="position:absolute;mso-position-horizontal-relative:page;mso-position-vertical-relative:page;z-index:251892736" from="45.240002pt,35.999977pt" to="45.240002pt,756.0pt" stroked="true" strokeweight="1.44pt" strokecolor="#006fc0">
            <v:stroke dashstyle="solid"/>
            <w10:wrap type="none"/>
          </v:line>
        </w:pict>
      </w:r>
      <w:r>
        <w:rPr>
          <w:rFonts w:ascii="Calibri Light"/>
          <w:b w:val="0"/>
        </w:rPr>
        <w:t>CNYRTA Service Standards and Policies</w:t>
      </w:r>
    </w:p>
    <w:p>
      <w:pPr>
        <w:pStyle w:val="BodyText"/>
        <w:rPr>
          <w:rFonts w:ascii="Calibri Light"/>
          <w:b w:val="0"/>
          <w:sz w:val="18"/>
        </w:rPr>
      </w:pPr>
    </w:p>
    <w:p>
      <w:pPr>
        <w:pStyle w:val="ListParagraph"/>
        <w:numPr>
          <w:ilvl w:val="1"/>
          <w:numId w:val="14"/>
        </w:numPr>
        <w:tabs>
          <w:tab w:pos="1421" w:val="left" w:leader="none"/>
        </w:tabs>
        <w:spacing w:line="240" w:lineRule="auto" w:before="56" w:after="0"/>
        <w:ind w:left="1419" w:right="1850" w:hanging="360"/>
        <w:jc w:val="left"/>
        <w:rPr>
          <w:sz w:val="22"/>
        </w:rPr>
      </w:pPr>
      <w:r>
        <w:rPr>
          <w:sz w:val="22"/>
        </w:rPr>
        <w:t>The usage standard may be waived if a substantial number of the riders are seniors or disabled.</w:t>
      </w:r>
    </w:p>
    <w:p>
      <w:pPr>
        <w:pStyle w:val="ListParagraph"/>
        <w:numPr>
          <w:ilvl w:val="1"/>
          <w:numId w:val="14"/>
        </w:numPr>
        <w:tabs>
          <w:tab w:pos="1420" w:val="left" w:leader="none"/>
        </w:tabs>
        <w:spacing w:line="267" w:lineRule="exact" w:before="0" w:after="0"/>
        <w:ind w:left="1420" w:right="0" w:hanging="361"/>
        <w:jc w:val="left"/>
        <w:rPr>
          <w:sz w:val="22"/>
        </w:rPr>
      </w:pPr>
      <w:r>
        <w:rPr>
          <w:sz w:val="22"/>
        </w:rPr>
        <w:t>All shelters will be compliant with Americans with Disabilities Act</w:t>
      </w:r>
      <w:r>
        <w:rPr>
          <w:spacing w:val="20"/>
          <w:sz w:val="22"/>
        </w:rPr>
        <w:t> </w:t>
      </w:r>
      <w:r>
        <w:rPr>
          <w:sz w:val="22"/>
        </w:rPr>
        <w:t>guidelines.</w:t>
      </w:r>
    </w:p>
    <w:p>
      <w:pPr>
        <w:pStyle w:val="ListParagraph"/>
        <w:numPr>
          <w:ilvl w:val="1"/>
          <w:numId w:val="14"/>
        </w:numPr>
        <w:tabs>
          <w:tab w:pos="1419" w:val="left" w:leader="none"/>
          <w:tab w:pos="1421" w:val="left" w:leader="none"/>
        </w:tabs>
        <w:spacing w:line="240" w:lineRule="auto" w:before="0" w:after="0"/>
        <w:ind w:left="1420" w:right="1527" w:hanging="360"/>
        <w:jc w:val="left"/>
        <w:rPr>
          <w:sz w:val="22"/>
        </w:rPr>
      </w:pPr>
      <w:r>
        <w:rPr>
          <w:sz w:val="22"/>
        </w:rPr>
        <w:t>Shelters should be installed only where the Authority’s equipment investment is deemed to be safe from</w:t>
      </w:r>
      <w:r>
        <w:rPr>
          <w:spacing w:val="5"/>
          <w:sz w:val="22"/>
        </w:rPr>
        <w:t> </w:t>
      </w:r>
      <w:r>
        <w:rPr>
          <w:sz w:val="22"/>
        </w:rPr>
        <w:t>vandalism.</w:t>
      </w:r>
    </w:p>
    <w:p>
      <w:pPr>
        <w:spacing w:line="240" w:lineRule="auto" w:before="0"/>
        <w:rPr>
          <w:sz w:val="24"/>
        </w:rPr>
      </w:pPr>
    </w:p>
    <w:p>
      <w:pPr>
        <w:pStyle w:val="ListParagraph"/>
        <w:numPr>
          <w:ilvl w:val="0"/>
          <w:numId w:val="14"/>
        </w:numPr>
        <w:tabs>
          <w:tab w:pos="972" w:val="left" w:leader="none"/>
        </w:tabs>
        <w:spacing w:line="240" w:lineRule="auto" w:before="0" w:after="0"/>
        <w:ind w:left="971" w:right="0" w:hanging="273"/>
        <w:jc w:val="left"/>
        <w:rPr>
          <w:rFonts w:ascii="Calibri Light"/>
          <w:b w:val="0"/>
          <w:sz w:val="22"/>
        </w:rPr>
      </w:pPr>
      <w:r>
        <w:rPr>
          <w:rFonts w:ascii="Calibri Light"/>
          <w:b w:val="0"/>
          <w:sz w:val="22"/>
        </w:rPr>
        <w:t>Bus Shelter</w:t>
      </w:r>
      <w:r>
        <w:rPr>
          <w:rFonts w:ascii="Calibri Light"/>
          <w:b w:val="0"/>
          <w:spacing w:val="2"/>
          <w:sz w:val="22"/>
        </w:rPr>
        <w:t> </w:t>
      </w:r>
      <w:r>
        <w:rPr>
          <w:rFonts w:ascii="Calibri Light"/>
          <w:b w:val="0"/>
          <w:sz w:val="22"/>
        </w:rPr>
        <w:t>Benches</w:t>
      </w:r>
    </w:p>
    <w:p>
      <w:pPr>
        <w:spacing w:before="1"/>
        <w:ind w:left="971" w:right="1525" w:firstLine="0"/>
        <w:jc w:val="both"/>
        <w:rPr>
          <w:sz w:val="22"/>
        </w:rPr>
      </w:pPr>
      <w:r>
        <w:rPr/>
        <w:drawing>
          <wp:anchor distT="0" distB="0" distL="0" distR="0" allowOverlap="1" layoutInCell="1" locked="0" behindDoc="1" simplePos="0" relativeHeight="236509184">
            <wp:simplePos x="0" y="0"/>
            <wp:positionH relativeFrom="page">
              <wp:posOffset>1290804</wp:posOffset>
            </wp:positionH>
            <wp:positionV relativeFrom="paragraph">
              <wp:posOffset>452162</wp:posOffset>
            </wp:positionV>
            <wp:extent cx="4669559" cy="4934068"/>
            <wp:effectExtent l="0" t="0" r="0" b="0"/>
            <wp:wrapNone/>
            <wp:docPr id="127" name="image62.png"/>
            <wp:cNvGraphicFramePr>
              <a:graphicFrameLocks noChangeAspect="1"/>
            </wp:cNvGraphicFramePr>
            <a:graphic>
              <a:graphicData uri="http://schemas.openxmlformats.org/drawingml/2006/picture">
                <pic:pic>
                  <pic:nvPicPr>
                    <pic:cNvPr id="128" name="image62.png"/>
                    <pic:cNvPicPr/>
                  </pic:nvPicPr>
                  <pic:blipFill>
                    <a:blip r:embed="rId204" cstate="print"/>
                    <a:stretch>
                      <a:fillRect/>
                    </a:stretch>
                  </pic:blipFill>
                  <pic:spPr>
                    <a:xfrm>
                      <a:off x="0" y="0"/>
                      <a:ext cx="4669559" cy="4934068"/>
                    </a:xfrm>
                    <a:prstGeom prst="rect">
                      <a:avLst/>
                    </a:prstGeom>
                  </pic:spPr>
                </pic:pic>
              </a:graphicData>
            </a:graphic>
          </wp:anchor>
        </w:drawing>
      </w:r>
      <w:r>
        <w:rPr>
          <w:sz w:val="22"/>
        </w:rPr>
        <w:t>Benches are to be installed within bus shelters. If ADA guidelines cannot be met, a bench will not be installed. If the number of passengers waiting at a shelter exceeds the shelter capacity, a bench may not be installed. Free-standing benches without bus shelters are not to be installed due to liability and maintenance concerns.</w:t>
      </w:r>
    </w:p>
    <w:p>
      <w:pPr>
        <w:spacing w:line="240" w:lineRule="auto" w:before="0"/>
        <w:rPr>
          <w:sz w:val="24"/>
        </w:rPr>
      </w:pPr>
    </w:p>
    <w:p>
      <w:pPr>
        <w:pStyle w:val="ListParagraph"/>
        <w:numPr>
          <w:ilvl w:val="0"/>
          <w:numId w:val="14"/>
        </w:numPr>
        <w:tabs>
          <w:tab w:pos="972" w:val="left" w:leader="none"/>
        </w:tabs>
        <w:spacing w:line="240" w:lineRule="auto" w:before="1" w:after="0"/>
        <w:ind w:left="971" w:right="0" w:hanging="273"/>
        <w:jc w:val="left"/>
        <w:rPr>
          <w:rFonts w:ascii="Calibri Light"/>
          <w:b w:val="0"/>
          <w:sz w:val="22"/>
        </w:rPr>
      </w:pPr>
      <w:r>
        <w:rPr>
          <w:rFonts w:ascii="Calibri Light"/>
          <w:b w:val="0"/>
          <w:sz w:val="22"/>
        </w:rPr>
        <w:t>Schedule</w:t>
      </w:r>
      <w:r>
        <w:rPr>
          <w:rFonts w:ascii="Calibri Light"/>
          <w:b w:val="0"/>
          <w:spacing w:val="-1"/>
          <w:sz w:val="22"/>
        </w:rPr>
        <w:t> </w:t>
      </w:r>
      <w:r>
        <w:rPr>
          <w:rFonts w:ascii="Calibri Light"/>
          <w:b w:val="0"/>
          <w:sz w:val="22"/>
        </w:rPr>
        <w:t>Panels</w:t>
      </w:r>
    </w:p>
    <w:p>
      <w:pPr>
        <w:spacing w:before="0"/>
        <w:ind w:left="971" w:right="1529" w:firstLine="0"/>
        <w:jc w:val="both"/>
        <w:rPr>
          <w:sz w:val="22"/>
        </w:rPr>
      </w:pPr>
      <w:r>
        <w:rPr>
          <w:sz w:val="22"/>
        </w:rPr>
        <w:t>Schedule panels are to be installed in shelters wherever possible. In lieu of schedule panels, real-time electronic arrival displays may be installed.</w:t>
      </w:r>
    </w:p>
    <w:p>
      <w:pPr>
        <w:spacing w:line="240" w:lineRule="auto" w:before="0"/>
        <w:rPr>
          <w:sz w:val="24"/>
        </w:rPr>
      </w:pPr>
    </w:p>
    <w:p>
      <w:pPr>
        <w:pStyle w:val="ListParagraph"/>
        <w:numPr>
          <w:ilvl w:val="0"/>
          <w:numId w:val="14"/>
        </w:numPr>
        <w:tabs>
          <w:tab w:pos="972" w:val="left" w:leader="none"/>
        </w:tabs>
        <w:spacing w:line="267" w:lineRule="exact" w:before="0" w:after="0"/>
        <w:ind w:left="971" w:right="0" w:hanging="273"/>
        <w:jc w:val="left"/>
        <w:rPr>
          <w:rFonts w:ascii="Calibri Light"/>
          <w:b w:val="0"/>
          <w:sz w:val="22"/>
        </w:rPr>
      </w:pPr>
      <w:r>
        <w:rPr>
          <w:rFonts w:ascii="Calibri Light"/>
          <w:b w:val="0"/>
          <w:sz w:val="22"/>
        </w:rPr>
        <w:t>Intelligent Transportation System (ITS)</w:t>
      </w:r>
      <w:r>
        <w:rPr>
          <w:rFonts w:ascii="Calibri Light"/>
          <w:b w:val="0"/>
          <w:spacing w:val="-2"/>
          <w:sz w:val="22"/>
        </w:rPr>
        <w:t> </w:t>
      </w:r>
      <w:r>
        <w:rPr>
          <w:rFonts w:ascii="Calibri Light"/>
          <w:b w:val="0"/>
          <w:sz w:val="22"/>
        </w:rPr>
        <w:t>elements</w:t>
      </w:r>
    </w:p>
    <w:p>
      <w:pPr>
        <w:spacing w:before="0"/>
        <w:ind w:left="971" w:right="917" w:firstLine="0"/>
        <w:jc w:val="left"/>
        <w:rPr>
          <w:sz w:val="22"/>
        </w:rPr>
      </w:pPr>
      <w:r>
        <w:rPr>
          <w:sz w:val="22"/>
        </w:rPr>
        <w:t>ITS is a national program aimed at using modern computers and communications to make travel smarter, faster, safer, and more convenient. ITS elements include real-time messaging signs linked to Centro’s automated vehicle location system and voice annunciators for the visually impaired to announce “next bus” arrival times at bus stops. This includes the onboard signage displaying the next stop and customer announcements.</w:t>
      </w:r>
    </w:p>
    <w:p>
      <w:pPr>
        <w:spacing w:line="240" w:lineRule="auto" w:before="0"/>
        <w:rPr>
          <w:sz w:val="22"/>
        </w:rPr>
      </w:pPr>
    </w:p>
    <w:p>
      <w:pPr>
        <w:spacing w:before="0"/>
        <w:ind w:left="971" w:right="0" w:firstLine="0"/>
        <w:jc w:val="left"/>
        <w:rPr>
          <w:sz w:val="22"/>
        </w:rPr>
      </w:pPr>
      <w:r>
        <w:rPr>
          <w:sz w:val="22"/>
        </w:rPr>
        <w:t>The decision to install ITS elements will include, but not be limited to, the following factors:</w:t>
      </w:r>
    </w:p>
    <w:p>
      <w:pPr>
        <w:spacing w:line="240" w:lineRule="auto" w:before="1"/>
        <w:rPr>
          <w:sz w:val="22"/>
        </w:rPr>
      </w:pPr>
    </w:p>
    <w:p>
      <w:pPr>
        <w:pStyle w:val="ListParagraph"/>
        <w:numPr>
          <w:ilvl w:val="1"/>
          <w:numId w:val="14"/>
        </w:numPr>
        <w:tabs>
          <w:tab w:pos="1420" w:val="left" w:leader="none"/>
        </w:tabs>
        <w:spacing w:line="240" w:lineRule="auto" w:before="0" w:after="0"/>
        <w:ind w:left="1420" w:right="0" w:hanging="361"/>
        <w:jc w:val="left"/>
        <w:rPr>
          <w:sz w:val="22"/>
        </w:rPr>
      </w:pPr>
      <w:r>
        <w:rPr>
          <w:sz w:val="22"/>
        </w:rPr>
        <w:t>A sustainable source of funding is</w:t>
      </w:r>
      <w:r>
        <w:rPr>
          <w:spacing w:val="10"/>
          <w:sz w:val="22"/>
        </w:rPr>
        <w:t> </w:t>
      </w:r>
      <w:r>
        <w:rPr>
          <w:sz w:val="22"/>
        </w:rPr>
        <w:t>available.</w:t>
      </w:r>
    </w:p>
    <w:p>
      <w:pPr>
        <w:pStyle w:val="ListParagraph"/>
        <w:numPr>
          <w:ilvl w:val="1"/>
          <w:numId w:val="14"/>
        </w:numPr>
        <w:tabs>
          <w:tab w:pos="1420" w:val="left" w:leader="none"/>
        </w:tabs>
        <w:spacing w:line="237" w:lineRule="auto" w:before="2" w:after="0"/>
        <w:ind w:left="1419" w:right="1122" w:hanging="360"/>
        <w:jc w:val="left"/>
        <w:rPr>
          <w:sz w:val="22"/>
        </w:rPr>
      </w:pPr>
      <w:r>
        <w:rPr>
          <w:sz w:val="22"/>
        </w:rPr>
        <w:t>Weekday ridership usage at the site must be among the top 15% of the most frequently used bus stops for the service</w:t>
      </w:r>
      <w:r>
        <w:rPr>
          <w:spacing w:val="11"/>
          <w:sz w:val="22"/>
        </w:rPr>
        <w:t> </w:t>
      </w:r>
      <w:r>
        <w:rPr>
          <w:sz w:val="22"/>
        </w:rPr>
        <w:t>location.</w:t>
      </w:r>
    </w:p>
    <w:p>
      <w:pPr>
        <w:pStyle w:val="ListParagraph"/>
        <w:numPr>
          <w:ilvl w:val="1"/>
          <w:numId w:val="14"/>
        </w:numPr>
        <w:tabs>
          <w:tab w:pos="1419" w:val="left" w:leader="none"/>
          <w:tab w:pos="1420" w:val="left" w:leader="none"/>
        </w:tabs>
        <w:spacing w:line="240" w:lineRule="auto" w:before="2" w:after="0"/>
        <w:ind w:left="1419" w:right="1850" w:hanging="360"/>
        <w:jc w:val="left"/>
        <w:rPr>
          <w:sz w:val="22"/>
        </w:rPr>
      </w:pPr>
      <w:r>
        <w:rPr>
          <w:sz w:val="22"/>
        </w:rPr>
        <w:t>The usage standard may be waived if a substantial number of the riders are seniors or disabled.</w:t>
      </w:r>
    </w:p>
    <w:p>
      <w:pPr>
        <w:pStyle w:val="ListParagraph"/>
        <w:numPr>
          <w:ilvl w:val="1"/>
          <w:numId w:val="14"/>
        </w:numPr>
        <w:tabs>
          <w:tab w:pos="1420" w:val="left" w:leader="none"/>
        </w:tabs>
        <w:spacing w:line="240" w:lineRule="auto" w:before="0" w:after="0"/>
        <w:ind w:left="1419" w:right="1696" w:hanging="360"/>
        <w:jc w:val="left"/>
        <w:rPr>
          <w:sz w:val="22"/>
        </w:rPr>
      </w:pPr>
      <w:r>
        <w:rPr>
          <w:sz w:val="22"/>
        </w:rPr>
        <w:t>ITS equipment should be installed only where the Authority’s equipment investment is deemed to be safe from</w:t>
      </w:r>
      <w:r>
        <w:rPr>
          <w:spacing w:val="7"/>
          <w:sz w:val="22"/>
        </w:rPr>
        <w:t> </w:t>
      </w:r>
      <w:r>
        <w:rPr>
          <w:sz w:val="22"/>
        </w:rPr>
        <w:t>vandalism.</w:t>
      </w:r>
    </w:p>
    <w:p>
      <w:pPr>
        <w:spacing w:line="240" w:lineRule="auto" w:before="1"/>
        <w:rPr>
          <w:sz w:val="22"/>
        </w:rPr>
      </w:pPr>
    </w:p>
    <w:p>
      <w:pPr>
        <w:spacing w:before="0"/>
        <w:ind w:left="1059" w:right="2140" w:firstLine="0"/>
        <w:jc w:val="left"/>
        <w:rPr>
          <w:sz w:val="22"/>
        </w:rPr>
      </w:pPr>
      <w:r>
        <w:rPr>
          <w:sz w:val="22"/>
        </w:rPr>
        <w:t>As new transportation systems and technologies emerge, they will be evaluated for deployment.</w:t>
      </w:r>
    </w:p>
    <w:p>
      <w:pPr>
        <w:spacing w:line="240" w:lineRule="auto" w:before="10"/>
        <w:rPr>
          <w:sz w:val="21"/>
        </w:rPr>
      </w:pPr>
    </w:p>
    <w:p>
      <w:pPr>
        <w:spacing w:before="0"/>
        <w:ind w:left="1059" w:right="0" w:firstLine="0"/>
        <w:jc w:val="left"/>
        <w:rPr>
          <w:sz w:val="22"/>
        </w:rPr>
      </w:pPr>
      <w:r>
        <w:rPr>
          <w:sz w:val="22"/>
        </w:rPr>
        <w:t>Additional ITS elements available to customers include:</w:t>
      </w:r>
    </w:p>
    <w:p>
      <w:pPr>
        <w:pStyle w:val="ListParagraph"/>
        <w:numPr>
          <w:ilvl w:val="2"/>
          <w:numId w:val="14"/>
        </w:numPr>
        <w:tabs>
          <w:tab w:pos="1779" w:val="left" w:leader="none"/>
          <w:tab w:pos="1780" w:val="left" w:leader="none"/>
        </w:tabs>
        <w:spacing w:line="240" w:lineRule="auto" w:before="1" w:after="0"/>
        <w:ind w:left="1780" w:right="1223" w:hanging="360"/>
        <w:jc w:val="left"/>
        <w:rPr>
          <w:sz w:val="22"/>
        </w:rPr>
      </w:pPr>
      <w:r>
        <w:rPr>
          <w:sz w:val="22"/>
        </w:rPr>
        <w:t>The GoCentroBus mobile app provides access to real-time bus information. Customers can pinpoint real-time bus locations, see estimated bus arrival times, store favorite routes and stops, create customized travel plans, identify the nearest stop using the cell phone’s geolocation, and provide feedback with email and photos. The app is available for downloading for free on portable smart</w:t>
      </w:r>
      <w:r>
        <w:rPr>
          <w:spacing w:val="10"/>
          <w:sz w:val="22"/>
        </w:rPr>
        <w:t> </w:t>
      </w:r>
      <w:r>
        <w:rPr>
          <w:sz w:val="22"/>
        </w:rPr>
        <w:t>devices.</w:t>
      </w:r>
    </w:p>
    <w:p>
      <w:pPr>
        <w:pStyle w:val="ListParagraph"/>
        <w:numPr>
          <w:ilvl w:val="2"/>
          <w:numId w:val="14"/>
        </w:numPr>
        <w:tabs>
          <w:tab w:pos="1779" w:val="left" w:leader="none"/>
          <w:tab w:pos="1780" w:val="left" w:leader="none"/>
        </w:tabs>
        <w:spacing w:line="240" w:lineRule="auto" w:before="1" w:after="0"/>
        <w:ind w:left="1779" w:right="1201" w:hanging="360"/>
        <w:jc w:val="left"/>
        <w:rPr>
          <w:sz w:val="22"/>
        </w:rPr>
      </w:pPr>
      <w:r>
        <w:rPr>
          <w:sz w:val="22"/>
        </w:rPr>
        <w:t>Track By Text is available to get next scheduled bus arrival times for any Centro bus stop via text message.</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18"/>
        </w:rPr>
      </w:pPr>
      <w:r>
        <w:rPr/>
        <w:pict>
          <v:shape style="position:absolute;margin-left:73.560005pt;margin-top:13.909204pt;width:466.45pt;height:.1pt;mso-position-horizontal-relative:page;mso-position-vertical-relative:paragraph;z-index:-251425792;mso-wrap-distance-left:0;mso-wrap-distance-right:0" coordorigin="1471,278" coordsize="9329,0" path="m1471,278l10800,278e" filled="false" stroked="true" strokeweight="1.44pt" strokecolor="#006fbf">
            <v:path arrowok="t"/>
            <v:stroke dashstyle="solid"/>
            <w10:wrap type="topAndBottom"/>
          </v:shape>
        </w:pict>
      </w:r>
    </w:p>
    <w:p>
      <w:pPr>
        <w:spacing w:after="0" w:line="240" w:lineRule="auto"/>
        <w:rPr>
          <w:sz w:val="18"/>
        </w:rPr>
        <w:sectPr>
          <w:headerReference w:type="default" r:id="rId210"/>
          <w:footerReference w:type="default" r:id="rId211"/>
          <w:pgSz w:w="12240" w:h="15840"/>
          <w:pgMar w:header="0" w:footer="872" w:top="700" w:bottom="1060" w:left="740" w:right="560"/>
          <w:pgNumType w:start="5"/>
        </w:sectPr>
      </w:pPr>
    </w:p>
    <w:p>
      <w:pPr>
        <w:pStyle w:val="Heading3"/>
        <w:spacing w:before="20"/>
        <w:ind w:left="2598" w:right="2776"/>
        <w:jc w:val="center"/>
        <w:rPr>
          <w:rFonts w:ascii="Calibri Light"/>
          <w:b w:val="0"/>
        </w:rPr>
      </w:pPr>
      <w:r>
        <w:rPr/>
        <w:pict>
          <v:line style="position:absolute;mso-position-horizontal-relative:page;mso-position-vertical-relative:page;z-index:251895808" from="45.240002pt,35.999977pt" to="45.240002pt,756.0pt" stroked="true" strokeweight="1.44pt" strokecolor="#006fc0">
            <v:stroke dashstyle="solid"/>
            <w10:wrap type="none"/>
          </v:line>
        </w:pict>
      </w:r>
      <w:r>
        <w:rPr>
          <w:rFonts w:ascii="Calibri Light"/>
          <w:b w:val="0"/>
        </w:rPr>
        <w:t>CNYRTA Service Standards and Policies</w:t>
      </w:r>
    </w:p>
    <w:p>
      <w:pPr>
        <w:pStyle w:val="BodyText"/>
        <w:spacing w:before="4"/>
        <w:rPr>
          <w:rFonts w:ascii="Calibri Light"/>
          <w:b w:val="0"/>
          <w:sz w:val="18"/>
        </w:rPr>
      </w:pPr>
    </w:p>
    <w:p>
      <w:pPr>
        <w:pStyle w:val="BodyText"/>
        <w:spacing w:before="52"/>
        <w:ind w:left="699"/>
        <w:rPr>
          <w:rFonts w:ascii="Calibri Light"/>
          <w:b w:val="0"/>
        </w:rPr>
      </w:pPr>
      <w:r>
        <w:rPr>
          <w:rFonts w:ascii="Calibri Light"/>
          <w:b w:val="0"/>
        </w:rPr>
        <w:t>b. </w:t>
      </w:r>
      <w:r>
        <w:rPr>
          <w:rFonts w:ascii="Calibri Light"/>
          <w:b w:val="0"/>
          <w:color w:val="006FC0"/>
        </w:rPr>
        <w:t>Vehicle Assignment</w:t>
      </w:r>
    </w:p>
    <w:p>
      <w:pPr>
        <w:pStyle w:val="BodyText"/>
        <w:rPr>
          <w:rFonts w:ascii="Calibri Light"/>
          <w:b w:val="0"/>
          <w:sz w:val="22"/>
        </w:rPr>
      </w:pPr>
    </w:p>
    <w:p>
      <w:pPr>
        <w:spacing w:line="240" w:lineRule="auto" w:before="0"/>
        <w:ind w:left="699" w:right="1053" w:firstLine="0"/>
        <w:jc w:val="both"/>
        <w:rPr>
          <w:sz w:val="24"/>
        </w:rPr>
      </w:pPr>
      <w:r>
        <w:rPr>
          <w:sz w:val="22"/>
        </w:rPr>
        <w:t>Equipment guidelines must consider the operating characteristics of buses of various lengths, which are to be matched to the operating parameters of the route. Higher capacity buses shall be used on routes with the highest ridership and load factors. Local routes with lower ridership may be assigned lower capacity buses</w:t>
      </w:r>
      <w:r>
        <w:rPr>
          <w:sz w:val="24"/>
        </w:rPr>
        <w:t>. In addition:</w:t>
      </w:r>
    </w:p>
    <w:p>
      <w:pPr>
        <w:spacing w:line="240" w:lineRule="auto" w:before="8"/>
        <w:rPr>
          <w:sz w:val="33"/>
        </w:rPr>
      </w:pPr>
    </w:p>
    <w:p>
      <w:pPr>
        <w:pStyle w:val="ListParagraph"/>
        <w:numPr>
          <w:ilvl w:val="0"/>
          <w:numId w:val="15"/>
        </w:numPr>
        <w:tabs>
          <w:tab w:pos="1060" w:val="left" w:leader="none"/>
        </w:tabs>
        <w:spacing w:line="240" w:lineRule="auto" w:before="0" w:after="0"/>
        <w:ind w:left="1059" w:right="1101" w:hanging="360"/>
        <w:jc w:val="left"/>
        <w:rPr>
          <w:sz w:val="22"/>
        </w:rPr>
      </w:pPr>
      <w:r>
        <w:rPr/>
        <w:drawing>
          <wp:anchor distT="0" distB="0" distL="0" distR="0" allowOverlap="1" layoutInCell="1" locked="0" behindDoc="1" simplePos="0" relativeHeight="236512256">
            <wp:simplePos x="0" y="0"/>
            <wp:positionH relativeFrom="page">
              <wp:posOffset>1290804</wp:posOffset>
            </wp:positionH>
            <wp:positionV relativeFrom="paragraph">
              <wp:posOffset>344848</wp:posOffset>
            </wp:positionV>
            <wp:extent cx="4669559" cy="4934068"/>
            <wp:effectExtent l="0" t="0" r="0" b="0"/>
            <wp:wrapNone/>
            <wp:docPr id="129" name="image61.png"/>
            <wp:cNvGraphicFramePr>
              <a:graphicFrameLocks noChangeAspect="1"/>
            </wp:cNvGraphicFramePr>
            <a:graphic>
              <a:graphicData uri="http://schemas.openxmlformats.org/drawingml/2006/picture">
                <pic:pic>
                  <pic:nvPicPr>
                    <pic:cNvPr id="130" name="image61.png"/>
                    <pic:cNvPicPr/>
                  </pic:nvPicPr>
                  <pic:blipFill>
                    <a:blip r:embed="rId201" cstate="print"/>
                    <a:stretch>
                      <a:fillRect/>
                    </a:stretch>
                  </pic:blipFill>
                  <pic:spPr>
                    <a:xfrm>
                      <a:off x="0" y="0"/>
                      <a:ext cx="4669559" cy="4934068"/>
                    </a:xfrm>
                    <a:prstGeom prst="rect">
                      <a:avLst/>
                    </a:prstGeom>
                  </pic:spPr>
                </pic:pic>
              </a:graphicData>
            </a:graphic>
          </wp:anchor>
        </w:drawing>
      </w:r>
      <w:r>
        <w:rPr>
          <w:sz w:val="22"/>
        </w:rPr>
        <w:t>Bus assignments must be done to ensure that no route is given a disproportionate percentage of old buses or buses without amenities deemed</w:t>
      </w:r>
      <w:r>
        <w:rPr>
          <w:spacing w:val="14"/>
          <w:sz w:val="22"/>
        </w:rPr>
        <w:t> </w:t>
      </w:r>
      <w:r>
        <w:rPr>
          <w:sz w:val="22"/>
        </w:rPr>
        <w:t>desirable.</w:t>
      </w:r>
    </w:p>
    <w:p>
      <w:pPr>
        <w:spacing w:line="240" w:lineRule="auto" w:before="1"/>
        <w:rPr>
          <w:sz w:val="22"/>
        </w:rPr>
      </w:pPr>
    </w:p>
    <w:p>
      <w:pPr>
        <w:pStyle w:val="ListParagraph"/>
        <w:numPr>
          <w:ilvl w:val="0"/>
          <w:numId w:val="15"/>
        </w:numPr>
        <w:tabs>
          <w:tab w:pos="1060" w:val="left" w:leader="none"/>
        </w:tabs>
        <w:spacing w:line="240" w:lineRule="auto" w:before="0" w:after="0"/>
        <w:ind w:left="1059" w:right="976" w:hanging="360"/>
        <w:jc w:val="left"/>
        <w:rPr>
          <w:sz w:val="22"/>
        </w:rPr>
      </w:pPr>
      <w:r>
        <w:rPr>
          <w:sz w:val="22"/>
        </w:rPr>
        <w:t>In keeping with Federal Title VI guidelines bus assignments will be made without regard to the race, color or national origin of the population to be</w:t>
      </w:r>
      <w:r>
        <w:rPr>
          <w:spacing w:val="-7"/>
          <w:sz w:val="22"/>
        </w:rPr>
        <w:t> </w:t>
      </w:r>
      <w:r>
        <w:rPr>
          <w:sz w:val="22"/>
        </w:rPr>
        <w:t>served.</w:t>
      </w:r>
    </w:p>
    <w:p>
      <w:pPr>
        <w:spacing w:line="240" w:lineRule="auto" w:before="0"/>
        <w:rPr>
          <w:sz w:val="22"/>
        </w:rPr>
      </w:pPr>
    </w:p>
    <w:p>
      <w:pPr>
        <w:pStyle w:val="ListParagraph"/>
        <w:numPr>
          <w:ilvl w:val="0"/>
          <w:numId w:val="15"/>
        </w:numPr>
        <w:tabs>
          <w:tab w:pos="1060" w:val="left" w:leader="none"/>
        </w:tabs>
        <w:spacing w:line="240" w:lineRule="auto" w:before="1" w:after="0"/>
        <w:ind w:left="1059" w:right="1329" w:hanging="360"/>
        <w:jc w:val="left"/>
        <w:rPr>
          <w:sz w:val="22"/>
        </w:rPr>
      </w:pPr>
      <w:r>
        <w:rPr>
          <w:sz w:val="22"/>
        </w:rPr>
        <w:t>Buses that do not have equipment to accommodate standing passengers should not be used on routes with vehicle loads exceeding 100% of seating</w:t>
      </w:r>
      <w:r>
        <w:rPr>
          <w:spacing w:val="-11"/>
          <w:sz w:val="22"/>
        </w:rPr>
        <w:t> </w:t>
      </w:r>
      <w:r>
        <w:rPr>
          <w:sz w:val="22"/>
        </w:rPr>
        <w:t>capacity.</w:t>
      </w:r>
    </w:p>
    <w:p>
      <w:pPr>
        <w:spacing w:line="240" w:lineRule="auto" w:before="0"/>
        <w:rPr>
          <w:sz w:val="22"/>
        </w:rPr>
      </w:pPr>
    </w:p>
    <w:p>
      <w:pPr>
        <w:pStyle w:val="ListParagraph"/>
        <w:numPr>
          <w:ilvl w:val="0"/>
          <w:numId w:val="15"/>
        </w:numPr>
        <w:tabs>
          <w:tab w:pos="1060" w:val="left" w:leader="none"/>
        </w:tabs>
        <w:spacing w:line="240" w:lineRule="auto" w:before="0" w:after="0"/>
        <w:ind w:left="1059" w:right="1113" w:hanging="360"/>
        <w:jc w:val="left"/>
        <w:rPr>
          <w:sz w:val="22"/>
        </w:rPr>
      </w:pPr>
      <w:r>
        <w:rPr>
          <w:sz w:val="22"/>
        </w:rPr>
        <w:t>Over-the-road-style coaches may be assigned to intercity and suburban routes due to the extended travel distance and the extent of highway travel. As coach-style buses are phased out of the CNYRTA fleet, they will be replaced with low floor buses equipped with high-back seats to accommodate the longer trip</w:t>
      </w:r>
      <w:r>
        <w:rPr>
          <w:spacing w:val="-2"/>
          <w:sz w:val="22"/>
        </w:rPr>
        <w:t> </w:t>
      </w:r>
      <w:r>
        <w:rPr>
          <w:sz w:val="22"/>
        </w:rPr>
        <w:t>duration.</w:t>
      </w:r>
    </w:p>
    <w:p>
      <w:pPr>
        <w:spacing w:line="240" w:lineRule="auto" w:before="11"/>
        <w:rPr>
          <w:sz w:val="23"/>
        </w:rPr>
      </w:pPr>
    </w:p>
    <w:p>
      <w:pPr>
        <w:pStyle w:val="ListParagraph"/>
        <w:numPr>
          <w:ilvl w:val="0"/>
          <w:numId w:val="11"/>
        </w:numPr>
        <w:tabs>
          <w:tab w:pos="1059" w:val="left" w:leader="none"/>
          <w:tab w:pos="1060" w:val="left" w:leader="none"/>
        </w:tabs>
        <w:spacing w:line="240" w:lineRule="auto" w:before="0" w:after="0"/>
        <w:ind w:left="1060" w:right="0" w:hanging="728"/>
        <w:jc w:val="left"/>
        <w:rPr>
          <w:rFonts w:ascii="Calibri Light"/>
          <w:b w:val="0"/>
          <w:sz w:val="24"/>
        </w:rPr>
      </w:pPr>
      <w:r>
        <w:rPr>
          <w:rFonts w:ascii="Calibri Light"/>
          <w:b w:val="0"/>
          <w:sz w:val="24"/>
        </w:rPr>
        <w:t>Monitoring and Updating Service Standards and Policies</w:t>
      </w:r>
    </w:p>
    <w:p>
      <w:pPr>
        <w:pStyle w:val="BodyText"/>
        <w:spacing w:before="3"/>
        <w:rPr>
          <w:rFonts w:ascii="Calibri Light"/>
          <w:b w:val="0"/>
          <w:sz w:val="31"/>
        </w:rPr>
      </w:pPr>
    </w:p>
    <w:p>
      <w:pPr>
        <w:spacing w:line="276" w:lineRule="auto" w:before="0"/>
        <w:ind w:left="699" w:right="1047" w:firstLine="0"/>
        <w:jc w:val="left"/>
        <w:rPr>
          <w:sz w:val="22"/>
        </w:rPr>
      </w:pPr>
      <w:r>
        <w:rPr>
          <w:sz w:val="22"/>
        </w:rPr>
        <w:t>Centro routinely reviews and updates its CNYRTA Service Standards and Policies, as necessary. Anticipated updates include the addition of new counties to the Authority and significant changes to the transit system that require different quantitative standards, vehicle types, or amenities. A review of</w:t>
      </w:r>
      <w:r>
        <w:rPr>
          <w:spacing w:val="9"/>
          <w:sz w:val="22"/>
        </w:rPr>
        <w:t> </w:t>
      </w:r>
      <w:r>
        <w:rPr>
          <w:sz w:val="22"/>
        </w:rPr>
        <w:t>the</w:t>
      </w:r>
      <w:r>
        <w:rPr>
          <w:spacing w:val="11"/>
          <w:sz w:val="22"/>
        </w:rPr>
        <w:t> </w:t>
      </w:r>
      <w:r>
        <w:rPr>
          <w:sz w:val="22"/>
        </w:rPr>
        <w:t>CNYRTA</w:t>
      </w:r>
      <w:r>
        <w:rPr>
          <w:spacing w:val="12"/>
          <w:sz w:val="22"/>
        </w:rPr>
        <w:t> </w:t>
      </w:r>
      <w:r>
        <w:rPr>
          <w:sz w:val="22"/>
        </w:rPr>
        <w:t>Service</w:t>
      </w:r>
      <w:r>
        <w:rPr>
          <w:spacing w:val="15"/>
          <w:sz w:val="22"/>
        </w:rPr>
        <w:t> </w:t>
      </w:r>
      <w:r>
        <w:rPr>
          <w:sz w:val="22"/>
        </w:rPr>
        <w:t>Standards</w:t>
      </w:r>
      <w:r>
        <w:rPr>
          <w:spacing w:val="13"/>
          <w:sz w:val="22"/>
        </w:rPr>
        <w:t> </w:t>
      </w:r>
      <w:r>
        <w:rPr>
          <w:sz w:val="22"/>
        </w:rPr>
        <w:t>and</w:t>
      </w:r>
      <w:r>
        <w:rPr>
          <w:spacing w:val="6"/>
          <w:sz w:val="22"/>
        </w:rPr>
        <w:t> </w:t>
      </w:r>
      <w:r>
        <w:rPr>
          <w:sz w:val="22"/>
        </w:rPr>
        <w:t>Policies</w:t>
      </w:r>
      <w:r>
        <w:rPr>
          <w:spacing w:val="10"/>
          <w:sz w:val="22"/>
        </w:rPr>
        <w:t> </w:t>
      </w:r>
      <w:r>
        <w:rPr>
          <w:sz w:val="22"/>
        </w:rPr>
        <w:t>occurs</w:t>
      </w:r>
      <w:r>
        <w:rPr>
          <w:spacing w:val="11"/>
          <w:sz w:val="22"/>
        </w:rPr>
        <w:t> </w:t>
      </w:r>
      <w:r>
        <w:rPr>
          <w:sz w:val="22"/>
        </w:rPr>
        <w:t>with</w:t>
      </w:r>
      <w:r>
        <w:rPr>
          <w:spacing w:val="10"/>
          <w:sz w:val="22"/>
        </w:rPr>
        <w:t> </w:t>
      </w:r>
      <w:r>
        <w:rPr>
          <w:sz w:val="22"/>
        </w:rPr>
        <w:t>each</w:t>
      </w:r>
      <w:r>
        <w:rPr>
          <w:spacing w:val="10"/>
          <w:sz w:val="22"/>
        </w:rPr>
        <w:t> </w:t>
      </w:r>
      <w:r>
        <w:rPr>
          <w:sz w:val="22"/>
        </w:rPr>
        <w:t>triennial</w:t>
      </w:r>
      <w:r>
        <w:rPr>
          <w:spacing w:val="10"/>
          <w:sz w:val="22"/>
        </w:rPr>
        <w:t> </w:t>
      </w:r>
      <w:r>
        <w:rPr>
          <w:sz w:val="22"/>
        </w:rPr>
        <w:t>Title</w:t>
      </w:r>
      <w:r>
        <w:rPr>
          <w:spacing w:val="11"/>
          <w:sz w:val="22"/>
        </w:rPr>
        <w:t> </w:t>
      </w:r>
      <w:r>
        <w:rPr>
          <w:sz w:val="22"/>
        </w:rPr>
        <w:t>VI</w:t>
      </w:r>
      <w:r>
        <w:rPr>
          <w:spacing w:val="9"/>
          <w:sz w:val="22"/>
        </w:rPr>
        <w:t> </w:t>
      </w:r>
      <w:r>
        <w:rPr>
          <w:sz w:val="22"/>
        </w:rPr>
        <w:t>program</w:t>
      </w:r>
      <w:r>
        <w:rPr>
          <w:spacing w:val="13"/>
          <w:sz w:val="22"/>
        </w:rPr>
        <w:t> </w:t>
      </w:r>
      <w:r>
        <w:rPr>
          <w:sz w:val="22"/>
        </w:rPr>
        <w:t>submission.</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18"/>
        </w:rPr>
      </w:pPr>
      <w:r>
        <w:rPr/>
        <w:pict>
          <v:shape style="position:absolute;margin-left:73.560005pt;margin-top:13.729803pt;width:466.45pt;height:.1pt;mso-position-horizontal-relative:page;mso-position-vertical-relative:paragraph;z-index:-251422720;mso-wrap-distance-left:0;mso-wrap-distance-right:0" coordorigin="1471,275" coordsize="9329,0" path="m1471,275l10800,275e" filled="false" stroked="true" strokeweight="1.44pt" strokecolor="#006fbf">
            <v:path arrowok="t"/>
            <v:stroke dashstyle="solid"/>
            <w10:wrap type="topAndBottom"/>
          </v:shape>
        </w:pict>
      </w:r>
    </w:p>
    <w:p>
      <w:pPr>
        <w:spacing w:after="0" w:line="240" w:lineRule="auto"/>
        <w:rPr>
          <w:sz w:val="18"/>
        </w:rPr>
        <w:sectPr>
          <w:headerReference w:type="default" r:id="rId212"/>
          <w:footerReference w:type="default" r:id="rId213"/>
          <w:pgSz w:w="12240" w:h="15840"/>
          <w:pgMar w:header="0" w:footer="872" w:top="700" w:bottom="1060" w:left="740" w:right="560"/>
          <w:pgNumType w:start="6"/>
        </w:sectPr>
      </w:pPr>
    </w:p>
    <w:p>
      <w:pPr>
        <w:spacing w:before="84"/>
        <w:ind w:left="4187" w:right="2219" w:firstLine="0"/>
        <w:jc w:val="center"/>
        <w:rPr>
          <w:rFonts w:ascii="Verdana"/>
          <w:b/>
          <w:sz w:val="22"/>
        </w:rPr>
      </w:pPr>
      <w:bookmarkStart w:name="CAB Report 1st quarter FY2026" w:id="55"/>
      <w:bookmarkEnd w:id="55"/>
      <w:r>
        <w:rPr/>
      </w:r>
      <w:r>
        <w:rPr>
          <w:rFonts w:ascii="Verdana"/>
          <w:b/>
          <w:sz w:val="22"/>
        </w:rPr>
        <w:t>Consolidated</w:t>
      </w:r>
    </w:p>
    <w:p>
      <w:pPr>
        <w:spacing w:line="247" w:lineRule="auto" w:before="11"/>
        <w:ind w:left="6666" w:right="3174" w:hanging="860"/>
        <w:jc w:val="left"/>
        <w:rPr>
          <w:rFonts w:ascii="Verdana"/>
          <w:b/>
          <w:sz w:val="22"/>
        </w:rPr>
      </w:pPr>
      <w:r>
        <w:rPr>
          <w:rFonts w:ascii="Verdana"/>
          <w:b/>
          <w:sz w:val="22"/>
        </w:rPr>
        <w:t>SPECIALIZED TRANSPORTATION RIDERSHIP 1st QUARTER FY26 2025-2026</w:t>
      </w:r>
    </w:p>
    <w:p>
      <w:pPr>
        <w:pStyle w:val="BodyText"/>
        <w:spacing w:before="11"/>
        <w:rPr>
          <w:rFonts w:ascii="Verdana"/>
          <w:b/>
          <w:sz w:val="19"/>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54"/>
        <w:gridCol w:w="1784"/>
        <w:gridCol w:w="1767"/>
        <w:gridCol w:w="1736"/>
        <w:gridCol w:w="1453"/>
        <w:gridCol w:w="1453"/>
        <w:gridCol w:w="1295"/>
        <w:gridCol w:w="1137"/>
      </w:tblGrid>
      <w:tr>
        <w:trPr>
          <w:trHeight w:val="524" w:hRule="atLeast"/>
        </w:trPr>
        <w:tc>
          <w:tcPr>
            <w:tcW w:w="4054" w:type="dxa"/>
            <w:tcBorders>
              <w:top w:val="nil"/>
              <w:left w:val="nil"/>
            </w:tcBorders>
          </w:tcPr>
          <w:p>
            <w:pPr>
              <w:pStyle w:val="TableParagraph"/>
              <w:rPr>
                <w:rFonts w:ascii="Times New Roman"/>
                <w:sz w:val="20"/>
              </w:rPr>
            </w:pPr>
          </w:p>
        </w:tc>
        <w:tc>
          <w:tcPr>
            <w:tcW w:w="1784" w:type="dxa"/>
            <w:shd w:val="clear" w:color="auto" w:fill="A5A5A5"/>
          </w:tcPr>
          <w:p>
            <w:pPr>
              <w:pStyle w:val="TableParagraph"/>
              <w:spacing w:line="247" w:lineRule="exact"/>
              <w:ind w:left="517"/>
              <w:rPr>
                <w:rFonts w:ascii="Verdana"/>
                <w:b/>
                <w:sz w:val="22"/>
              </w:rPr>
            </w:pPr>
            <w:r>
              <w:rPr>
                <w:rFonts w:ascii="Verdana"/>
                <w:b/>
                <w:sz w:val="22"/>
              </w:rPr>
              <w:t>APRIL</w:t>
            </w:r>
          </w:p>
          <w:p>
            <w:pPr>
              <w:pStyle w:val="TableParagraph"/>
              <w:spacing w:line="249" w:lineRule="exact" w:before="8"/>
              <w:ind w:left="587"/>
              <w:rPr>
                <w:rFonts w:ascii="Verdana"/>
                <w:b/>
                <w:sz w:val="22"/>
              </w:rPr>
            </w:pPr>
            <w:r>
              <w:rPr>
                <w:rFonts w:ascii="Verdana"/>
                <w:b/>
                <w:sz w:val="22"/>
              </w:rPr>
              <w:t>2025</w:t>
            </w:r>
          </w:p>
        </w:tc>
        <w:tc>
          <w:tcPr>
            <w:tcW w:w="1767" w:type="dxa"/>
            <w:shd w:val="clear" w:color="auto" w:fill="A5A5A5"/>
          </w:tcPr>
          <w:p>
            <w:pPr>
              <w:pStyle w:val="TableParagraph"/>
              <w:spacing w:line="247" w:lineRule="exact"/>
              <w:ind w:left="480" w:right="445"/>
              <w:jc w:val="center"/>
              <w:rPr>
                <w:rFonts w:ascii="Verdana"/>
                <w:b/>
                <w:sz w:val="22"/>
              </w:rPr>
            </w:pPr>
            <w:r>
              <w:rPr>
                <w:rFonts w:ascii="Verdana"/>
                <w:b/>
                <w:sz w:val="22"/>
              </w:rPr>
              <w:t>MAY</w:t>
            </w:r>
          </w:p>
          <w:p>
            <w:pPr>
              <w:pStyle w:val="TableParagraph"/>
              <w:spacing w:line="249" w:lineRule="exact" w:before="8"/>
              <w:ind w:left="480" w:right="442"/>
              <w:jc w:val="center"/>
              <w:rPr>
                <w:rFonts w:ascii="Verdana"/>
                <w:b/>
                <w:sz w:val="22"/>
              </w:rPr>
            </w:pPr>
            <w:r>
              <w:rPr>
                <w:rFonts w:ascii="Verdana"/>
                <w:b/>
                <w:sz w:val="22"/>
              </w:rPr>
              <w:t>2025</w:t>
            </w:r>
          </w:p>
        </w:tc>
        <w:tc>
          <w:tcPr>
            <w:tcW w:w="1736" w:type="dxa"/>
            <w:shd w:val="clear" w:color="auto" w:fill="A5A5A5"/>
          </w:tcPr>
          <w:p>
            <w:pPr>
              <w:pStyle w:val="TableParagraph"/>
              <w:spacing w:line="247" w:lineRule="exact"/>
              <w:ind w:left="554"/>
              <w:rPr>
                <w:rFonts w:ascii="Verdana"/>
                <w:b/>
                <w:sz w:val="22"/>
              </w:rPr>
            </w:pPr>
            <w:r>
              <w:rPr>
                <w:rFonts w:ascii="Verdana"/>
                <w:b/>
                <w:sz w:val="22"/>
              </w:rPr>
              <w:t>JUNE</w:t>
            </w:r>
          </w:p>
          <w:p>
            <w:pPr>
              <w:pStyle w:val="TableParagraph"/>
              <w:spacing w:line="249" w:lineRule="exact" w:before="8"/>
              <w:ind w:left="561"/>
              <w:rPr>
                <w:rFonts w:ascii="Verdana"/>
                <w:b/>
                <w:sz w:val="22"/>
              </w:rPr>
            </w:pPr>
            <w:r>
              <w:rPr>
                <w:rFonts w:ascii="Verdana"/>
                <w:b/>
                <w:sz w:val="22"/>
              </w:rPr>
              <w:t>2025</w:t>
            </w:r>
          </w:p>
        </w:tc>
        <w:tc>
          <w:tcPr>
            <w:tcW w:w="1453" w:type="dxa"/>
            <w:shd w:val="clear" w:color="auto" w:fill="A5A5A5"/>
          </w:tcPr>
          <w:p>
            <w:pPr>
              <w:pStyle w:val="TableParagraph"/>
              <w:spacing w:line="247" w:lineRule="exact"/>
              <w:ind w:left="330"/>
              <w:rPr>
                <w:rFonts w:ascii="Verdana"/>
                <w:b/>
                <w:sz w:val="22"/>
              </w:rPr>
            </w:pPr>
            <w:r>
              <w:rPr>
                <w:rFonts w:ascii="Verdana"/>
                <w:b/>
                <w:sz w:val="22"/>
              </w:rPr>
              <w:t>TOTAL</w:t>
            </w:r>
          </w:p>
          <w:p>
            <w:pPr>
              <w:pStyle w:val="TableParagraph"/>
              <w:spacing w:line="249" w:lineRule="exact" w:before="8"/>
              <w:ind w:left="208"/>
              <w:rPr>
                <w:rFonts w:ascii="Verdana"/>
                <w:b/>
                <w:sz w:val="22"/>
              </w:rPr>
            </w:pPr>
            <w:r>
              <w:rPr>
                <w:rFonts w:ascii="Verdana"/>
                <w:b/>
                <w:sz w:val="22"/>
              </w:rPr>
              <w:t>1ST QTR</w:t>
            </w:r>
          </w:p>
        </w:tc>
        <w:tc>
          <w:tcPr>
            <w:tcW w:w="1453" w:type="dxa"/>
            <w:shd w:val="clear" w:color="auto" w:fill="A5A5A5"/>
          </w:tcPr>
          <w:p>
            <w:pPr>
              <w:pStyle w:val="TableParagraph"/>
              <w:spacing w:line="247" w:lineRule="exact"/>
              <w:ind w:left="177" w:right="145"/>
              <w:jc w:val="center"/>
              <w:rPr>
                <w:rFonts w:ascii="Verdana"/>
                <w:b/>
                <w:sz w:val="22"/>
              </w:rPr>
            </w:pPr>
            <w:r>
              <w:rPr>
                <w:rFonts w:ascii="Verdana"/>
                <w:b/>
                <w:sz w:val="22"/>
              </w:rPr>
              <w:t>Last Qtr.</w:t>
            </w:r>
          </w:p>
          <w:p>
            <w:pPr>
              <w:pStyle w:val="TableParagraph"/>
              <w:spacing w:line="249" w:lineRule="exact" w:before="8"/>
              <w:ind w:left="176" w:right="145"/>
              <w:jc w:val="center"/>
              <w:rPr>
                <w:rFonts w:ascii="Verdana"/>
                <w:b/>
                <w:sz w:val="22"/>
              </w:rPr>
            </w:pPr>
            <w:r>
              <w:rPr>
                <w:rFonts w:ascii="Verdana"/>
                <w:b/>
                <w:sz w:val="22"/>
              </w:rPr>
              <w:t>FY 25</w:t>
            </w:r>
          </w:p>
        </w:tc>
        <w:tc>
          <w:tcPr>
            <w:tcW w:w="1295" w:type="dxa"/>
            <w:shd w:val="clear" w:color="auto" w:fill="A5A5A5"/>
          </w:tcPr>
          <w:p>
            <w:pPr>
              <w:pStyle w:val="TableParagraph"/>
              <w:spacing w:line="228" w:lineRule="exact"/>
              <w:ind w:left="184" w:right="173"/>
              <w:jc w:val="center"/>
              <w:rPr>
                <w:rFonts w:ascii="Verdana"/>
                <w:b/>
                <w:sz w:val="22"/>
              </w:rPr>
            </w:pPr>
            <w:r>
              <w:rPr>
                <w:rFonts w:ascii="Verdana"/>
                <w:b/>
                <w:sz w:val="22"/>
              </w:rPr>
              <w:t>PY 1st</w:t>
            </w:r>
          </w:p>
          <w:p>
            <w:pPr>
              <w:pStyle w:val="TableParagraph"/>
              <w:spacing w:line="251" w:lineRule="exact" w:before="25"/>
              <w:ind w:left="187" w:right="173"/>
              <w:jc w:val="center"/>
              <w:rPr>
                <w:rFonts w:ascii="Verdana"/>
                <w:b/>
                <w:sz w:val="22"/>
              </w:rPr>
            </w:pPr>
            <w:r>
              <w:rPr>
                <w:rFonts w:ascii="Verdana"/>
                <w:b/>
                <w:sz w:val="22"/>
              </w:rPr>
              <w:t>QTR</w:t>
            </w:r>
          </w:p>
        </w:tc>
        <w:tc>
          <w:tcPr>
            <w:tcW w:w="1137" w:type="dxa"/>
            <w:shd w:val="clear" w:color="auto" w:fill="A5A5A5"/>
          </w:tcPr>
          <w:p>
            <w:pPr>
              <w:pStyle w:val="TableParagraph"/>
              <w:spacing w:line="247" w:lineRule="exact"/>
              <w:ind w:left="25"/>
              <w:jc w:val="center"/>
              <w:rPr>
                <w:rFonts w:ascii="Verdana"/>
                <w:b/>
                <w:sz w:val="22"/>
              </w:rPr>
            </w:pPr>
            <w:r>
              <w:rPr>
                <w:rFonts w:ascii="Verdana"/>
                <w:b/>
                <w:w w:val="100"/>
                <w:sz w:val="22"/>
              </w:rPr>
              <w:t>%</w:t>
            </w:r>
          </w:p>
          <w:p>
            <w:pPr>
              <w:pStyle w:val="TableParagraph"/>
              <w:spacing w:line="249" w:lineRule="exact" w:before="8"/>
              <w:ind w:left="172" w:right="147"/>
              <w:jc w:val="center"/>
              <w:rPr>
                <w:rFonts w:ascii="Verdana"/>
                <w:b/>
                <w:sz w:val="22"/>
              </w:rPr>
            </w:pPr>
            <w:r>
              <w:rPr>
                <w:rFonts w:ascii="Verdana"/>
                <w:b/>
                <w:sz w:val="22"/>
              </w:rPr>
              <w:t>PY</w:t>
            </w:r>
          </w:p>
        </w:tc>
      </w:tr>
      <w:tr>
        <w:trPr>
          <w:trHeight w:val="255" w:hRule="atLeast"/>
        </w:trPr>
        <w:tc>
          <w:tcPr>
            <w:tcW w:w="4054" w:type="dxa"/>
            <w:shd w:val="clear" w:color="auto" w:fill="A5A5A5"/>
          </w:tcPr>
          <w:p>
            <w:pPr>
              <w:pStyle w:val="TableParagraph"/>
              <w:spacing w:line="236" w:lineRule="exact"/>
              <w:ind w:left="49"/>
              <w:rPr>
                <w:rFonts w:ascii="Verdana"/>
                <w:b/>
                <w:sz w:val="22"/>
              </w:rPr>
            </w:pPr>
            <w:r>
              <w:rPr>
                <w:rFonts w:ascii="Verdana"/>
                <w:b/>
                <w:sz w:val="22"/>
              </w:rPr>
              <w:t>RIDES REQUESTED</w:t>
            </w:r>
          </w:p>
        </w:tc>
        <w:tc>
          <w:tcPr>
            <w:tcW w:w="1784" w:type="dxa"/>
          </w:tcPr>
          <w:p>
            <w:pPr>
              <w:pStyle w:val="TableParagraph"/>
              <w:spacing w:line="236" w:lineRule="exact"/>
              <w:ind w:left="491" w:right="453"/>
              <w:jc w:val="center"/>
              <w:rPr>
                <w:rFonts w:ascii="Verdana"/>
                <w:sz w:val="22"/>
              </w:rPr>
            </w:pPr>
            <w:r>
              <w:rPr>
                <w:rFonts w:ascii="Verdana"/>
                <w:sz w:val="22"/>
              </w:rPr>
              <w:t>23,122</w:t>
            </w:r>
          </w:p>
        </w:tc>
        <w:tc>
          <w:tcPr>
            <w:tcW w:w="1767" w:type="dxa"/>
          </w:tcPr>
          <w:p>
            <w:pPr>
              <w:pStyle w:val="TableParagraph"/>
              <w:spacing w:line="236" w:lineRule="exact"/>
              <w:ind w:left="480" w:right="446"/>
              <w:jc w:val="center"/>
              <w:rPr>
                <w:rFonts w:ascii="Verdana"/>
                <w:sz w:val="22"/>
              </w:rPr>
            </w:pPr>
            <w:r>
              <w:rPr>
                <w:rFonts w:ascii="Verdana"/>
                <w:sz w:val="22"/>
              </w:rPr>
              <w:t>22,713</w:t>
            </w:r>
          </w:p>
        </w:tc>
        <w:tc>
          <w:tcPr>
            <w:tcW w:w="1736" w:type="dxa"/>
          </w:tcPr>
          <w:p>
            <w:pPr>
              <w:pStyle w:val="TableParagraph"/>
              <w:spacing w:line="236" w:lineRule="exact"/>
              <w:ind w:left="465" w:right="430"/>
              <w:jc w:val="center"/>
              <w:rPr>
                <w:rFonts w:ascii="Verdana"/>
                <w:sz w:val="22"/>
              </w:rPr>
            </w:pPr>
            <w:r>
              <w:rPr>
                <w:rFonts w:ascii="Verdana"/>
                <w:sz w:val="22"/>
              </w:rPr>
              <w:t>22,268</w:t>
            </w:r>
          </w:p>
        </w:tc>
        <w:tc>
          <w:tcPr>
            <w:tcW w:w="1453" w:type="dxa"/>
          </w:tcPr>
          <w:p>
            <w:pPr>
              <w:pStyle w:val="TableParagraph"/>
              <w:spacing w:line="236" w:lineRule="exact"/>
              <w:ind w:left="177" w:right="145"/>
              <w:jc w:val="center"/>
              <w:rPr>
                <w:rFonts w:ascii="Verdana"/>
                <w:b/>
                <w:sz w:val="22"/>
              </w:rPr>
            </w:pPr>
            <w:r>
              <w:rPr>
                <w:rFonts w:ascii="Verdana"/>
                <w:b/>
                <w:sz w:val="22"/>
              </w:rPr>
              <w:t>68,103</w:t>
            </w:r>
          </w:p>
        </w:tc>
        <w:tc>
          <w:tcPr>
            <w:tcW w:w="1453" w:type="dxa"/>
          </w:tcPr>
          <w:p>
            <w:pPr>
              <w:pStyle w:val="TableParagraph"/>
              <w:spacing w:line="236" w:lineRule="exact"/>
              <w:ind w:left="175" w:right="145"/>
              <w:jc w:val="center"/>
              <w:rPr>
                <w:rFonts w:ascii="Verdana"/>
                <w:b/>
                <w:sz w:val="22"/>
              </w:rPr>
            </w:pPr>
            <w:r>
              <w:rPr>
                <w:rFonts w:ascii="Verdana"/>
                <w:b/>
                <w:sz w:val="22"/>
              </w:rPr>
              <w:t>63,542</w:t>
            </w:r>
          </w:p>
        </w:tc>
        <w:tc>
          <w:tcPr>
            <w:tcW w:w="1295" w:type="dxa"/>
          </w:tcPr>
          <w:p>
            <w:pPr>
              <w:pStyle w:val="TableParagraph"/>
              <w:spacing w:line="236" w:lineRule="exact"/>
              <w:ind w:left="200" w:right="173"/>
              <w:jc w:val="center"/>
              <w:rPr>
                <w:rFonts w:ascii="Verdana"/>
                <w:b/>
                <w:sz w:val="22"/>
              </w:rPr>
            </w:pPr>
            <w:r>
              <w:rPr>
                <w:rFonts w:ascii="Verdana"/>
                <w:b/>
                <w:sz w:val="22"/>
              </w:rPr>
              <w:t>62,181</w:t>
            </w:r>
          </w:p>
        </w:tc>
        <w:tc>
          <w:tcPr>
            <w:tcW w:w="1137" w:type="dxa"/>
          </w:tcPr>
          <w:p>
            <w:pPr>
              <w:pStyle w:val="TableParagraph"/>
              <w:spacing w:line="236" w:lineRule="exact"/>
              <w:ind w:left="171" w:right="147"/>
              <w:jc w:val="center"/>
              <w:rPr>
                <w:rFonts w:ascii="Verdana"/>
                <w:sz w:val="22"/>
              </w:rPr>
            </w:pPr>
            <w:r>
              <w:rPr>
                <w:rFonts w:ascii="Verdana"/>
                <w:sz w:val="22"/>
              </w:rPr>
              <w:t>10%</w:t>
            </w:r>
          </w:p>
        </w:tc>
      </w:tr>
      <w:tr>
        <w:trPr>
          <w:trHeight w:val="256" w:hRule="atLeast"/>
        </w:trPr>
        <w:tc>
          <w:tcPr>
            <w:tcW w:w="4054" w:type="dxa"/>
            <w:shd w:val="clear" w:color="auto" w:fill="A5A5A5"/>
          </w:tcPr>
          <w:p>
            <w:pPr>
              <w:pStyle w:val="TableParagraph"/>
              <w:spacing w:line="236" w:lineRule="exact"/>
              <w:ind w:left="49"/>
              <w:rPr>
                <w:rFonts w:ascii="Verdana"/>
                <w:b/>
                <w:sz w:val="22"/>
              </w:rPr>
            </w:pPr>
            <w:r>
              <w:rPr>
                <w:rFonts w:ascii="Verdana"/>
                <w:b/>
                <w:sz w:val="22"/>
              </w:rPr>
              <w:t>INDIVIDUAL RIDERS</w:t>
            </w:r>
          </w:p>
        </w:tc>
        <w:tc>
          <w:tcPr>
            <w:tcW w:w="1784" w:type="dxa"/>
          </w:tcPr>
          <w:p>
            <w:pPr>
              <w:pStyle w:val="TableParagraph"/>
              <w:spacing w:line="236" w:lineRule="exact"/>
              <w:ind w:left="491" w:right="451"/>
              <w:jc w:val="center"/>
              <w:rPr>
                <w:rFonts w:ascii="Verdana"/>
                <w:sz w:val="22"/>
              </w:rPr>
            </w:pPr>
            <w:r>
              <w:rPr>
                <w:rFonts w:ascii="Verdana"/>
                <w:sz w:val="22"/>
              </w:rPr>
              <w:t>1,438</w:t>
            </w:r>
          </w:p>
        </w:tc>
        <w:tc>
          <w:tcPr>
            <w:tcW w:w="1767" w:type="dxa"/>
          </w:tcPr>
          <w:p>
            <w:pPr>
              <w:pStyle w:val="TableParagraph"/>
              <w:spacing w:line="236" w:lineRule="exact"/>
              <w:ind w:left="480" w:right="444"/>
              <w:jc w:val="center"/>
              <w:rPr>
                <w:rFonts w:ascii="Verdana"/>
                <w:sz w:val="22"/>
              </w:rPr>
            </w:pPr>
            <w:r>
              <w:rPr>
                <w:rFonts w:ascii="Verdana"/>
                <w:sz w:val="22"/>
              </w:rPr>
              <w:t>1,447</w:t>
            </w:r>
          </w:p>
        </w:tc>
        <w:tc>
          <w:tcPr>
            <w:tcW w:w="1736" w:type="dxa"/>
          </w:tcPr>
          <w:p>
            <w:pPr>
              <w:pStyle w:val="TableParagraph"/>
              <w:spacing w:line="236" w:lineRule="exact"/>
              <w:ind w:left="465" w:right="428"/>
              <w:jc w:val="center"/>
              <w:rPr>
                <w:rFonts w:ascii="Verdana"/>
                <w:sz w:val="22"/>
              </w:rPr>
            </w:pPr>
            <w:r>
              <w:rPr>
                <w:rFonts w:ascii="Verdana"/>
                <w:sz w:val="22"/>
              </w:rPr>
              <w:t>1,511</w:t>
            </w:r>
          </w:p>
        </w:tc>
        <w:tc>
          <w:tcPr>
            <w:tcW w:w="1453" w:type="dxa"/>
          </w:tcPr>
          <w:p>
            <w:pPr>
              <w:pStyle w:val="TableParagraph"/>
              <w:spacing w:line="236" w:lineRule="exact"/>
              <w:ind w:left="177" w:right="144"/>
              <w:jc w:val="center"/>
              <w:rPr>
                <w:rFonts w:ascii="Verdana"/>
                <w:b/>
                <w:sz w:val="22"/>
              </w:rPr>
            </w:pPr>
            <w:r>
              <w:rPr>
                <w:rFonts w:ascii="Verdana"/>
                <w:b/>
                <w:sz w:val="22"/>
              </w:rPr>
              <w:t>1,465</w:t>
            </w:r>
          </w:p>
        </w:tc>
        <w:tc>
          <w:tcPr>
            <w:tcW w:w="1453" w:type="dxa"/>
          </w:tcPr>
          <w:p>
            <w:pPr>
              <w:pStyle w:val="TableParagraph"/>
              <w:spacing w:line="236" w:lineRule="exact"/>
              <w:ind w:left="176" w:right="145"/>
              <w:jc w:val="center"/>
              <w:rPr>
                <w:rFonts w:ascii="Verdana"/>
                <w:b/>
                <w:sz w:val="22"/>
              </w:rPr>
            </w:pPr>
            <w:r>
              <w:rPr>
                <w:rFonts w:ascii="Verdana"/>
                <w:b/>
                <w:sz w:val="22"/>
              </w:rPr>
              <w:t>1,401</w:t>
            </w:r>
          </w:p>
        </w:tc>
        <w:tc>
          <w:tcPr>
            <w:tcW w:w="1295" w:type="dxa"/>
          </w:tcPr>
          <w:p>
            <w:pPr>
              <w:pStyle w:val="TableParagraph"/>
              <w:spacing w:line="236" w:lineRule="exact"/>
              <w:ind w:left="200" w:right="172"/>
              <w:jc w:val="center"/>
              <w:rPr>
                <w:rFonts w:ascii="Verdana"/>
                <w:b/>
                <w:sz w:val="22"/>
              </w:rPr>
            </w:pPr>
            <w:r>
              <w:rPr>
                <w:rFonts w:ascii="Verdana"/>
                <w:b/>
                <w:sz w:val="22"/>
              </w:rPr>
              <w:t>1,401</w:t>
            </w:r>
          </w:p>
        </w:tc>
        <w:tc>
          <w:tcPr>
            <w:tcW w:w="1137" w:type="dxa"/>
          </w:tcPr>
          <w:p>
            <w:pPr>
              <w:pStyle w:val="TableParagraph"/>
              <w:spacing w:line="236" w:lineRule="exact"/>
              <w:ind w:left="173" w:right="147"/>
              <w:jc w:val="center"/>
              <w:rPr>
                <w:rFonts w:ascii="Verdana"/>
                <w:sz w:val="22"/>
              </w:rPr>
            </w:pPr>
            <w:r>
              <w:rPr>
                <w:rFonts w:ascii="Verdana"/>
                <w:sz w:val="22"/>
              </w:rPr>
              <w:t>5%</w:t>
            </w:r>
          </w:p>
        </w:tc>
      </w:tr>
      <w:tr>
        <w:trPr>
          <w:trHeight w:val="258" w:hRule="atLeast"/>
        </w:trPr>
        <w:tc>
          <w:tcPr>
            <w:tcW w:w="4054" w:type="dxa"/>
            <w:tcBorders>
              <w:bottom w:val="nil"/>
            </w:tcBorders>
          </w:tcPr>
          <w:p>
            <w:pPr>
              <w:pStyle w:val="TableParagraph"/>
              <w:spacing w:line="238" w:lineRule="exact"/>
              <w:ind w:left="45"/>
              <w:rPr>
                <w:rFonts w:ascii="Verdana"/>
                <w:sz w:val="22"/>
              </w:rPr>
            </w:pPr>
            <w:r>
              <w:rPr>
                <w:rFonts w:ascii="Verdana"/>
                <w:sz w:val="22"/>
              </w:rPr>
              <w:t>Rides Breakdown:</w:t>
            </w:r>
          </w:p>
        </w:tc>
        <w:tc>
          <w:tcPr>
            <w:tcW w:w="1784" w:type="dxa"/>
            <w:tcBorders>
              <w:bottom w:val="nil"/>
            </w:tcBorders>
          </w:tcPr>
          <w:p>
            <w:pPr>
              <w:pStyle w:val="TableParagraph"/>
              <w:rPr>
                <w:rFonts w:ascii="Times New Roman"/>
                <w:sz w:val="18"/>
              </w:rPr>
            </w:pPr>
          </w:p>
        </w:tc>
        <w:tc>
          <w:tcPr>
            <w:tcW w:w="1767" w:type="dxa"/>
            <w:tcBorders>
              <w:bottom w:val="nil"/>
            </w:tcBorders>
          </w:tcPr>
          <w:p>
            <w:pPr>
              <w:pStyle w:val="TableParagraph"/>
              <w:rPr>
                <w:rFonts w:ascii="Times New Roman"/>
                <w:sz w:val="18"/>
              </w:rPr>
            </w:pPr>
          </w:p>
        </w:tc>
        <w:tc>
          <w:tcPr>
            <w:tcW w:w="1736" w:type="dxa"/>
            <w:tcBorders>
              <w:bottom w:val="nil"/>
            </w:tcBorders>
          </w:tcPr>
          <w:p>
            <w:pPr>
              <w:pStyle w:val="TableParagraph"/>
              <w:rPr>
                <w:rFonts w:ascii="Times New Roman"/>
                <w:sz w:val="18"/>
              </w:rPr>
            </w:pPr>
          </w:p>
        </w:tc>
        <w:tc>
          <w:tcPr>
            <w:tcW w:w="1453" w:type="dxa"/>
            <w:tcBorders>
              <w:bottom w:val="nil"/>
            </w:tcBorders>
          </w:tcPr>
          <w:p>
            <w:pPr>
              <w:pStyle w:val="TableParagraph"/>
              <w:rPr>
                <w:rFonts w:ascii="Times New Roman"/>
                <w:sz w:val="18"/>
              </w:rPr>
            </w:pPr>
          </w:p>
        </w:tc>
        <w:tc>
          <w:tcPr>
            <w:tcW w:w="1453" w:type="dxa"/>
            <w:tcBorders>
              <w:bottom w:val="nil"/>
            </w:tcBorders>
          </w:tcPr>
          <w:p>
            <w:pPr>
              <w:pStyle w:val="TableParagraph"/>
              <w:rPr>
                <w:rFonts w:ascii="Times New Roman"/>
                <w:sz w:val="18"/>
              </w:rPr>
            </w:pPr>
          </w:p>
        </w:tc>
        <w:tc>
          <w:tcPr>
            <w:tcW w:w="1295" w:type="dxa"/>
            <w:tcBorders>
              <w:bottom w:val="nil"/>
            </w:tcBorders>
          </w:tcPr>
          <w:p>
            <w:pPr>
              <w:pStyle w:val="TableParagraph"/>
              <w:rPr>
                <w:rFonts w:ascii="Times New Roman"/>
                <w:sz w:val="18"/>
              </w:rPr>
            </w:pPr>
          </w:p>
        </w:tc>
        <w:tc>
          <w:tcPr>
            <w:tcW w:w="1137" w:type="dxa"/>
            <w:tcBorders>
              <w:bottom w:val="nil"/>
            </w:tcBorders>
          </w:tcPr>
          <w:p>
            <w:pPr>
              <w:pStyle w:val="TableParagraph"/>
              <w:rPr>
                <w:rFonts w:ascii="Times New Roman"/>
                <w:sz w:val="18"/>
              </w:rPr>
            </w:pPr>
          </w:p>
        </w:tc>
      </w:tr>
      <w:tr>
        <w:trPr>
          <w:trHeight w:val="275" w:hRule="atLeast"/>
        </w:trPr>
        <w:tc>
          <w:tcPr>
            <w:tcW w:w="4054" w:type="dxa"/>
            <w:tcBorders>
              <w:top w:val="nil"/>
              <w:bottom w:val="nil"/>
            </w:tcBorders>
          </w:tcPr>
          <w:p>
            <w:pPr>
              <w:pStyle w:val="TableParagraph"/>
              <w:spacing w:line="251" w:lineRule="exact" w:before="4"/>
              <w:ind w:left="45"/>
              <w:rPr>
                <w:rFonts w:ascii="Verdana"/>
                <w:sz w:val="22"/>
              </w:rPr>
            </w:pPr>
            <w:r>
              <w:rPr>
                <w:rFonts w:ascii="Verdana"/>
                <w:sz w:val="22"/>
              </w:rPr>
              <w:t>Paratransit Rides</w:t>
            </w:r>
          </w:p>
        </w:tc>
        <w:tc>
          <w:tcPr>
            <w:tcW w:w="1784" w:type="dxa"/>
            <w:tcBorders>
              <w:top w:val="nil"/>
              <w:bottom w:val="nil"/>
            </w:tcBorders>
          </w:tcPr>
          <w:p>
            <w:pPr>
              <w:pStyle w:val="TableParagraph"/>
              <w:spacing w:line="251" w:lineRule="exact" w:before="4"/>
              <w:ind w:left="491" w:right="453"/>
              <w:jc w:val="center"/>
              <w:rPr>
                <w:rFonts w:ascii="Verdana"/>
                <w:sz w:val="22"/>
              </w:rPr>
            </w:pPr>
            <w:r>
              <w:rPr>
                <w:rFonts w:ascii="Verdana"/>
                <w:sz w:val="22"/>
              </w:rPr>
              <w:t>17,076</w:t>
            </w:r>
          </w:p>
        </w:tc>
        <w:tc>
          <w:tcPr>
            <w:tcW w:w="1767" w:type="dxa"/>
            <w:tcBorders>
              <w:top w:val="nil"/>
              <w:bottom w:val="nil"/>
            </w:tcBorders>
          </w:tcPr>
          <w:p>
            <w:pPr>
              <w:pStyle w:val="TableParagraph"/>
              <w:spacing w:line="251" w:lineRule="exact" w:before="4"/>
              <w:ind w:left="480" w:right="446"/>
              <w:jc w:val="center"/>
              <w:rPr>
                <w:rFonts w:ascii="Verdana"/>
                <w:sz w:val="22"/>
              </w:rPr>
            </w:pPr>
            <w:r>
              <w:rPr>
                <w:rFonts w:ascii="Verdana"/>
                <w:sz w:val="22"/>
              </w:rPr>
              <w:t>16,694</w:t>
            </w:r>
          </w:p>
        </w:tc>
        <w:tc>
          <w:tcPr>
            <w:tcW w:w="1736" w:type="dxa"/>
            <w:tcBorders>
              <w:top w:val="nil"/>
              <w:bottom w:val="nil"/>
            </w:tcBorders>
          </w:tcPr>
          <w:p>
            <w:pPr>
              <w:pStyle w:val="TableParagraph"/>
              <w:spacing w:line="251" w:lineRule="exact" w:before="4"/>
              <w:ind w:left="465" w:right="430"/>
              <w:jc w:val="center"/>
              <w:rPr>
                <w:rFonts w:ascii="Verdana"/>
                <w:sz w:val="22"/>
              </w:rPr>
            </w:pPr>
            <w:r>
              <w:rPr>
                <w:rFonts w:ascii="Verdana"/>
                <w:sz w:val="22"/>
              </w:rPr>
              <w:t>16,849</w:t>
            </w:r>
          </w:p>
        </w:tc>
        <w:tc>
          <w:tcPr>
            <w:tcW w:w="1453" w:type="dxa"/>
            <w:tcBorders>
              <w:top w:val="nil"/>
              <w:bottom w:val="nil"/>
            </w:tcBorders>
          </w:tcPr>
          <w:p>
            <w:pPr>
              <w:pStyle w:val="TableParagraph"/>
              <w:spacing w:line="251" w:lineRule="exact" w:before="4"/>
              <w:ind w:left="177" w:right="145"/>
              <w:jc w:val="center"/>
              <w:rPr>
                <w:rFonts w:ascii="Verdana"/>
                <w:b/>
                <w:sz w:val="22"/>
              </w:rPr>
            </w:pPr>
            <w:r>
              <w:rPr>
                <w:rFonts w:ascii="Verdana"/>
                <w:b/>
                <w:sz w:val="22"/>
              </w:rPr>
              <w:t>50,619</w:t>
            </w:r>
          </w:p>
        </w:tc>
        <w:tc>
          <w:tcPr>
            <w:tcW w:w="1453" w:type="dxa"/>
            <w:tcBorders>
              <w:top w:val="nil"/>
              <w:bottom w:val="nil"/>
            </w:tcBorders>
          </w:tcPr>
          <w:p>
            <w:pPr>
              <w:pStyle w:val="TableParagraph"/>
              <w:spacing w:line="251" w:lineRule="exact" w:before="4"/>
              <w:ind w:left="175" w:right="145"/>
              <w:jc w:val="center"/>
              <w:rPr>
                <w:rFonts w:ascii="Verdana"/>
                <w:b/>
                <w:sz w:val="22"/>
              </w:rPr>
            </w:pPr>
            <w:r>
              <w:rPr>
                <w:rFonts w:ascii="Verdana"/>
                <w:b/>
                <w:sz w:val="22"/>
              </w:rPr>
              <w:t>46,134</w:t>
            </w:r>
          </w:p>
        </w:tc>
        <w:tc>
          <w:tcPr>
            <w:tcW w:w="1295" w:type="dxa"/>
            <w:tcBorders>
              <w:top w:val="nil"/>
              <w:bottom w:val="nil"/>
            </w:tcBorders>
          </w:tcPr>
          <w:p>
            <w:pPr>
              <w:pStyle w:val="TableParagraph"/>
              <w:spacing w:line="251" w:lineRule="exact" w:before="4"/>
              <w:ind w:left="200" w:right="173"/>
              <w:jc w:val="center"/>
              <w:rPr>
                <w:rFonts w:ascii="Verdana"/>
                <w:b/>
                <w:sz w:val="22"/>
              </w:rPr>
            </w:pPr>
            <w:r>
              <w:rPr>
                <w:rFonts w:ascii="Verdana"/>
                <w:b/>
                <w:sz w:val="22"/>
              </w:rPr>
              <w:t>47,242</w:t>
            </w:r>
          </w:p>
        </w:tc>
        <w:tc>
          <w:tcPr>
            <w:tcW w:w="1137" w:type="dxa"/>
            <w:tcBorders>
              <w:top w:val="nil"/>
              <w:bottom w:val="nil"/>
            </w:tcBorders>
          </w:tcPr>
          <w:p>
            <w:pPr>
              <w:pStyle w:val="TableParagraph"/>
              <w:spacing w:line="251" w:lineRule="exact" w:before="4"/>
              <w:ind w:left="173" w:right="147"/>
              <w:jc w:val="center"/>
              <w:rPr>
                <w:rFonts w:ascii="Verdana"/>
                <w:sz w:val="22"/>
              </w:rPr>
            </w:pPr>
            <w:r>
              <w:rPr>
                <w:rFonts w:ascii="Verdana"/>
                <w:sz w:val="22"/>
              </w:rPr>
              <w:t>7%</w:t>
            </w:r>
          </w:p>
        </w:tc>
      </w:tr>
      <w:tr>
        <w:trPr>
          <w:trHeight w:val="276" w:hRule="atLeast"/>
        </w:trPr>
        <w:tc>
          <w:tcPr>
            <w:tcW w:w="4054" w:type="dxa"/>
            <w:tcBorders>
              <w:top w:val="nil"/>
              <w:bottom w:val="nil"/>
            </w:tcBorders>
          </w:tcPr>
          <w:p>
            <w:pPr>
              <w:pStyle w:val="TableParagraph"/>
              <w:spacing w:line="251" w:lineRule="exact" w:before="4"/>
              <w:ind w:left="45"/>
              <w:rPr>
                <w:rFonts w:ascii="Verdana"/>
                <w:sz w:val="22"/>
              </w:rPr>
            </w:pPr>
            <w:r>
              <w:rPr>
                <w:rFonts w:ascii="Verdana"/>
                <w:sz w:val="22"/>
              </w:rPr>
              <w:t>Fixed Route Rides</w:t>
            </w:r>
          </w:p>
        </w:tc>
        <w:tc>
          <w:tcPr>
            <w:tcW w:w="1784" w:type="dxa"/>
            <w:tcBorders>
              <w:top w:val="nil"/>
              <w:bottom w:val="nil"/>
            </w:tcBorders>
          </w:tcPr>
          <w:p>
            <w:pPr>
              <w:pStyle w:val="TableParagraph"/>
              <w:spacing w:line="251" w:lineRule="exact" w:before="4"/>
              <w:ind w:left="35"/>
              <w:jc w:val="center"/>
              <w:rPr>
                <w:rFonts w:ascii="Verdana"/>
                <w:sz w:val="22"/>
              </w:rPr>
            </w:pPr>
            <w:r>
              <w:rPr>
                <w:rFonts w:ascii="Verdana"/>
                <w:w w:val="100"/>
                <w:sz w:val="22"/>
              </w:rPr>
              <w:t>0</w:t>
            </w:r>
          </w:p>
        </w:tc>
        <w:tc>
          <w:tcPr>
            <w:tcW w:w="1767" w:type="dxa"/>
            <w:tcBorders>
              <w:top w:val="nil"/>
              <w:bottom w:val="nil"/>
            </w:tcBorders>
          </w:tcPr>
          <w:p>
            <w:pPr>
              <w:pStyle w:val="TableParagraph"/>
              <w:spacing w:line="251" w:lineRule="exact" w:before="4"/>
              <w:ind w:left="36"/>
              <w:jc w:val="center"/>
              <w:rPr>
                <w:rFonts w:ascii="Verdana"/>
                <w:sz w:val="22"/>
              </w:rPr>
            </w:pPr>
            <w:r>
              <w:rPr>
                <w:rFonts w:ascii="Verdana"/>
                <w:w w:val="100"/>
                <w:sz w:val="22"/>
              </w:rPr>
              <w:t>0</w:t>
            </w:r>
          </w:p>
        </w:tc>
        <w:tc>
          <w:tcPr>
            <w:tcW w:w="1736" w:type="dxa"/>
            <w:tcBorders>
              <w:top w:val="nil"/>
              <w:bottom w:val="nil"/>
            </w:tcBorders>
          </w:tcPr>
          <w:p>
            <w:pPr>
              <w:pStyle w:val="TableParagraph"/>
              <w:spacing w:line="251" w:lineRule="exact" w:before="4"/>
              <w:ind w:left="33"/>
              <w:jc w:val="center"/>
              <w:rPr>
                <w:rFonts w:ascii="Verdana"/>
                <w:sz w:val="22"/>
              </w:rPr>
            </w:pPr>
            <w:r>
              <w:rPr>
                <w:rFonts w:ascii="Verdana"/>
                <w:w w:val="100"/>
                <w:sz w:val="22"/>
              </w:rPr>
              <w:t>0</w:t>
            </w:r>
          </w:p>
        </w:tc>
        <w:tc>
          <w:tcPr>
            <w:tcW w:w="1453" w:type="dxa"/>
            <w:tcBorders>
              <w:top w:val="nil"/>
              <w:bottom w:val="nil"/>
            </w:tcBorders>
          </w:tcPr>
          <w:p>
            <w:pPr>
              <w:pStyle w:val="TableParagraph"/>
              <w:spacing w:line="251" w:lineRule="exact" w:before="4"/>
              <w:ind w:left="33"/>
              <w:jc w:val="center"/>
              <w:rPr>
                <w:rFonts w:ascii="Verdana"/>
                <w:b/>
                <w:sz w:val="22"/>
              </w:rPr>
            </w:pPr>
            <w:r>
              <w:rPr>
                <w:rFonts w:ascii="Verdana"/>
                <w:b/>
                <w:w w:val="100"/>
                <w:sz w:val="22"/>
              </w:rPr>
              <w:t>0</w:t>
            </w:r>
          </w:p>
        </w:tc>
        <w:tc>
          <w:tcPr>
            <w:tcW w:w="1453" w:type="dxa"/>
            <w:tcBorders>
              <w:top w:val="nil"/>
              <w:bottom w:val="nil"/>
            </w:tcBorders>
          </w:tcPr>
          <w:p>
            <w:pPr>
              <w:pStyle w:val="TableParagraph"/>
              <w:spacing w:line="251" w:lineRule="exact" w:before="4"/>
              <w:ind w:left="31"/>
              <w:jc w:val="center"/>
              <w:rPr>
                <w:rFonts w:ascii="Verdana"/>
                <w:b/>
                <w:sz w:val="22"/>
              </w:rPr>
            </w:pPr>
            <w:r>
              <w:rPr>
                <w:rFonts w:ascii="Verdana"/>
                <w:b/>
                <w:w w:val="100"/>
                <w:sz w:val="22"/>
              </w:rPr>
              <w:t>0</w:t>
            </w:r>
          </w:p>
        </w:tc>
        <w:tc>
          <w:tcPr>
            <w:tcW w:w="1295" w:type="dxa"/>
            <w:tcBorders>
              <w:top w:val="nil"/>
              <w:bottom w:val="nil"/>
            </w:tcBorders>
          </w:tcPr>
          <w:p>
            <w:pPr>
              <w:pStyle w:val="TableParagraph"/>
              <w:spacing w:line="251" w:lineRule="exact" w:before="4"/>
              <w:ind w:left="200" w:right="171"/>
              <w:jc w:val="center"/>
              <w:rPr>
                <w:rFonts w:ascii="Verdana"/>
                <w:b/>
                <w:sz w:val="22"/>
              </w:rPr>
            </w:pPr>
            <w:r>
              <w:rPr>
                <w:rFonts w:ascii="Verdana"/>
                <w:b/>
                <w:sz w:val="22"/>
              </w:rPr>
              <w:t>258</w:t>
            </w:r>
          </w:p>
        </w:tc>
        <w:tc>
          <w:tcPr>
            <w:tcW w:w="1137" w:type="dxa"/>
            <w:tcBorders>
              <w:top w:val="nil"/>
              <w:bottom w:val="nil"/>
            </w:tcBorders>
          </w:tcPr>
          <w:p>
            <w:pPr>
              <w:pStyle w:val="TableParagraph"/>
              <w:spacing w:line="251" w:lineRule="exact" w:before="4"/>
              <w:ind w:left="173" w:right="147"/>
              <w:jc w:val="center"/>
              <w:rPr>
                <w:rFonts w:ascii="Verdana"/>
                <w:sz w:val="22"/>
              </w:rPr>
            </w:pPr>
            <w:r>
              <w:rPr>
                <w:rFonts w:ascii="Verdana"/>
                <w:color w:val="FF0000"/>
                <w:sz w:val="22"/>
              </w:rPr>
              <w:t>-100%</w:t>
            </w:r>
          </w:p>
        </w:tc>
      </w:tr>
      <w:tr>
        <w:trPr>
          <w:trHeight w:val="273" w:hRule="atLeast"/>
        </w:trPr>
        <w:tc>
          <w:tcPr>
            <w:tcW w:w="4054" w:type="dxa"/>
            <w:tcBorders>
              <w:top w:val="nil"/>
            </w:tcBorders>
          </w:tcPr>
          <w:p>
            <w:pPr>
              <w:pStyle w:val="TableParagraph"/>
              <w:spacing w:line="249" w:lineRule="exact" w:before="4"/>
              <w:ind w:left="45"/>
              <w:rPr>
                <w:rFonts w:ascii="Verdana"/>
                <w:sz w:val="22"/>
              </w:rPr>
            </w:pPr>
            <w:r>
              <w:rPr>
                <w:rFonts w:ascii="Verdana"/>
                <w:sz w:val="22"/>
              </w:rPr>
              <w:t>Rides Transfered to Fixed Route</w:t>
            </w:r>
          </w:p>
        </w:tc>
        <w:tc>
          <w:tcPr>
            <w:tcW w:w="1784" w:type="dxa"/>
            <w:tcBorders>
              <w:top w:val="nil"/>
            </w:tcBorders>
          </w:tcPr>
          <w:p>
            <w:pPr>
              <w:pStyle w:val="TableParagraph"/>
              <w:spacing w:line="249" w:lineRule="exact" w:before="4"/>
              <w:ind w:left="35"/>
              <w:jc w:val="center"/>
              <w:rPr>
                <w:rFonts w:ascii="Verdana"/>
                <w:sz w:val="22"/>
              </w:rPr>
            </w:pPr>
            <w:r>
              <w:rPr>
                <w:rFonts w:ascii="Verdana"/>
                <w:w w:val="100"/>
                <w:sz w:val="22"/>
              </w:rPr>
              <w:t>0</w:t>
            </w:r>
          </w:p>
        </w:tc>
        <w:tc>
          <w:tcPr>
            <w:tcW w:w="1767" w:type="dxa"/>
            <w:tcBorders>
              <w:top w:val="nil"/>
            </w:tcBorders>
          </w:tcPr>
          <w:p>
            <w:pPr>
              <w:pStyle w:val="TableParagraph"/>
              <w:spacing w:line="249" w:lineRule="exact" w:before="4"/>
              <w:ind w:left="36"/>
              <w:jc w:val="center"/>
              <w:rPr>
                <w:rFonts w:ascii="Verdana"/>
                <w:sz w:val="22"/>
              </w:rPr>
            </w:pPr>
            <w:r>
              <w:rPr>
                <w:rFonts w:ascii="Verdana"/>
                <w:w w:val="100"/>
                <w:sz w:val="22"/>
              </w:rPr>
              <w:t>0</w:t>
            </w:r>
          </w:p>
        </w:tc>
        <w:tc>
          <w:tcPr>
            <w:tcW w:w="1736" w:type="dxa"/>
            <w:tcBorders>
              <w:top w:val="nil"/>
            </w:tcBorders>
          </w:tcPr>
          <w:p>
            <w:pPr>
              <w:pStyle w:val="TableParagraph"/>
              <w:spacing w:line="249" w:lineRule="exact" w:before="4"/>
              <w:ind w:left="33"/>
              <w:jc w:val="center"/>
              <w:rPr>
                <w:rFonts w:ascii="Verdana"/>
                <w:sz w:val="22"/>
              </w:rPr>
            </w:pPr>
            <w:r>
              <w:rPr>
                <w:rFonts w:ascii="Verdana"/>
                <w:w w:val="100"/>
                <w:sz w:val="22"/>
              </w:rPr>
              <w:t>0</w:t>
            </w:r>
          </w:p>
        </w:tc>
        <w:tc>
          <w:tcPr>
            <w:tcW w:w="1453" w:type="dxa"/>
            <w:tcBorders>
              <w:top w:val="nil"/>
            </w:tcBorders>
          </w:tcPr>
          <w:p>
            <w:pPr>
              <w:pStyle w:val="TableParagraph"/>
              <w:spacing w:line="249" w:lineRule="exact" w:before="4"/>
              <w:ind w:left="33"/>
              <w:jc w:val="center"/>
              <w:rPr>
                <w:rFonts w:ascii="Verdana"/>
                <w:b/>
                <w:sz w:val="22"/>
              </w:rPr>
            </w:pPr>
            <w:r>
              <w:rPr>
                <w:rFonts w:ascii="Verdana"/>
                <w:b/>
                <w:w w:val="100"/>
                <w:sz w:val="22"/>
              </w:rPr>
              <w:t>0</w:t>
            </w:r>
          </w:p>
        </w:tc>
        <w:tc>
          <w:tcPr>
            <w:tcW w:w="1453" w:type="dxa"/>
            <w:tcBorders>
              <w:top w:val="nil"/>
            </w:tcBorders>
          </w:tcPr>
          <w:p>
            <w:pPr>
              <w:pStyle w:val="TableParagraph"/>
              <w:spacing w:line="249" w:lineRule="exact" w:before="4"/>
              <w:ind w:left="31"/>
              <w:jc w:val="center"/>
              <w:rPr>
                <w:rFonts w:ascii="Verdana"/>
                <w:b/>
                <w:sz w:val="22"/>
              </w:rPr>
            </w:pPr>
            <w:r>
              <w:rPr>
                <w:rFonts w:ascii="Verdana"/>
                <w:b/>
                <w:w w:val="100"/>
                <w:sz w:val="22"/>
              </w:rPr>
              <w:t>0</w:t>
            </w:r>
          </w:p>
        </w:tc>
        <w:tc>
          <w:tcPr>
            <w:tcW w:w="1295" w:type="dxa"/>
            <w:tcBorders>
              <w:top w:val="nil"/>
            </w:tcBorders>
          </w:tcPr>
          <w:p>
            <w:pPr>
              <w:pStyle w:val="TableParagraph"/>
              <w:spacing w:line="249" w:lineRule="exact" w:before="4"/>
              <w:ind w:left="200" w:right="173"/>
              <w:jc w:val="center"/>
              <w:rPr>
                <w:rFonts w:ascii="Verdana"/>
                <w:b/>
                <w:sz w:val="22"/>
              </w:rPr>
            </w:pPr>
            <w:r>
              <w:rPr>
                <w:rFonts w:ascii="Verdana"/>
                <w:b/>
                <w:sz w:val="22"/>
              </w:rPr>
              <w:t>37</w:t>
            </w:r>
          </w:p>
        </w:tc>
        <w:tc>
          <w:tcPr>
            <w:tcW w:w="1137" w:type="dxa"/>
            <w:tcBorders>
              <w:top w:val="nil"/>
            </w:tcBorders>
          </w:tcPr>
          <w:p>
            <w:pPr>
              <w:pStyle w:val="TableParagraph"/>
              <w:spacing w:line="249" w:lineRule="exact" w:before="4"/>
              <w:ind w:left="173" w:right="147"/>
              <w:jc w:val="center"/>
              <w:rPr>
                <w:rFonts w:ascii="Verdana"/>
                <w:sz w:val="22"/>
              </w:rPr>
            </w:pPr>
            <w:r>
              <w:rPr>
                <w:rFonts w:ascii="Verdana"/>
                <w:color w:val="FF0000"/>
                <w:sz w:val="22"/>
              </w:rPr>
              <w:t>-100%</w:t>
            </w:r>
          </w:p>
        </w:tc>
      </w:tr>
      <w:tr>
        <w:trPr>
          <w:trHeight w:val="255" w:hRule="atLeast"/>
        </w:trPr>
        <w:tc>
          <w:tcPr>
            <w:tcW w:w="4054" w:type="dxa"/>
            <w:shd w:val="clear" w:color="auto" w:fill="A5A5A5"/>
          </w:tcPr>
          <w:p>
            <w:pPr>
              <w:pStyle w:val="TableParagraph"/>
              <w:spacing w:line="236" w:lineRule="exact"/>
              <w:ind w:left="49"/>
              <w:rPr>
                <w:rFonts w:ascii="Verdana"/>
                <w:b/>
                <w:sz w:val="22"/>
              </w:rPr>
            </w:pPr>
            <w:r>
              <w:rPr>
                <w:rFonts w:ascii="Verdana"/>
                <w:b/>
                <w:sz w:val="22"/>
              </w:rPr>
              <w:t>TOTAL RIDES</w:t>
            </w:r>
            <w:r>
              <w:rPr>
                <w:rFonts w:ascii="Verdana"/>
                <w:b/>
                <w:spacing w:val="74"/>
                <w:sz w:val="22"/>
              </w:rPr>
              <w:t> </w:t>
            </w:r>
            <w:r>
              <w:rPr>
                <w:rFonts w:ascii="Verdana"/>
                <w:b/>
                <w:sz w:val="22"/>
              </w:rPr>
              <w:t>TAKEN</w:t>
            </w:r>
          </w:p>
        </w:tc>
        <w:tc>
          <w:tcPr>
            <w:tcW w:w="1784" w:type="dxa"/>
          </w:tcPr>
          <w:p>
            <w:pPr>
              <w:pStyle w:val="TableParagraph"/>
              <w:spacing w:line="236" w:lineRule="exact"/>
              <w:ind w:left="491" w:right="453"/>
              <w:jc w:val="center"/>
              <w:rPr>
                <w:rFonts w:ascii="Verdana"/>
                <w:sz w:val="22"/>
              </w:rPr>
            </w:pPr>
            <w:r>
              <w:rPr>
                <w:rFonts w:ascii="Verdana"/>
                <w:sz w:val="22"/>
              </w:rPr>
              <w:t>17,076</w:t>
            </w:r>
          </w:p>
        </w:tc>
        <w:tc>
          <w:tcPr>
            <w:tcW w:w="1767" w:type="dxa"/>
          </w:tcPr>
          <w:p>
            <w:pPr>
              <w:pStyle w:val="TableParagraph"/>
              <w:spacing w:line="236" w:lineRule="exact"/>
              <w:ind w:left="480" w:right="446"/>
              <w:jc w:val="center"/>
              <w:rPr>
                <w:rFonts w:ascii="Verdana"/>
                <w:sz w:val="22"/>
              </w:rPr>
            </w:pPr>
            <w:r>
              <w:rPr>
                <w:rFonts w:ascii="Verdana"/>
                <w:sz w:val="22"/>
              </w:rPr>
              <w:t>16,694</w:t>
            </w:r>
          </w:p>
        </w:tc>
        <w:tc>
          <w:tcPr>
            <w:tcW w:w="1736" w:type="dxa"/>
          </w:tcPr>
          <w:p>
            <w:pPr>
              <w:pStyle w:val="TableParagraph"/>
              <w:spacing w:line="236" w:lineRule="exact"/>
              <w:ind w:left="465" w:right="430"/>
              <w:jc w:val="center"/>
              <w:rPr>
                <w:rFonts w:ascii="Verdana"/>
                <w:sz w:val="22"/>
              </w:rPr>
            </w:pPr>
            <w:r>
              <w:rPr>
                <w:rFonts w:ascii="Verdana"/>
                <w:sz w:val="22"/>
              </w:rPr>
              <w:t>16,849</w:t>
            </w:r>
          </w:p>
        </w:tc>
        <w:tc>
          <w:tcPr>
            <w:tcW w:w="1453" w:type="dxa"/>
          </w:tcPr>
          <w:p>
            <w:pPr>
              <w:pStyle w:val="TableParagraph"/>
              <w:spacing w:line="236" w:lineRule="exact"/>
              <w:ind w:left="177" w:right="145"/>
              <w:jc w:val="center"/>
              <w:rPr>
                <w:rFonts w:ascii="Verdana"/>
                <w:b/>
                <w:sz w:val="22"/>
              </w:rPr>
            </w:pPr>
            <w:r>
              <w:rPr>
                <w:rFonts w:ascii="Verdana"/>
                <w:b/>
                <w:sz w:val="22"/>
              </w:rPr>
              <w:t>50,619</w:t>
            </w:r>
          </w:p>
        </w:tc>
        <w:tc>
          <w:tcPr>
            <w:tcW w:w="1453" w:type="dxa"/>
          </w:tcPr>
          <w:p>
            <w:pPr>
              <w:pStyle w:val="TableParagraph"/>
              <w:spacing w:line="236" w:lineRule="exact"/>
              <w:ind w:left="175" w:right="145"/>
              <w:jc w:val="center"/>
              <w:rPr>
                <w:rFonts w:ascii="Verdana"/>
                <w:b/>
                <w:sz w:val="22"/>
              </w:rPr>
            </w:pPr>
            <w:r>
              <w:rPr>
                <w:rFonts w:ascii="Verdana"/>
                <w:b/>
                <w:sz w:val="22"/>
              </w:rPr>
              <w:t>46,134</w:t>
            </w:r>
          </w:p>
        </w:tc>
        <w:tc>
          <w:tcPr>
            <w:tcW w:w="1295" w:type="dxa"/>
          </w:tcPr>
          <w:p>
            <w:pPr>
              <w:pStyle w:val="TableParagraph"/>
              <w:spacing w:line="236" w:lineRule="exact"/>
              <w:ind w:left="200" w:right="173"/>
              <w:jc w:val="center"/>
              <w:rPr>
                <w:rFonts w:ascii="Verdana"/>
                <w:b/>
                <w:sz w:val="22"/>
              </w:rPr>
            </w:pPr>
            <w:r>
              <w:rPr>
                <w:rFonts w:ascii="Verdana"/>
                <w:b/>
                <w:sz w:val="22"/>
              </w:rPr>
              <w:t>47,537</w:t>
            </w:r>
          </w:p>
        </w:tc>
        <w:tc>
          <w:tcPr>
            <w:tcW w:w="1137" w:type="dxa"/>
          </w:tcPr>
          <w:p>
            <w:pPr>
              <w:pStyle w:val="TableParagraph"/>
              <w:spacing w:line="236" w:lineRule="exact"/>
              <w:ind w:left="173" w:right="147"/>
              <w:jc w:val="center"/>
              <w:rPr>
                <w:rFonts w:ascii="Verdana"/>
                <w:sz w:val="22"/>
              </w:rPr>
            </w:pPr>
            <w:r>
              <w:rPr>
                <w:rFonts w:ascii="Verdana"/>
                <w:sz w:val="22"/>
              </w:rPr>
              <w:t>6%</w:t>
            </w:r>
          </w:p>
        </w:tc>
      </w:tr>
    </w:tbl>
    <w:p>
      <w:pPr>
        <w:pStyle w:val="BodyText"/>
        <w:spacing w:before="1"/>
        <w:rPr>
          <w:rFonts w:ascii="Verdana"/>
          <w:b/>
          <w:sz w:val="21"/>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54"/>
        <w:gridCol w:w="1784"/>
        <w:gridCol w:w="1767"/>
        <w:gridCol w:w="1736"/>
        <w:gridCol w:w="1453"/>
        <w:gridCol w:w="1453"/>
        <w:gridCol w:w="1295"/>
        <w:gridCol w:w="1137"/>
      </w:tblGrid>
      <w:tr>
        <w:trPr>
          <w:trHeight w:val="255" w:hRule="atLeast"/>
        </w:trPr>
        <w:tc>
          <w:tcPr>
            <w:tcW w:w="4054" w:type="dxa"/>
            <w:shd w:val="clear" w:color="auto" w:fill="A5A5A5"/>
          </w:tcPr>
          <w:p>
            <w:pPr>
              <w:pStyle w:val="TableParagraph"/>
              <w:spacing w:line="236" w:lineRule="exact"/>
              <w:ind w:left="49"/>
              <w:rPr>
                <w:rFonts w:ascii="Verdana"/>
                <w:b/>
                <w:sz w:val="22"/>
              </w:rPr>
            </w:pPr>
            <w:r>
              <w:rPr>
                <w:rFonts w:ascii="Verdana"/>
                <w:b/>
                <w:sz w:val="22"/>
              </w:rPr>
              <w:t>RIDES OFFERED/NOT TAKEN</w:t>
            </w:r>
          </w:p>
        </w:tc>
        <w:tc>
          <w:tcPr>
            <w:tcW w:w="10625" w:type="dxa"/>
            <w:gridSpan w:val="7"/>
            <w:tcBorders>
              <w:top w:val="nil"/>
              <w:right w:val="nil"/>
            </w:tcBorders>
          </w:tcPr>
          <w:p>
            <w:pPr>
              <w:pStyle w:val="TableParagraph"/>
              <w:rPr>
                <w:rFonts w:ascii="Times New Roman"/>
                <w:sz w:val="18"/>
              </w:rPr>
            </w:pPr>
          </w:p>
        </w:tc>
      </w:tr>
      <w:tr>
        <w:trPr>
          <w:trHeight w:val="255" w:hRule="atLeast"/>
        </w:trPr>
        <w:tc>
          <w:tcPr>
            <w:tcW w:w="4054" w:type="dxa"/>
          </w:tcPr>
          <w:p>
            <w:pPr>
              <w:pStyle w:val="TableParagraph"/>
              <w:spacing w:line="236" w:lineRule="exact"/>
              <w:ind w:left="45"/>
              <w:rPr>
                <w:rFonts w:ascii="Verdana"/>
                <w:sz w:val="22"/>
              </w:rPr>
            </w:pPr>
            <w:r>
              <w:rPr>
                <w:rFonts w:ascii="Verdana"/>
                <w:sz w:val="22"/>
              </w:rPr>
              <w:t>Cancellations</w:t>
            </w:r>
          </w:p>
        </w:tc>
        <w:tc>
          <w:tcPr>
            <w:tcW w:w="1784" w:type="dxa"/>
          </w:tcPr>
          <w:p>
            <w:pPr>
              <w:pStyle w:val="TableParagraph"/>
              <w:spacing w:line="236" w:lineRule="exact"/>
              <w:ind w:left="582"/>
              <w:rPr>
                <w:rFonts w:ascii="Verdana"/>
                <w:sz w:val="22"/>
              </w:rPr>
            </w:pPr>
            <w:r>
              <w:rPr>
                <w:rFonts w:ascii="Verdana"/>
                <w:sz w:val="22"/>
              </w:rPr>
              <w:t>2,149</w:t>
            </w:r>
          </w:p>
        </w:tc>
        <w:tc>
          <w:tcPr>
            <w:tcW w:w="1767" w:type="dxa"/>
          </w:tcPr>
          <w:p>
            <w:pPr>
              <w:pStyle w:val="TableParagraph"/>
              <w:spacing w:line="236" w:lineRule="exact"/>
              <w:ind w:left="480" w:right="444"/>
              <w:jc w:val="center"/>
              <w:rPr>
                <w:rFonts w:ascii="Verdana"/>
                <w:sz w:val="22"/>
              </w:rPr>
            </w:pPr>
            <w:r>
              <w:rPr>
                <w:rFonts w:ascii="Verdana"/>
                <w:sz w:val="22"/>
              </w:rPr>
              <w:t>2,375</w:t>
            </w:r>
          </w:p>
        </w:tc>
        <w:tc>
          <w:tcPr>
            <w:tcW w:w="1736" w:type="dxa"/>
          </w:tcPr>
          <w:p>
            <w:pPr>
              <w:pStyle w:val="TableParagraph"/>
              <w:spacing w:line="236" w:lineRule="exact"/>
              <w:ind w:left="556"/>
              <w:rPr>
                <w:rFonts w:ascii="Verdana"/>
                <w:sz w:val="22"/>
              </w:rPr>
            </w:pPr>
            <w:r>
              <w:rPr>
                <w:rFonts w:ascii="Verdana"/>
                <w:sz w:val="22"/>
              </w:rPr>
              <w:t>2,709</w:t>
            </w:r>
          </w:p>
        </w:tc>
        <w:tc>
          <w:tcPr>
            <w:tcW w:w="1453" w:type="dxa"/>
          </w:tcPr>
          <w:p>
            <w:pPr>
              <w:pStyle w:val="TableParagraph"/>
              <w:spacing w:line="236" w:lineRule="exact"/>
              <w:ind w:left="380"/>
              <w:rPr>
                <w:rFonts w:ascii="Verdana"/>
                <w:b/>
                <w:sz w:val="22"/>
              </w:rPr>
            </w:pPr>
            <w:r>
              <w:rPr>
                <w:rFonts w:ascii="Verdana"/>
                <w:b/>
                <w:sz w:val="22"/>
              </w:rPr>
              <w:t>7,233</w:t>
            </w:r>
          </w:p>
        </w:tc>
        <w:tc>
          <w:tcPr>
            <w:tcW w:w="1453" w:type="dxa"/>
          </w:tcPr>
          <w:p>
            <w:pPr>
              <w:pStyle w:val="TableParagraph"/>
              <w:spacing w:line="236" w:lineRule="exact"/>
              <w:ind w:left="176" w:right="145"/>
              <w:jc w:val="center"/>
              <w:rPr>
                <w:rFonts w:ascii="Verdana"/>
                <w:b/>
                <w:sz w:val="22"/>
              </w:rPr>
            </w:pPr>
            <w:r>
              <w:rPr>
                <w:rFonts w:ascii="Verdana"/>
                <w:b/>
                <w:sz w:val="22"/>
              </w:rPr>
              <w:t>8,511</w:t>
            </w:r>
          </w:p>
        </w:tc>
        <w:tc>
          <w:tcPr>
            <w:tcW w:w="1295" w:type="dxa"/>
          </w:tcPr>
          <w:p>
            <w:pPr>
              <w:pStyle w:val="TableParagraph"/>
              <w:spacing w:line="236" w:lineRule="exact"/>
              <w:ind w:right="269"/>
              <w:jc w:val="right"/>
              <w:rPr>
                <w:rFonts w:ascii="Verdana"/>
                <w:b/>
                <w:sz w:val="22"/>
              </w:rPr>
            </w:pPr>
            <w:r>
              <w:rPr>
                <w:rFonts w:ascii="Verdana"/>
                <w:b/>
                <w:sz w:val="22"/>
              </w:rPr>
              <w:t>6,612</w:t>
            </w:r>
          </w:p>
        </w:tc>
        <w:tc>
          <w:tcPr>
            <w:tcW w:w="1137" w:type="dxa"/>
          </w:tcPr>
          <w:p>
            <w:pPr>
              <w:pStyle w:val="TableParagraph"/>
              <w:spacing w:line="236" w:lineRule="exact"/>
              <w:ind w:left="173" w:right="147"/>
              <w:jc w:val="center"/>
              <w:rPr>
                <w:rFonts w:ascii="Verdana"/>
                <w:sz w:val="22"/>
              </w:rPr>
            </w:pPr>
            <w:r>
              <w:rPr>
                <w:rFonts w:ascii="Verdana"/>
                <w:sz w:val="22"/>
              </w:rPr>
              <w:t>9%</w:t>
            </w:r>
          </w:p>
        </w:tc>
      </w:tr>
      <w:tr>
        <w:trPr>
          <w:trHeight w:val="255" w:hRule="atLeast"/>
        </w:trPr>
        <w:tc>
          <w:tcPr>
            <w:tcW w:w="4054" w:type="dxa"/>
          </w:tcPr>
          <w:p>
            <w:pPr>
              <w:pStyle w:val="TableParagraph"/>
              <w:spacing w:line="236" w:lineRule="exact"/>
              <w:ind w:left="45"/>
              <w:rPr>
                <w:rFonts w:ascii="Verdana"/>
                <w:sz w:val="22"/>
              </w:rPr>
            </w:pPr>
            <w:r>
              <w:rPr>
                <w:rFonts w:ascii="Verdana"/>
                <w:sz w:val="22"/>
              </w:rPr>
              <w:t>No-Shows</w:t>
            </w:r>
          </w:p>
        </w:tc>
        <w:tc>
          <w:tcPr>
            <w:tcW w:w="1784" w:type="dxa"/>
          </w:tcPr>
          <w:p>
            <w:pPr>
              <w:pStyle w:val="TableParagraph"/>
              <w:spacing w:line="236" w:lineRule="exact"/>
              <w:ind w:left="690"/>
              <w:rPr>
                <w:rFonts w:ascii="Verdana"/>
                <w:sz w:val="22"/>
              </w:rPr>
            </w:pPr>
            <w:r>
              <w:rPr>
                <w:rFonts w:ascii="Verdana"/>
                <w:sz w:val="22"/>
              </w:rPr>
              <w:t>685</w:t>
            </w:r>
          </w:p>
        </w:tc>
        <w:tc>
          <w:tcPr>
            <w:tcW w:w="1767" w:type="dxa"/>
          </w:tcPr>
          <w:p>
            <w:pPr>
              <w:pStyle w:val="TableParagraph"/>
              <w:spacing w:line="236" w:lineRule="exact"/>
              <w:ind w:left="480" w:right="444"/>
              <w:jc w:val="center"/>
              <w:rPr>
                <w:rFonts w:ascii="Verdana"/>
                <w:sz w:val="22"/>
              </w:rPr>
            </w:pPr>
            <w:r>
              <w:rPr>
                <w:rFonts w:ascii="Verdana"/>
                <w:sz w:val="22"/>
              </w:rPr>
              <w:t>732</w:t>
            </w:r>
          </w:p>
        </w:tc>
        <w:tc>
          <w:tcPr>
            <w:tcW w:w="1736" w:type="dxa"/>
          </w:tcPr>
          <w:p>
            <w:pPr>
              <w:pStyle w:val="TableParagraph"/>
              <w:spacing w:line="236" w:lineRule="exact"/>
              <w:ind w:left="462" w:right="430"/>
              <w:jc w:val="center"/>
              <w:rPr>
                <w:rFonts w:ascii="Verdana"/>
                <w:sz w:val="22"/>
              </w:rPr>
            </w:pPr>
            <w:r>
              <w:rPr>
                <w:rFonts w:ascii="Verdana"/>
                <w:sz w:val="22"/>
              </w:rPr>
              <w:t>643</w:t>
            </w:r>
          </w:p>
        </w:tc>
        <w:tc>
          <w:tcPr>
            <w:tcW w:w="1453" w:type="dxa"/>
          </w:tcPr>
          <w:p>
            <w:pPr>
              <w:pStyle w:val="TableParagraph"/>
              <w:spacing w:line="236" w:lineRule="exact"/>
              <w:ind w:left="380"/>
              <w:rPr>
                <w:rFonts w:ascii="Verdana"/>
                <w:b/>
                <w:sz w:val="22"/>
              </w:rPr>
            </w:pPr>
            <w:r>
              <w:rPr>
                <w:rFonts w:ascii="Verdana"/>
                <w:b/>
                <w:sz w:val="22"/>
              </w:rPr>
              <w:t>2,060</w:t>
            </w:r>
          </w:p>
        </w:tc>
        <w:tc>
          <w:tcPr>
            <w:tcW w:w="1453" w:type="dxa"/>
          </w:tcPr>
          <w:p>
            <w:pPr>
              <w:pStyle w:val="TableParagraph"/>
              <w:spacing w:line="236" w:lineRule="exact"/>
              <w:ind w:left="176" w:right="145"/>
              <w:jc w:val="center"/>
              <w:rPr>
                <w:rFonts w:ascii="Verdana"/>
                <w:b/>
                <w:sz w:val="22"/>
              </w:rPr>
            </w:pPr>
            <w:r>
              <w:rPr>
                <w:rFonts w:ascii="Verdana"/>
                <w:b/>
                <w:sz w:val="22"/>
              </w:rPr>
              <w:t>2,053</w:t>
            </w:r>
          </w:p>
        </w:tc>
        <w:tc>
          <w:tcPr>
            <w:tcW w:w="1295" w:type="dxa"/>
          </w:tcPr>
          <w:p>
            <w:pPr>
              <w:pStyle w:val="TableParagraph"/>
              <w:spacing w:line="236" w:lineRule="exact"/>
              <w:ind w:right="308"/>
              <w:jc w:val="right"/>
              <w:rPr>
                <w:rFonts w:ascii="Verdana"/>
                <w:b/>
                <w:sz w:val="22"/>
              </w:rPr>
            </w:pPr>
            <w:r>
              <w:rPr>
                <w:rFonts w:ascii="Verdana"/>
                <w:b/>
                <w:sz w:val="22"/>
              </w:rPr>
              <w:t>1449</w:t>
            </w:r>
          </w:p>
        </w:tc>
        <w:tc>
          <w:tcPr>
            <w:tcW w:w="1137" w:type="dxa"/>
          </w:tcPr>
          <w:p>
            <w:pPr>
              <w:pStyle w:val="TableParagraph"/>
              <w:spacing w:line="236" w:lineRule="exact"/>
              <w:ind w:left="171" w:right="147"/>
              <w:jc w:val="center"/>
              <w:rPr>
                <w:rFonts w:ascii="Verdana"/>
                <w:sz w:val="22"/>
              </w:rPr>
            </w:pPr>
            <w:r>
              <w:rPr>
                <w:rFonts w:ascii="Verdana"/>
                <w:sz w:val="22"/>
              </w:rPr>
              <w:t>42%</w:t>
            </w:r>
          </w:p>
        </w:tc>
      </w:tr>
      <w:tr>
        <w:trPr>
          <w:trHeight w:val="255" w:hRule="atLeast"/>
        </w:trPr>
        <w:tc>
          <w:tcPr>
            <w:tcW w:w="4054" w:type="dxa"/>
          </w:tcPr>
          <w:p>
            <w:pPr>
              <w:pStyle w:val="TableParagraph"/>
              <w:spacing w:line="236" w:lineRule="exact"/>
              <w:ind w:left="45"/>
              <w:rPr>
                <w:rFonts w:ascii="Verdana"/>
                <w:sz w:val="22"/>
              </w:rPr>
            </w:pPr>
            <w:r>
              <w:rPr>
                <w:rFonts w:ascii="Verdana"/>
                <w:sz w:val="22"/>
              </w:rPr>
              <w:t>Total Cancellations/No-Shows</w:t>
            </w:r>
          </w:p>
        </w:tc>
        <w:tc>
          <w:tcPr>
            <w:tcW w:w="1784" w:type="dxa"/>
          </w:tcPr>
          <w:p>
            <w:pPr>
              <w:pStyle w:val="TableParagraph"/>
              <w:spacing w:line="236" w:lineRule="exact"/>
              <w:ind w:left="582"/>
              <w:rPr>
                <w:rFonts w:ascii="Verdana"/>
                <w:sz w:val="22"/>
              </w:rPr>
            </w:pPr>
            <w:r>
              <w:rPr>
                <w:rFonts w:ascii="Verdana"/>
                <w:sz w:val="22"/>
              </w:rPr>
              <w:t>2,834</w:t>
            </w:r>
          </w:p>
        </w:tc>
        <w:tc>
          <w:tcPr>
            <w:tcW w:w="1767" w:type="dxa"/>
          </w:tcPr>
          <w:p>
            <w:pPr>
              <w:pStyle w:val="TableParagraph"/>
              <w:spacing w:line="236" w:lineRule="exact"/>
              <w:ind w:left="480" w:right="444"/>
              <w:jc w:val="center"/>
              <w:rPr>
                <w:rFonts w:ascii="Verdana"/>
                <w:sz w:val="22"/>
              </w:rPr>
            </w:pPr>
            <w:r>
              <w:rPr>
                <w:rFonts w:ascii="Verdana"/>
                <w:sz w:val="22"/>
              </w:rPr>
              <w:t>3,107</w:t>
            </w:r>
          </w:p>
        </w:tc>
        <w:tc>
          <w:tcPr>
            <w:tcW w:w="1736" w:type="dxa"/>
          </w:tcPr>
          <w:p>
            <w:pPr>
              <w:pStyle w:val="TableParagraph"/>
              <w:spacing w:line="236" w:lineRule="exact"/>
              <w:ind w:left="556"/>
              <w:rPr>
                <w:rFonts w:ascii="Verdana"/>
                <w:sz w:val="22"/>
              </w:rPr>
            </w:pPr>
            <w:r>
              <w:rPr>
                <w:rFonts w:ascii="Verdana"/>
                <w:sz w:val="22"/>
              </w:rPr>
              <w:t>3,352</w:t>
            </w:r>
          </w:p>
        </w:tc>
        <w:tc>
          <w:tcPr>
            <w:tcW w:w="1453" w:type="dxa"/>
          </w:tcPr>
          <w:p>
            <w:pPr>
              <w:pStyle w:val="TableParagraph"/>
              <w:spacing w:line="236" w:lineRule="exact"/>
              <w:ind w:left="380"/>
              <w:rPr>
                <w:rFonts w:ascii="Verdana"/>
                <w:b/>
                <w:sz w:val="22"/>
              </w:rPr>
            </w:pPr>
            <w:r>
              <w:rPr>
                <w:rFonts w:ascii="Verdana"/>
                <w:b/>
                <w:sz w:val="22"/>
              </w:rPr>
              <w:t>9,293</w:t>
            </w:r>
          </w:p>
        </w:tc>
        <w:tc>
          <w:tcPr>
            <w:tcW w:w="1453" w:type="dxa"/>
          </w:tcPr>
          <w:p>
            <w:pPr>
              <w:pStyle w:val="TableParagraph"/>
              <w:spacing w:line="236" w:lineRule="exact"/>
              <w:ind w:left="175" w:right="145"/>
              <w:jc w:val="center"/>
              <w:rPr>
                <w:rFonts w:ascii="Verdana"/>
                <w:b/>
                <w:sz w:val="22"/>
              </w:rPr>
            </w:pPr>
            <w:r>
              <w:rPr>
                <w:rFonts w:ascii="Verdana"/>
                <w:b/>
                <w:sz w:val="22"/>
              </w:rPr>
              <w:t>10,564</w:t>
            </w:r>
          </w:p>
        </w:tc>
        <w:tc>
          <w:tcPr>
            <w:tcW w:w="1295" w:type="dxa"/>
          </w:tcPr>
          <w:p>
            <w:pPr>
              <w:pStyle w:val="TableParagraph"/>
              <w:spacing w:line="236" w:lineRule="exact"/>
              <w:ind w:right="269"/>
              <w:jc w:val="right"/>
              <w:rPr>
                <w:rFonts w:ascii="Verdana"/>
                <w:b/>
                <w:sz w:val="22"/>
              </w:rPr>
            </w:pPr>
            <w:r>
              <w:rPr>
                <w:rFonts w:ascii="Verdana"/>
                <w:b/>
                <w:sz w:val="22"/>
              </w:rPr>
              <w:t>8,061</w:t>
            </w:r>
          </w:p>
        </w:tc>
        <w:tc>
          <w:tcPr>
            <w:tcW w:w="1137" w:type="dxa"/>
          </w:tcPr>
          <w:p>
            <w:pPr>
              <w:pStyle w:val="TableParagraph"/>
              <w:spacing w:line="236" w:lineRule="exact"/>
              <w:ind w:left="171" w:right="147"/>
              <w:jc w:val="center"/>
              <w:rPr>
                <w:rFonts w:ascii="Verdana"/>
                <w:sz w:val="22"/>
              </w:rPr>
            </w:pPr>
            <w:r>
              <w:rPr>
                <w:rFonts w:ascii="Verdana"/>
                <w:sz w:val="22"/>
              </w:rPr>
              <w:t>15%</w:t>
            </w:r>
          </w:p>
        </w:tc>
      </w:tr>
      <w:tr>
        <w:trPr>
          <w:trHeight w:val="256" w:hRule="atLeast"/>
        </w:trPr>
        <w:tc>
          <w:tcPr>
            <w:tcW w:w="4054" w:type="dxa"/>
          </w:tcPr>
          <w:p>
            <w:pPr>
              <w:pStyle w:val="TableParagraph"/>
              <w:spacing w:line="236" w:lineRule="exact"/>
              <w:ind w:left="45"/>
              <w:rPr>
                <w:rFonts w:ascii="Verdana"/>
                <w:sz w:val="22"/>
              </w:rPr>
            </w:pPr>
            <w:r>
              <w:rPr>
                <w:rFonts w:ascii="Verdana"/>
                <w:sz w:val="22"/>
              </w:rPr>
              <w:t>% Req. Rides Cxl'd or No-Shows</w:t>
            </w:r>
          </w:p>
        </w:tc>
        <w:tc>
          <w:tcPr>
            <w:tcW w:w="1784" w:type="dxa"/>
          </w:tcPr>
          <w:p>
            <w:pPr>
              <w:pStyle w:val="TableParagraph"/>
              <w:spacing w:line="236" w:lineRule="exact"/>
              <w:ind w:left="642"/>
              <w:rPr>
                <w:rFonts w:ascii="Verdana"/>
                <w:sz w:val="22"/>
              </w:rPr>
            </w:pPr>
            <w:r>
              <w:rPr>
                <w:rFonts w:ascii="Verdana"/>
                <w:sz w:val="22"/>
              </w:rPr>
              <w:t>12%</w:t>
            </w:r>
          </w:p>
        </w:tc>
        <w:tc>
          <w:tcPr>
            <w:tcW w:w="1767" w:type="dxa"/>
          </w:tcPr>
          <w:p>
            <w:pPr>
              <w:pStyle w:val="TableParagraph"/>
              <w:spacing w:line="236" w:lineRule="exact"/>
              <w:ind w:left="478" w:right="446"/>
              <w:jc w:val="center"/>
              <w:rPr>
                <w:rFonts w:ascii="Verdana"/>
                <w:sz w:val="22"/>
              </w:rPr>
            </w:pPr>
            <w:r>
              <w:rPr>
                <w:rFonts w:ascii="Verdana"/>
                <w:sz w:val="22"/>
              </w:rPr>
              <w:t>14%</w:t>
            </w:r>
          </w:p>
        </w:tc>
        <w:tc>
          <w:tcPr>
            <w:tcW w:w="1736" w:type="dxa"/>
          </w:tcPr>
          <w:p>
            <w:pPr>
              <w:pStyle w:val="TableParagraph"/>
              <w:spacing w:line="236" w:lineRule="exact"/>
              <w:ind w:left="616"/>
              <w:rPr>
                <w:rFonts w:ascii="Verdana"/>
                <w:sz w:val="22"/>
              </w:rPr>
            </w:pPr>
            <w:r>
              <w:rPr>
                <w:rFonts w:ascii="Verdana"/>
                <w:sz w:val="22"/>
              </w:rPr>
              <w:t>15%</w:t>
            </w:r>
          </w:p>
        </w:tc>
        <w:tc>
          <w:tcPr>
            <w:tcW w:w="1453" w:type="dxa"/>
          </w:tcPr>
          <w:p>
            <w:pPr>
              <w:pStyle w:val="TableParagraph"/>
              <w:spacing w:line="236" w:lineRule="exact"/>
              <w:ind w:left="436"/>
              <w:rPr>
                <w:rFonts w:ascii="Verdana"/>
                <w:b/>
                <w:sz w:val="22"/>
              </w:rPr>
            </w:pPr>
            <w:r>
              <w:rPr>
                <w:rFonts w:ascii="Verdana"/>
                <w:b/>
                <w:sz w:val="22"/>
              </w:rPr>
              <w:t>14%</w:t>
            </w:r>
          </w:p>
        </w:tc>
        <w:tc>
          <w:tcPr>
            <w:tcW w:w="1453" w:type="dxa"/>
          </w:tcPr>
          <w:p>
            <w:pPr>
              <w:pStyle w:val="TableParagraph"/>
              <w:spacing w:line="236" w:lineRule="exact"/>
              <w:ind w:left="175" w:right="145"/>
              <w:jc w:val="center"/>
              <w:rPr>
                <w:rFonts w:ascii="Verdana"/>
                <w:b/>
                <w:sz w:val="22"/>
              </w:rPr>
            </w:pPr>
            <w:r>
              <w:rPr>
                <w:rFonts w:ascii="Verdana"/>
                <w:b/>
                <w:sz w:val="22"/>
              </w:rPr>
              <w:t>17%</w:t>
            </w:r>
          </w:p>
        </w:tc>
        <w:tc>
          <w:tcPr>
            <w:tcW w:w="1295" w:type="dxa"/>
          </w:tcPr>
          <w:p>
            <w:pPr>
              <w:pStyle w:val="TableParagraph"/>
              <w:spacing w:line="236" w:lineRule="exact"/>
              <w:ind w:right="324"/>
              <w:jc w:val="right"/>
              <w:rPr>
                <w:rFonts w:ascii="Verdana"/>
                <w:b/>
                <w:sz w:val="22"/>
              </w:rPr>
            </w:pPr>
            <w:r>
              <w:rPr>
                <w:rFonts w:ascii="Verdana"/>
                <w:b/>
                <w:sz w:val="22"/>
              </w:rPr>
              <w:t>13%</w:t>
            </w:r>
          </w:p>
        </w:tc>
        <w:tc>
          <w:tcPr>
            <w:tcW w:w="1137" w:type="dxa"/>
          </w:tcPr>
          <w:p>
            <w:pPr>
              <w:pStyle w:val="TableParagraph"/>
              <w:spacing w:line="236" w:lineRule="exact"/>
              <w:ind w:left="173" w:right="147"/>
              <w:jc w:val="center"/>
              <w:rPr>
                <w:rFonts w:ascii="Verdana"/>
                <w:sz w:val="22"/>
              </w:rPr>
            </w:pPr>
            <w:r>
              <w:rPr>
                <w:rFonts w:ascii="Verdana"/>
                <w:sz w:val="22"/>
              </w:rPr>
              <w:t>5%</w:t>
            </w:r>
          </w:p>
        </w:tc>
      </w:tr>
    </w:tbl>
    <w:p>
      <w:pPr>
        <w:spacing w:before="28" w:after="10"/>
        <w:ind w:left="4187" w:right="4616" w:firstLine="0"/>
        <w:jc w:val="center"/>
        <w:rPr>
          <w:rFonts w:ascii="Verdana"/>
          <w:b/>
          <w:sz w:val="18"/>
        </w:rPr>
      </w:pPr>
      <w:r>
        <w:rPr>
          <w:rFonts w:ascii="Verdana"/>
          <w:b/>
          <w:sz w:val="18"/>
        </w:rPr>
        <w:t>Note: There were zero no-show suspensions for the quarter</w:t>
      </w: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54"/>
        <w:gridCol w:w="1784"/>
        <w:gridCol w:w="1767"/>
        <w:gridCol w:w="1736"/>
        <w:gridCol w:w="1453"/>
        <w:gridCol w:w="1453"/>
        <w:gridCol w:w="1295"/>
        <w:gridCol w:w="1137"/>
      </w:tblGrid>
      <w:tr>
        <w:trPr>
          <w:trHeight w:val="255" w:hRule="atLeast"/>
        </w:trPr>
        <w:tc>
          <w:tcPr>
            <w:tcW w:w="4054" w:type="dxa"/>
            <w:shd w:val="clear" w:color="auto" w:fill="A5A5A5"/>
          </w:tcPr>
          <w:p>
            <w:pPr>
              <w:pStyle w:val="TableParagraph"/>
              <w:spacing w:line="236" w:lineRule="exact"/>
              <w:ind w:left="49"/>
              <w:rPr>
                <w:rFonts w:ascii="Verdana"/>
                <w:b/>
                <w:sz w:val="22"/>
              </w:rPr>
            </w:pPr>
            <w:r>
              <w:rPr>
                <w:rFonts w:ascii="Verdana"/>
                <w:b/>
                <w:sz w:val="22"/>
              </w:rPr>
              <w:t>PERFORMANCE GOALS</w:t>
            </w:r>
          </w:p>
        </w:tc>
        <w:tc>
          <w:tcPr>
            <w:tcW w:w="10625" w:type="dxa"/>
            <w:gridSpan w:val="7"/>
            <w:tcBorders>
              <w:top w:val="nil"/>
              <w:right w:val="nil"/>
            </w:tcBorders>
          </w:tcPr>
          <w:p>
            <w:pPr>
              <w:pStyle w:val="TableParagraph"/>
              <w:rPr>
                <w:rFonts w:ascii="Times New Roman"/>
                <w:sz w:val="18"/>
              </w:rPr>
            </w:pPr>
          </w:p>
        </w:tc>
      </w:tr>
      <w:tr>
        <w:trPr>
          <w:trHeight w:val="531" w:hRule="atLeast"/>
        </w:trPr>
        <w:tc>
          <w:tcPr>
            <w:tcW w:w="4054" w:type="dxa"/>
          </w:tcPr>
          <w:p>
            <w:pPr>
              <w:pStyle w:val="TableParagraph"/>
              <w:spacing w:line="255" w:lineRule="exact"/>
              <w:ind w:left="45"/>
              <w:rPr>
                <w:rFonts w:ascii="Verdana"/>
                <w:sz w:val="22"/>
              </w:rPr>
            </w:pPr>
            <w:r>
              <w:rPr>
                <w:rFonts w:ascii="Verdana"/>
                <w:sz w:val="22"/>
              </w:rPr>
              <w:t>Missed Trips:</w:t>
            </w:r>
          </w:p>
          <w:p>
            <w:pPr>
              <w:pStyle w:val="TableParagraph"/>
              <w:spacing w:line="249" w:lineRule="exact" w:before="8"/>
              <w:ind w:left="45"/>
              <w:rPr>
                <w:rFonts w:ascii="Verdana"/>
                <w:sz w:val="22"/>
              </w:rPr>
            </w:pPr>
            <w:r>
              <w:rPr>
                <w:rFonts w:ascii="Verdana"/>
                <w:sz w:val="22"/>
              </w:rPr>
              <w:t>Customer did not travel</w:t>
            </w:r>
          </w:p>
        </w:tc>
        <w:tc>
          <w:tcPr>
            <w:tcW w:w="1784" w:type="dxa"/>
          </w:tcPr>
          <w:p>
            <w:pPr>
              <w:pStyle w:val="TableParagraph"/>
              <w:spacing w:before="8"/>
              <w:rPr>
                <w:rFonts w:ascii="Verdana"/>
                <w:b/>
                <w:sz w:val="21"/>
              </w:rPr>
            </w:pPr>
          </w:p>
          <w:p>
            <w:pPr>
              <w:pStyle w:val="TableParagraph"/>
              <w:spacing w:line="249" w:lineRule="exact"/>
              <w:ind w:left="35"/>
              <w:jc w:val="center"/>
              <w:rPr>
                <w:rFonts w:ascii="Verdana"/>
                <w:sz w:val="22"/>
              </w:rPr>
            </w:pPr>
            <w:r>
              <w:rPr>
                <w:rFonts w:ascii="Verdana"/>
                <w:w w:val="100"/>
                <w:sz w:val="22"/>
              </w:rPr>
              <w:t>4</w:t>
            </w:r>
          </w:p>
        </w:tc>
        <w:tc>
          <w:tcPr>
            <w:tcW w:w="1767" w:type="dxa"/>
          </w:tcPr>
          <w:p>
            <w:pPr>
              <w:pStyle w:val="TableParagraph"/>
              <w:spacing w:before="8"/>
              <w:rPr>
                <w:rFonts w:ascii="Verdana"/>
                <w:b/>
                <w:sz w:val="21"/>
              </w:rPr>
            </w:pPr>
          </w:p>
          <w:p>
            <w:pPr>
              <w:pStyle w:val="TableParagraph"/>
              <w:spacing w:line="249" w:lineRule="exact"/>
              <w:ind w:left="36"/>
              <w:jc w:val="center"/>
              <w:rPr>
                <w:rFonts w:ascii="Verdana"/>
                <w:sz w:val="22"/>
              </w:rPr>
            </w:pPr>
            <w:r>
              <w:rPr>
                <w:rFonts w:ascii="Verdana"/>
                <w:w w:val="100"/>
                <w:sz w:val="22"/>
              </w:rPr>
              <w:t>5</w:t>
            </w:r>
          </w:p>
        </w:tc>
        <w:tc>
          <w:tcPr>
            <w:tcW w:w="1736" w:type="dxa"/>
          </w:tcPr>
          <w:p>
            <w:pPr>
              <w:pStyle w:val="TableParagraph"/>
              <w:spacing w:before="8"/>
              <w:rPr>
                <w:rFonts w:ascii="Verdana"/>
                <w:b/>
                <w:sz w:val="21"/>
              </w:rPr>
            </w:pPr>
          </w:p>
          <w:p>
            <w:pPr>
              <w:pStyle w:val="TableParagraph"/>
              <w:spacing w:line="249" w:lineRule="exact"/>
              <w:ind w:left="33"/>
              <w:jc w:val="center"/>
              <w:rPr>
                <w:rFonts w:ascii="Verdana"/>
                <w:sz w:val="22"/>
              </w:rPr>
            </w:pPr>
            <w:r>
              <w:rPr>
                <w:rFonts w:ascii="Verdana"/>
                <w:w w:val="100"/>
                <w:sz w:val="22"/>
              </w:rPr>
              <w:t>6</w:t>
            </w:r>
          </w:p>
        </w:tc>
        <w:tc>
          <w:tcPr>
            <w:tcW w:w="1453" w:type="dxa"/>
          </w:tcPr>
          <w:p>
            <w:pPr>
              <w:pStyle w:val="TableParagraph"/>
              <w:spacing w:before="8"/>
              <w:rPr>
                <w:rFonts w:ascii="Verdana"/>
                <w:b/>
                <w:sz w:val="21"/>
              </w:rPr>
            </w:pPr>
          </w:p>
          <w:p>
            <w:pPr>
              <w:pStyle w:val="TableParagraph"/>
              <w:spacing w:line="249" w:lineRule="exact"/>
              <w:ind w:left="177" w:right="145"/>
              <w:jc w:val="center"/>
              <w:rPr>
                <w:rFonts w:ascii="Verdana"/>
                <w:b/>
                <w:sz w:val="22"/>
              </w:rPr>
            </w:pPr>
            <w:r>
              <w:rPr>
                <w:rFonts w:ascii="Verdana"/>
                <w:b/>
                <w:sz w:val="22"/>
              </w:rPr>
              <w:t>15</w:t>
            </w:r>
          </w:p>
        </w:tc>
        <w:tc>
          <w:tcPr>
            <w:tcW w:w="1453" w:type="dxa"/>
          </w:tcPr>
          <w:p>
            <w:pPr>
              <w:pStyle w:val="TableParagraph"/>
              <w:spacing w:before="8"/>
              <w:rPr>
                <w:rFonts w:ascii="Verdana"/>
                <w:b/>
                <w:sz w:val="21"/>
              </w:rPr>
            </w:pPr>
          </w:p>
          <w:p>
            <w:pPr>
              <w:pStyle w:val="TableParagraph"/>
              <w:spacing w:line="249" w:lineRule="exact"/>
              <w:ind w:left="175" w:right="145"/>
              <w:jc w:val="center"/>
              <w:rPr>
                <w:rFonts w:ascii="Verdana"/>
                <w:b/>
                <w:sz w:val="22"/>
              </w:rPr>
            </w:pPr>
            <w:r>
              <w:rPr>
                <w:rFonts w:ascii="Verdana"/>
                <w:b/>
                <w:sz w:val="22"/>
              </w:rPr>
              <w:t>19</w:t>
            </w:r>
          </w:p>
        </w:tc>
        <w:tc>
          <w:tcPr>
            <w:tcW w:w="1295" w:type="dxa"/>
          </w:tcPr>
          <w:p>
            <w:pPr>
              <w:pStyle w:val="TableParagraph"/>
              <w:spacing w:before="8"/>
              <w:rPr>
                <w:rFonts w:ascii="Verdana"/>
                <w:b/>
                <w:sz w:val="21"/>
              </w:rPr>
            </w:pPr>
          </w:p>
          <w:p>
            <w:pPr>
              <w:pStyle w:val="TableParagraph"/>
              <w:spacing w:line="249" w:lineRule="exact"/>
              <w:ind w:left="200" w:right="173"/>
              <w:jc w:val="center"/>
              <w:rPr>
                <w:rFonts w:ascii="Verdana"/>
                <w:b/>
                <w:sz w:val="22"/>
              </w:rPr>
            </w:pPr>
            <w:r>
              <w:rPr>
                <w:rFonts w:ascii="Verdana"/>
                <w:b/>
                <w:sz w:val="22"/>
              </w:rPr>
              <w:t>15</w:t>
            </w:r>
          </w:p>
        </w:tc>
        <w:tc>
          <w:tcPr>
            <w:tcW w:w="1137" w:type="dxa"/>
          </w:tcPr>
          <w:p>
            <w:pPr>
              <w:pStyle w:val="TableParagraph"/>
              <w:spacing w:before="8"/>
              <w:rPr>
                <w:rFonts w:ascii="Verdana"/>
                <w:b/>
                <w:sz w:val="21"/>
              </w:rPr>
            </w:pPr>
          </w:p>
          <w:p>
            <w:pPr>
              <w:pStyle w:val="TableParagraph"/>
              <w:spacing w:line="249" w:lineRule="exact"/>
              <w:ind w:left="382"/>
              <w:rPr>
                <w:rFonts w:ascii="Verdana"/>
                <w:sz w:val="22"/>
              </w:rPr>
            </w:pPr>
            <w:r>
              <w:rPr>
                <w:rFonts w:ascii="Verdana"/>
                <w:sz w:val="22"/>
              </w:rPr>
              <w:t>0%</w:t>
            </w:r>
          </w:p>
        </w:tc>
      </w:tr>
      <w:tr>
        <w:trPr>
          <w:trHeight w:val="256" w:hRule="atLeast"/>
        </w:trPr>
        <w:tc>
          <w:tcPr>
            <w:tcW w:w="4054" w:type="dxa"/>
          </w:tcPr>
          <w:p>
            <w:pPr>
              <w:pStyle w:val="TableParagraph"/>
              <w:spacing w:line="236" w:lineRule="exact"/>
              <w:ind w:left="45"/>
              <w:rPr>
                <w:rFonts w:ascii="Verdana"/>
                <w:sz w:val="22"/>
              </w:rPr>
            </w:pPr>
            <w:r>
              <w:rPr>
                <w:rFonts w:ascii="Verdana"/>
                <w:sz w:val="22"/>
              </w:rPr>
              <w:t>ADA Denied Trips</w:t>
            </w:r>
          </w:p>
        </w:tc>
        <w:tc>
          <w:tcPr>
            <w:tcW w:w="1784" w:type="dxa"/>
          </w:tcPr>
          <w:p>
            <w:pPr>
              <w:pStyle w:val="TableParagraph"/>
              <w:spacing w:line="236" w:lineRule="exact"/>
              <w:ind w:left="35"/>
              <w:jc w:val="center"/>
              <w:rPr>
                <w:rFonts w:ascii="Verdana"/>
                <w:sz w:val="22"/>
              </w:rPr>
            </w:pPr>
            <w:r>
              <w:rPr>
                <w:rFonts w:ascii="Verdana"/>
                <w:w w:val="100"/>
                <w:sz w:val="22"/>
              </w:rPr>
              <w:t>0</w:t>
            </w:r>
          </w:p>
        </w:tc>
        <w:tc>
          <w:tcPr>
            <w:tcW w:w="1767" w:type="dxa"/>
          </w:tcPr>
          <w:p>
            <w:pPr>
              <w:pStyle w:val="TableParagraph"/>
              <w:spacing w:line="236" w:lineRule="exact"/>
              <w:ind w:left="36"/>
              <w:jc w:val="center"/>
              <w:rPr>
                <w:rFonts w:ascii="Verdana"/>
                <w:sz w:val="22"/>
              </w:rPr>
            </w:pPr>
            <w:r>
              <w:rPr>
                <w:rFonts w:ascii="Verdana"/>
                <w:w w:val="100"/>
                <w:sz w:val="22"/>
              </w:rPr>
              <w:t>0</w:t>
            </w:r>
          </w:p>
        </w:tc>
        <w:tc>
          <w:tcPr>
            <w:tcW w:w="1736" w:type="dxa"/>
          </w:tcPr>
          <w:p>
            <w:pPr>
              <w:pStyle w:val="TableParagraph"/>
              <w:spacing w:line="236" w:lineRule="exact"/>
              <w:ind w:left="33"/>
              <w:jc w:val="center"/>
              <w:rPr>
                <w:rFonts w:ascii="Verdana"/>
                <w:sz w:val="22"/>
              </w:rPr>
            </w:pPr>
            <w:r>
              <w:rPr>
                <w:rFonts w:ascii="Verdana"/>
                <w:w w:val="100"/>
                <w:sz w:val="22"/>
              </w:rPr>
              <w:t>0</w:t>
            </w:r>
          </w:p>
        </w:tc>
        <w:tc>
          <w:tcPr>
            <w:tcW w:w="1453" w:type="dxa"/>
          </w:tcPr>
          <w:p>
            <w:pPr>
              <w:pStyle w:val="TableParagraph"/>
              <w:spacing w:line="236" w:lineRule="exact"/>
              <w:ind w:left="33"/>
              <w:jc w:val="center"/>
              <w:rPr>
                <w:rFonts w:ascii="Verdana"/>
                <w:b/>
                <w:sz w:val="22"/>
              </w:rPr>
            </w:pPr>
            <w:r>
              <w:rPr>
                <w:rFonts w:ascii="Verdana"/>
                <w:b/>
                <w:w w:val="100"/>
                <w:sz w:val="22"/>
              </w:rPr>
              <w:t>0</w:t>
            </w:r>
          </w:p>
        </w:tc>
        <w:tc>
          <w:tcPr>
            <w:tcW w:w="1453" w:type="dxa"/>
          </w:tcPr>
          <w:p>
            <w:pPr>
              <w:pStyle w:val="TableParagraph"/>
              <w:spacing w:line="236" w:lineRule="exact"/>
              <w:ind w:left="31"/>
              <w:jc w:val="center"/>
              <w:rPr>
                <w:rFonts w:ascii="Verdana"/>
                <w:b/>
                <w:sz w:val="22"/>
              </w:rPr>
            </w:pPr>
            <w:r>
              <w:rPr>
                <w:rFonts w:ascii="Verdana"/>
                <w:b/>
                <w:w w:val="100"/>
                <w:sz w:val="22"/>
              </w:rPr>
              <w:t>0</w:t>
            </w:r>
          </w:p>
        </w:tc>
        <w:tc>
          <w:tcPr>
            <w:tcW w:w="1295" w:type="dxa"/>
          </w:tcPr>
          <w:p>
            <w:pPr>
              <w:pStyle w:val="TableParagraph"/>
              <w:spacing w:line="236" w:lineRule="exact"/>
              <w:ind w:left="29"/>
              <w:jc w:val="center"/>
              <w:rPr>
                <w:rFonts w:ascii="Verdana"/>
                <w:b/>
                <w:sz w:val="22"/>
              </w:rPr>
            </w:pPr>
            <w:r>
              <w:rPr>
                <w:rFonts w:ascii="Verdana"/>
                <w:b/>
                <w:w w:val="100"/>
                <w:sz w:val="22"/>
              </w:rPr>
              <w:t>0</w:t>
            </w:r>
          </w:p>
        </w:tc>
        <w:tc>
          <w:tcPr>
            <w:tcW w:w="1137" w:type="dxa"/>
          </w:tcPr>
          <w:p>
            <w:pPr>
              <w:pStyle w:val="TableParagraph"/>
              <w:spacing w:line="236" w:lineRule="exact"/>
              <w:ind w:left="382"/>
              <w:rPr>
                <w:rFonts w:ascii="Verdana"/>
                <w:sz w:val="22"/>
              </w:rPr>
            </w:pPr>
            <w:r>
              <w:rPr>
                <w:rFonts w:ascii="Verdana"/>
                <w:sz w:val="22"/>
              </w:rPr>
              <w:t>0%</w:t>
            </w:r>
          </w:p>
        </w:tc>
      </w:tr>
      <w:tr>
        <w:trPr>
          <w:trHeight w:val="532" w:hRule="atLeast"/>
        </w:trPr>
        <w:tc>
          <w:tcPr>
            <w:tcW w:w="4054" w:type="dxa"/>
          </w:tcPr>
          <w:p>
            <w:pPr>
              <w:pStyle w:val="TableParagraph"/>
              <w:spacing w:line="255" w:lineRule="exact"/>
              <w:ind w:left="45"/>
              <w:rPr>
                <w:rFonts w:ascii="Verdana"/>
                <w:sz w:val="22"/>
              </w:rPr>
            </w:pPr>
            <w:r>
              <w:rPr>
                <w:rFonts w:ascii="Verdana"/>
                <w:sz w:val="22"/>
              </w:rPr>
              <w:t>On Time Performance</w:t>
            </w:r>
          </w:p>
          <w:p>
            <w:pPr>
              <w:pStyle w:val="TableParagraph"/>
              <w:spacing w:line="249" w:lineRule="exact" w:before="8"/>
              <w:ind w:left="45"/>
              <w:rPr>
                <w:rFonts w:ascii="Verdana"/>
                <w:sz w:val="22"/>
              </w:rPr>
            </w:pPr>
            <w:r>
              <w:rPr>
                <w:rFonts w:ascii="Verdana"/>
                <w:sz w:val="22"/>
              </w:rPr>
              <w:t>(within 15 mins / goal 95%)</w:t>
            </w:r>
          </w:p>
        </w:tc>
        <w:tc>
          <w:tcPr>
            <w:tcW w:w="1784" w:type="dxa"/>
          </w:tcPr>
          <w:p>
            <w:pPr>
              <w:pStyle w:val="TableParagraph"/>
              <w:spacing w:before="8"/>
              <w:rPr>
                <w:rFonts w:ascii="Verdana"/>
                <w:b/>
                <w:sz w:val="21"/>
              </w:rPr>
            </w:pPr>
          </w:p>
          <w:p>
            <w:pPr>
              <w:pStyle w:val="TableParagraph"/>
              <w:spacing w:line="249" w:lineRule="exact"/>
              <w:ind w:left="489" w:right="453"/>
              <w:jc w:val="center"/>
              <w:rPr>
                <w:rFonts w:ascii="Verdana"/>
                <w:sz w:val="22"/>
              </w:rPr>
            </w:pPr>
            <w:r>
              <w:rPr>
                <w:rFonts w:ascii="Verdana"/>
                <w:sz w:val="22"/>
              </w:rPr>
              <w:t>95%</w:t>
            </w:r>
          </w:p>
        </w:tc>
        <w:tc>
          <w:tcPr>
            <w:tcW w:w="1767" w:type="dxa"/>
          </w:tcPr>
          <w:p>
            <w:pPr>
              <w:pStyle w:val="TableParagraph"/>
              <w:spacing w:before="8"/>
              <w:rPr>
                <w:rFonts w:ascii="Verdana"/>
                <w:b/>
                <w:sz w:val="21"/>
              </w:rPr>
            </w:pPr>
          </w:p>
          <w:p>
            <w:pPr>
              <w:pStyle w:val="TableParagraph"/>
              <w:spacing w:line="249" w:lineRule="exact"/>
              <w:ind w:left="478" w:right="446"/>
              <w:jc w:val="center"/>
              <w:rPr>
                <w:rFonts w:ascii="Verdana"/>
                <w:sz w:val="22"/>
              </w:rPr>
            </w:pPr>
            <w:r>
              <w:rPr>
                <w:rFonts w:ascii="Verdana"/>
                <w:sz w:val="22"/>
              </w:rPr>
              <w:t>94%</w:t>
            </w:r>
          </w:p>
        </w:tc>
        <w:tc>
          <w:tcPr>
            <w:tcW w:w="1736" w:type="dxa"/>
          </w:tcPr>
          <w:p>
            <w:pPr>
              <w:pStyle w:val="TableParagraph"/>
              <w:spacing w:before="8"/>
              <w:rPr>
                <w:rFonts w:ascii="Verdana"/>
                <w:b/>
                <w:sz w:val="21"/>
              </w:rPr>
            </w:pPr>
          </w:p>
          <w:p>
            <w:pPr>
              <w:pStyle w:val="TableParagraph"/>
              <w:spacing w:line="249" w:lineRule="exact"/>
              <w:ind w:left="463" w:right="430"/>
              <w:jc w:val="center"/>
              <w:rPr>
                <w:rFonts w:ascii="Verdana"/>
                <w:sz w:val="22"/>
              </w:rPr>
            </w:pPr>
            <w:r>
              <w:rPr>
                <w:rFonts w:ascii="Verdana"/>
                <w:sz w:val="22"/>
              </w:rPr>
              <w:t>94%</w:t>
            </w:r>
          </w:p>
        </w:tc>
        <w:tc>
          <w:tcPr>
            <w:tcW w:w="1453" w:type="dxa"/>
          </w:tcPr>
          <w:p>
            <w:pPr>
              <w:pStyle w:val="TableParagraph"/>
              <w:spacing w:before="8"/>
              <w:rPr>
                <w:rFonts w:ascii="Verdana"/>
                <w:b/>
                <w:sz w:val="21"/>
              </w:rPr>
            </w:pPr>
          </w:p>
          <w:p>
            <w:pPr>
              <w:pStyle w:val="TableParagraph"/>
              <w:spacing w:line="249" w:lineRule="exact"/>
              <w:ind w:left="177" w:right="145"/>
              <w:jc w:val="center"/>
              <w:rPr>
                <w:rFonts w:ascii="Verdana"/>
                <w:b/>
                <w:sz w:val="22"/>
              </w:rPr>
            </w:pPr>
            <w:r>
              <w:rPr>
                <w:rFonts w:ascii="Verdana"/>
                <w:b/>
                <w:sz w:val="22"/>
              </w:rPr>
              <w:t>94%</w:t>
            </w:r>
          </w:p>
        </w:tc>
        <w:tc>
          <w:tcPr>
            <w:tcW w:w="1453" w:type="dxa"/>
          </w:tcPr>
          <w:p>
            <w:pPr>
              <w:pStyle w:val="TableParagraph"/>
              <w:spacing w:before="8"/>
              <w:rPr>
                <w:rFonts w:ascii="Verdana"/>
                <w:b/>
                <w:sz w:val="21"/>
              </w:rPr>
            </w:pPr>
          </w:p>
          <w:p>
            <w:pPr>
              <w:pStyle w:val="TableParagraph"/>
              <w:spacing w:line="249" w:lineRule="exact"/>
              <w:ind w:left="175" w:right="145"/>
              <w:jc w:val="center"/>
              <w:rPr>
                <w:rFonts w:ascii="Verdana"/>
                <w:b/>
                <w:sz w:val="22"/>
              </w:rPr>
            </w:pPr>
            <w:r>
              <w:rPr>
                <w:rFonts w:ascii="Verdana"/>
                <w:b/>
                <w:sz w:val="22"/>
              </w:rPr>
              <w:t>96%</w:t>
            </w:r>
          </w:p>
        </w:tc>
        <w:tc>
          <w:tcPr>
            <w:tcW w:w="1295" w:type="dxa"/>
          </w:tcPr>
          <w:p>
            <w:pPr>
              <w:pStyle w:val="TableParagraph"/>
              <w:spacing w:before="8"/>
              <w:rPr>
                <w:rFonts w:ascii="Verdana"/>
                <w:b/>
                <w:sz w:val="21"/>
              </w:rPr>
            </w:pPr>
          </w:p>
          <w:p>
            <w:pPr>
              <w:pStyle w:val="TableParagraph"/>
              <w:spacing w:line="249" w:lineRule="exact"/>
              <w:ind w:left="200" w:right="172"/>
              <w:jc w:val="center"/>
              <w:rPr>
                <w:rFonts w:ascii="Verdana"/>
                <w:b/>
                <w:sz w:val="22"/>
              </w:rPr>
            </w:pPr>
            <w:r>
              <w:rPr>
                <w:rFonts w:ascii="Verdana"/>
                <w:b/>
                <w:sz w:val="22"/>
              </w:rPr>
              <w:t>93%</w:t>
            </w:r>
          </w:p>
        </w:tc>
        <w:tc>
          <w:tcPr>
            <w:tcW w:w="1137" w:type="dxa"/>
          </w:tcPr>
          <w:p>
            <w:pPr>
              <w:pStyle w:val="TableParagraph"/>
              <w:spacing w:before="8"/>
              <w:rPr>
                <w:rFonts w:ascii="Verdana"/>
                <w:b/>
                <w:sz w:val="21"/>
              </w:rPr>
            </w:pPr>
          </w:p>
          <w:p>
            <w:pPr>
              <w:pStyle w:val="TableParagraph"/>
              <w:spacing w:line="249" w:lineRule="exact"/>
              <w:ind w:left="382"/>
              <w:rPr>
                <w:rFonts w:ascii="Verdana"/>
                <w:sz w:val="22"/>
              </w:rPr>
            </w:pPr>
            <w:r>
              <w:rPr>
                <w:rFonts w:ascii="Verdana"/>
                <w:sz w:val="22"/>
              </w:rPr>
              <w:t>2%</w:t>
            </w:r>
          </w:p>
        </w:tc>
      </w:tr>
      <w:tr>
        <w:trPr>
          <w:trHeight w:val="531" w:hRule="atLeast"/>
        </w:trPr>
        <w:tc>
          <w:tcPr>
            <w:tcW w:w="4054" w:type="dxa"/>
          </w:tcPr>
          <w:p>
            <w:pPr>
              <w:pStyle w:val="TableParagraph"/>
              <w:spacing w:line="255" w:lineRule="exact"/>
              <w:ind w:left="45"/>
              <w:rPr>
                <w:rFonts w:ascii="Verdana"/>
                <w:sz w:val="22"/>
              </w:rPr>
            </w:pPr>
            <w:r>
              <w:rPr>
                <w:rFonts w:ascii="Verdana"/>
                <w:sz w:val="22"/>
              </w:rPr>
              <w:t>Ride Time Performance</w:t>
            </w:r>
          </w:p>
          <w:p>
            <w:pPr>
              <w:pStyle w:val="TableParagraph"/>
              <w:spacing w:line="249" w:lineRule="exact" w:before="8"/>
              <w:ind w:left="45"/>
              <w:rPr>
                <w:rFonts w:ascii="Verdana"/>
                <w:sz w:val="22"/>
              </w:rPr>
            </w:pPr>
            <w:r>
              <w:rPr>
                <w:rFonts w:ascii="Verdana"/>
                <w:sz w:val="22"/>
              </w:rPr>
              <w:t>(length of time - goal 95%)</w:t>
            </w:r>
          </w:p>
        </w:tc>
        <w:tc>
          <w:tcPr>
            <w:tcW w:w="1784" w:type="dxa"/>
          </w:tcPr>
          <w:p>
            <w:pPr>
              <w:pStyle w:val="TableParagraph"/>
              <w:spacing w:before="8"/>
              <w:rPr>
                <w:rFonts w:ascii="Verdana"/>
                <w:b/>
                <w:sz w:val="21"/>
              </w:rPr>
            </w:pPr>
          </w:p>
          <w:p>
            <w:pPr>
              <w:pStyle w:val="TableParagraph"/>
              <w:spacing w:line="249" w:lineRule="exact"/>
              <w:ind w:left="489" w:right="453"/>
              <w:jc w:val="center"/>
              <w:rPr>
                <w:rFonts w:ascii="Verdana"/>
                <w:sz w:val="22"/>
              </w:rPr>
            </w:pPr>
            <w:r>
              <w:rPr>
                <w:rFonts w:ascii="Verdana"/>
                <w:sz w:val="22"/>
              </w:rPr>
              <w:t>99%</w:t>
            </w:r>
          </w:p>
        </w:tc>
        <w:tc>
          <w:tcPr>
            <w:tcW w:w="1767" w:type="dxa"/>
          </w:tcPr>
          <w:p>
            <w:pPr>
              <w:pStyle w:val="TableParagraph"/>
              <w:spacing w:before="8"/>
              <w:rPr>
                <w:rFonts w:ascii="Verdana"/>
                <w:b/>
                <w:sz w:val="21"/>
              </w:rPr>
            </w:pPr>
          </w:p>
          <w:p>
            <w:pPr>
              <w:pStyle w:val="TableParagraph"/>
              <w:spacing w:line="249" w:lineRule="exact"/>
              <w:ind w:left="478" w:right="446"/>
              <w:jc w:val="center"/>
              <w:rPr>
                <w:rFonts w:ascii="Verdana"/>
                <w:sz w:val="22"/>
              </w:rPr>
            </w:pPr>
            <w:r>
              <w:rPr>
                <w:rFonts w:ascii="Verdana"/>
                <w:sz w:val="22"/>
              </w:rPr>
              <w:t>99%</w:t>
            </w:r>
          </w:p>
        </w:tc>
        <w:tc>
          <w:tcPr>
            <w:tcW w:w="1736" w:type="dxa"/>
          </w:tcPr>
          <w:p>
            <w:pPr>
              <w:pStyle w:val="TableParagraph"/>
              <w:spacing w:before="8"/>
              <w:rPr>
                <w:rFonts w:ascii="Verdana"/>
                <w:b/>
                <w:sz w:val="21"/>
              </w:rPr>
            </w:pPr>
          </w:p>
          <w:p>
            <w:pPr>
              <w:pStyle w:val="TableParagraph"/>
              <w:spacing w:line="249" w:lineRule="exact"/>
              <w:ind w:left="463" w:right="430"/>
              <w:jc w:val="center"/>
              <w:rPr>
                <w:rFonts w:ascii="Verdana"/>
                <w:sz w:val="22"/>
              </w:rPr>
            </w:pPr>
            <w:r>
              <w:rPr>
                <w:rFonts w:ascii="Verdana"/>
                <w:sz w:val="22"/>
              </w:rPr>
              <w:t>99%</w:t>
            </w:r>
          </w:p>
        </w:tc>
        <w:tc>
          <w:tcPr>
            <w:tcW w:w="1453" w:type="dxa"/>
          </w:tcPr>
          <w:p>
            <w:pPr>
              <w:pStyle w:val="TableParagraph"/>
              <w:spacing w:before="8"/>
              <w:rPr>
                <w:rFonts w:ascii="Verdana"/>
                <w:b/>
                <w:sz w:val="21"/>
              </w:rPr>
            </w:pPr>
          </w:p>
          <w:p>
            <w:pPr>
              <w:pStyle w:val="TableParagraph"/>
              <w:spacing w:line="249" w:lineRule="exact"/>
              <w:ind w:left="177" w:right="145"/>
              <w:jc w:val="center"/>
              <w:rPr>
                <w:rFonts w:ascii="Verdana"/>
                <w:b/>
                <w:sz w:val="22"/>
              </w:rPr>
            </w:pPr>
            <w:r>
              <w:rPr>
                <w:rFonts w:ascii="Verdana"/>
                <w:b/>
                <w:sz w:val="22"/>
              </w:rPr>
              <w:t>99%</w:t>
            </w:r>
          </w:p>
        </w:tc>
        <w:tc>
          <w:tcPr>
            <w:tcW w:w="1453" w:type="dxa"/>
          </w:tcPr>
          <w:p>
            <w:pPr>
              <w:pStyle w:val="TableParagraph"/>
              <w:spacing w:before="8"/>
              <w:rPr>
                <w:rFonts w:ascii="Verdana"/>
                <w:b/>
                <w:sz w:val="21"/>
              </w:rPr>
            </w:pPr>
          </w:p>
          <w:p>
            <w:pPr>
              <w:pStyle w:val="TableParagraph"/>
              <w:spacing w:line="249" w:lineRule="exact"/>
              <w:ind w:left="175" w:right="145"/>
              <w:jc w:val="center"/>
              <w:rPr>
                <w:rFonts w:ascii="Verdana"/>
                <w:b/>
                <w:sz w:val="22"/>
              </w:rPr>
            </w:pPr>
            <w:r>
              <w:rPr>
                <w:rFonts w:ascii="Verdana"/>
                <w:b/>
                <w:sz w:val="22"/>
              </w:rPr>
              <w:t>99%</w:t>
            </w:r>
          </w:p>
        </w:tc>
        <w:tc>
          <w:tcPr>
            <w:tcW w:w="1295" w:type="dxa"/>
          </w:tcPr>
          <w:p>
            <w:pPr>
              <w:pStyle w:val="TableParagraph"/>
              <w:spacing w:before="8"/>
              <w:rPr>
                <w:rFonts w:ascii="Verdana"/>
                <w:b/>
                <w:sz w:val="21"/>
              </w:rPr>
            </w:pPr>
          </w:p>
          <w:p>
            <w:pPr>
              <w:pStyle w:val="TableParagraph"/>
              <w:spacing w:line="249" w:lineRule="exact"/>
              <w:ind w:left="200" w:right="173"/>
              <w:jc w:val="center"/>
              <w:rPr>
                <w:rFonts w:ascii="Verdana"/>
                <w:b/>
                <w:sz w:val="22"/>
              </w:rPr>
            </w:pPr>
            <w:r>
              <w:rPr>
                <w:rFonts w:ascii="Verdana"/>
                <w:b/>
                <w:sz w:val="22"/>
              </w:rPr>
              <w:t>100%</w:t>
            </w:r>
          </w:p>
        </w:tc>
        <w:tc>
          <w:tcPr>
            <w:tcW w:w="1137" w:type="dxa"/>
          </w:tcPr>
          <w:p>
            <w:pPr>
              <w:pStyle w:val="TableParagraph"/>
              <w:spacing w:before="8"/>
              <w:rPr>
                <w:rFonts w:ascii="Verdana"/>
                <w:b/>
                <w:sz w:val="21"/>
              </w:rPr>
            </w:pPr>
          </w:p>
          <w:p>
            <w:pPr>
              <w:pStyle w:val="TableParagraph"/>
              <w:spacing w:line="249" w:lineRule="exact"/>
              <w:ind w:right="306"/>
              <w:jc w:val="right"/>
              <w:rPr>
                <w:rFonts w:ascii="Verdana"/>
                <w:sz w:val="22"/>
              </w:rPr>
            </w:pPr>
            <w:r>
              <w:rPr>
                <w:rFonts w:ascii="Verdana"/>
                <w:color w:val="FF0000"/>
                <w:sz w:val="22"/>
              </w:rPr>
              <w:t>-1%</w:t>
            </w:r>
          </w:p>
        </w:tc>
      </w:tr>
      <w:tr>
        <w:trPr>
          <w:trHeight w:val="531" w:hRule="atLeast"/>
        </w:trPr>
        <w:tc>
          <w:tcPr>
            <w:tcW w:w="4054" w:type="dxa"/>
          </w:tcPr>
          <w:p>
            <w:pPr>
              <w:pStyle w:val="TableParagraph"/>
              <w:spacing w:line="255" w:lineRule="exact"/>
              <w:ind w:left="45"/>
              <w:rPr>
                <w:rFonts w:ascii="Verdana"/>
                <w:sz w:val="22"/>
              </w:rPr>
            </w:pPr>
            <w:r>
              <w:rPr>
                <w:rFonts w:ascii="Verdana"/>
                <w:sz w:val="22"/>
              </w:rPr>
              <w:t>Drop Off Time Performance</w:t>
            </w:r>
          </w:p>
          <w:p>
            <w:pPr>
              <w:pStyle w:val="TableParagraph"/>
              <w:spacing w:line="249" w:lineRule="exact" w:before="8"/>
              <w:ind w:left="45"/>
              <w:rPr>
                <w:rFonts w:ascii="Verdana"/>
                <w:sz w:val="22"/>
              </w:rPr>
            </w:pPr>
            <w:r>
              <w:rPr>
                <w:rFonts w:ascii="Verdana"/>
                <w:sz w:val="22"/>
              </w:rPr>
              <w:t>(&gt; 25 mins before - goal 95%)</w:t>
            </w:r>
          </w:p>
        </w:tc>
        <w:tc>
          <w:tcPr>
            <w:tcW w:w="1784" w:type="dxa"/>
          </w:tcPr>
          <w:p>
            <w:pPr>
              <w:pStyle w:val="TableParagraph"/>
              <w:spacing w:before="8"/>
              <w:rPr>
                <w:rFonts w:ascii="Verdana"/>
                <w:b/>
                <w:sz w:val="21"/>
              </w:rPr>
            </w:pPr>
          </w:p>
          <w:p>
            <w:pPr>
              <w:pStyle w:val="TableParagraph"/>
              <w:spacing w:line="249" w:lineRule="exact"/>
              <w:ind w:left="489" w:right="453"/>
              <w:jc w:val="center"/>
              <w:rPr>
                <w:rFonts w:ascii="Verdana"/>
                <w:sz w:val="22"/>
              </w:rPr>
            </w:pPr>
            <w:r>
              <w:rPr>
                <w:rFonts w:ascii="Verdana"/>
                <w:sz w:val="22"/>
              </w:rPr>
              <w:t>94%</w:t>
            </w:r>
          </w:p>
        </w:tc>
        <w:tc>
          <w:tcPr>
            <w:tcW w:w="1767" w:type="dxa"/>
          </w:tcPr>
          <w:p>
            <w:pPr>
              <w:pStyle w:val="TableParagraph"/>
              <w:spacing w:before="8"/>
              <w:rPr>
                <w:rFonts w:ascii="Verdana"/>
                <w:b/>
                <w:sz w:val="21"/>
              </w:rPr>
            </w:pPr>
          </w:p>
          <w:p>
            <w:pPr>
              <w:pStyle w:val="TableParagraph"/>
              <w:spacing w:line="249" w:lineRule="exact"/>
              <w:ind w:left="478" w:right="446"/>
              <w:jc w:val="center"/>
              <w:rPr>
                <w:rFonts w:ascii="Verdana"/>
                <w:sz w:val="22"/>
              </w:rPr>
            </w:pPr>
            <w:r>
              <w:rPr>
                <w:rFonts w:ascii="Verdana"/>
                <w:sz w:val="22"/>
              </w:rPr>
              <w:t>92%</w:t>
            </w:r>
          </w:p>
        </w:tc>
        <w:tc>
          <w:tcPr>
            <w:tcW w:w="1736" w:type="dxa"/>
          </w:tcPr>
          <w:p>
            <w:pPr>
              <w:pStyle w:val="TableParagraph"/>
              <w:spacing w:before="8"/>
              <w:rPr>
                <w:rFonts w:ascii="Verdana"/>
                <w:b/>
                <w:sz w:val="21"/>
              </w:rPr>
            </w:pPr>
          </w:p>
          <w:p>
            <w:pPr>
              <w:pStyle w:val="TableParagraph"/>
              <w:spacing w:line="249" w:lineRule="exact"/>
              <w:ind w:left="463" w:right="430"/>
              <w:jc w:val="center"/>
              <w:rPr>
                <w:rFonts w:ascii="Verdana"/>
                <w:sz w:val="22"/>
              </w:rPr>
            </w:pPr>
            <w:r>
              <w:rPr>
                <w:rFonts w:ascii="Verdana"/>
                <w:sz w:val="22"/>
              </w:rPr>
              <w:t>92%</w:t>
            </w:r>
          </w:p>
        </w:tc>
        <w:tc>
          <w:tcPr>
            <w:tcW w:w="1453" w:type="dxa"/>
          </w:tcPr>
          <w:p>
            <w:pPr>
              <w:pStyle w:val="TableParagraph"/>
              <w:spacing w:before="8"/>
              <w:rPr>
                <w:rFonts w:ascii="Verdana"/>
                <w:b/>
                <w:sz w:val="21"/>
              </w:rPr>
            </w:pPr>
          </w:p>
          <w:p>
            <w:pPr>
              <w:pStyle w:val="TableParagraph"/>
              <w:spacing w:line="249" w:lineRule="exact"/>
              <w:ind w:left="177" w:right="145"/>
              <w:jc w:val="center"/>
              <w:rPr>
                <w:rFonts w:ascii="Verdana"/>
                <w:b/>
                <w:sz w:val="22"/>
              </w:rPr>
            </w:pPr>
            <w:r>
              <w:rPr>
                <w:rFonts w:ascii="Verdana"/>
                <w:b/>
                <w:sz w:val="22"/>
              </w:rPr>
              <w:t>93%</w:t>
            </w:r>
          </w:p>
        </w:tc>
        <w:tc>
          <w:tcPr>
            <w:tcW w:w="1453" w:type="dxa"/>
          </w:tcPr>
          <w:p>
            <w:pPr>
              <w:pStyle w:val="TableParagraph"/>
              <w:spacing w:before="8"/>
              <w:rPr>
                <w:rFonts w:ascii="Verdana"/>
                <w:b/>
                <w:sz w:val="21"/>
              </w:rPr>
            </w:pPr>
          </w:p>
          <w:p>
            <w:pPr>
              <w:pStyle w:val="TableParagraph"/>
              <w:spacing w:line="249" w:lineRule="exact"/>
              <w:ind w:left="175" w:right="145"/>
              <w:jc w:val="center"/>
              <w:rPr>
                <w:rFonts w:ascii="Verdana"/>
                <w:b/>
                <w:sz w:val="22"/>
              </w:rPr>
            </w:pPr>
            <w:r>
              <w:rPr>
                <w:rFonts w:ascii="Verdana"/>
                <w:b/>
                <w:sz w:val="22"/>
              </w:rPr>
              <w:t>92%</w:t>
            </w:r>
          </w:p>
        </w:tc>
        <w:tc>
          <w:tcPr>
            <w:tcW w:w="1295" w:type="dxa"/>
          </w:tcPr>
          <w:p>
            <w:pPr>
              <w:pStyle w:val="TableParagraph"/>
              <w:spacing w:before="8"/>
              <w:rPr>
                <w:rFonts w:ascii="Verdana"/>
                <w:b/>
                <w:sz w:val="21"/>
              </w:rPr>
            </w:pPr>
          </w:p>
          <w:p>
            <w:pPr>
              <w:pStyle w:val="TableParagraph"/>
              <w:spacing w:line="249" w:lineRule="exact"/>
              <w:ind w:left="200" w:right="172"/>
              <w:jc w:val="center"/>
              <w:rPr>
                <w:rFonts w:ascii="Verdana"/>
                <w:b/>
                <w:sz w:val="22"/>
              </w:rPr>
            </w:pPr>
            <w:r>
              <w:rPr>
                <w:rFonts w:ascii="Verdana"/>
                <w:b/>
                <w:sz w:val="22"/>
              </w:rPr>
              <w:t>87%</w:t>
            </w:r>
          </w:p>
        </w:tc>
        <w:tc>
          <w:tcPr>
            <w:tcW w:w="1137" w:type="dxa"/>
          </w:tcPr>
          <w:p>
            <w:pPr>
              <w:pStyle w:val="TableParagraph"/>
              <w:spacing w:before="8"/>
              <w:rPr>
                <w:rFonts w:ascii="Verdana"/>
                <w:b/>
                <w:sz w:val="21"/>
              </w:rPr>
            </w:pPr>
          </w:p>
          <w:p>
            <w:pPr>
              <w:pStyle w:val="TableParagraph"/>
              <w:spacing w:line="249" w:lineRule="exact"/>
              <w:ind w:left="382"/>
              <w:rPr>
                <w:rFonts w:ascii="Verdana"/>
                <w:sz w:val="22"/>
              </w:rPr>
            </w:pPr>
            <w:r>
              <w:rPr>
                <w:rFonts w:ascii="Verdana"/>
                <w:sz w:val="22"/>
              </w:rPr>
              <w:t>6%</w:t>
            </w:r>
          </w:p>
        </w:tc>
      </w:tr>
      <w:tr>
        <w:trPr>
          <w:trHeight w:val="532" w:hRule="atLeast"/>
        </w:trPr>
        <w:tc>
          <w:tcPr>
            <w:tcW w:w="4054" w:type="dxa"/>
          </w:tcPr>
          <w:p>
            <w:pPr>
              <w:pStyle w:val="TableParagraph"/>
              <w:spacing w:line="255" w:lineRule="exact"/>
              <w:ind w:left="45"/>
              <w:rPr>
                <w:rFonts w:ascii="Verdana"/>
                <w:sz w:val="22"/>
              </w:rPr>
            </w:pPr>
            <w:r>
              <w:rPr>
                <w:rFonts w:ascii="Verdana"/>
                <w:sz w:val="22"/>
              </w:rPr>
              <w:t>Telephone Access:</w:t>
            </w:r>
          </w:p>
          <w:p>
            <w:pPr>
              <w:pStyle w:val="TableParagraph"/>
              <w:spacing w:line="249" w:lineRule="exact" w:before="8"/>
              <w:ind w:left="45"/>
              <w:rPr>
                <w:rFonts w:ascii="Verdana"/>
                <w:sz w:val="22"/>
              </w:rPr>
            </w:pPr>
            <w:r>
              <w:rPr>
                <w:rFonts w:ascii="Verdana"/>
                <w:sz w:val="22"/>
              </w:rPr>
              <w:t>(Answered w/in 2 min.goal 85%)</w:t>
            </w:r>
          </w:p>
        </w:tc>
        <w:tc>
          <w:tcPr>
            <w:tcW w:w="1784" w:type="dxa"/>
          </w:tcPr>
          <w:p>
            <w:pPr>
              <w:pStyle w:val="TableParagraph"/>
              <w:spacing w:before="8"/>
              <w:rPr>
                <w:rFonts w:ascii="Verdana"/>
                <w:b/>
                <w:sz w:val="21"/>
              </w:rPr>
            </w:pPr>
          </w:p>
          <w:p>
            <w:pPr>
              <w:pStyle w:val="TableParagraph"/>
              <w:spacing w:line="249" w:lineRule="exact"/>
              <w:ind w:left="489" w:right="453"/>
              <w:jc w:val="center"/>
              <w:rPr>
                <w:rFonts w:ascii="Verdana"/>
                <w:sz w:val="22"/>
              </w:rPr>
            </w:pPr>
            <w:r>
              <w:rPr>
                <w:rFonts w:ascii="Verdana"/>
                <w:sz w:val="22"/>
              </w:rPr>
              <w:t>75%</w:t>
            </w:r>
          </w:p>
        </w:tc>
        <w:tc>
          <w:tcPr>
            <w:tcW w:w="1767" w:type="dxa"/>
          </w:tcPr>
          <w:p>
            <w:pPr>
              <w:pStyle w:val="TableParagraph"/>
              <w:spacing w:before="8"/>
              <w:rPr>
                <w:rFonts w:ascii="Verdana"/>
                <w:b/>
                <w:sz w:val="21"/>
              </w:rPr>
            </w:pPr>
          </w:p>
          <w:p>
            <w:pPr>
              <w:pStyle w:val="TableParagraph"/>
              <w:spacing w:line="249" w:lineRule="exact"/>
              <w:ind w:left="478" w:right="446"/>
              <w:jc w:val="center"/>
              <w:rPr>
                <w:rFonts w:ascii="Verdana"/>
                <w:sz w:val="22"/>
              </w:rPr>
            </w:pPr>
            <w:r>
              <w:rPr>
                <w:rFonts w:ascii="Verdana"/>
                <w:sz w:val="22"/>
              </w:rPr>
              <w:t>75%</w:t>
            </w:r>
          </w:p>
        </w:tc>
        <w:tc>
          <w:tcPr>
            <w:tcW w:w="1736" w:type="dxa"/>
          </w:tcPr>
          <w:p>
            <w:pPr>
              <w:pStyle w:val="TableParagraph"/>
              <w:spacing w:before="8"/>
              <w:rPr>
                <w:rFonts w:ascii="Verdana"/>
                <w:b/>
                <w:sz w:val="21"/>
              </w:rPr>
            </w:pPr>
          </w:p>
          <w:p>
            <w:pPr>
              <w:pStyle w:val="TableParagraph"/>
              <w:spacing w:line="249" w:lineRule="exact"/>
              <w:ind w:left="463" w:right="430"/>
              <w:jc w:val="center"/>
              <w:rPr>
                <w:rFonts w:ascii="Verdana"/>
                <w:sz w:val="22"/>
              </w:rPr>
            </w:pPr>
            <w:r>
              <w:rPr>
                <w:rFonts w:ascii="Verdana"/>
                <w:sz w:val="22"/>
              </w:rPr>
              <w:t>76%</w:t>
            </w:r>
          </w:p>
        </w:tc>
        <w:tc>
          <w:tcPr>
            <w:tcW w:w="1453" w:type="dxa"/>
          </w:tcPr>
          <w:p>
            <w:pPr>
              <w:pStyle w:val="TableParagraph"/>
              <w:spacing w:before="8"/>
              <w:rPr>
                <w:rFonts w:ascii="Verdana"/>
                <w:b/>
                <w:sz w:val="21"/>
              </w:rPr>
            </w:pPr>
          </w:p>
          <w:p>
            <w:pPr>
              <w:pStyle w:val="TableParagraph"/>
              <w:spacing w:line="249" w:lineRule="exact"/>
              <w:ind w:left="177" w:right="145"/>
              <w:jc w:val="center"/>
              <w:rPr>
                <w:rFonts w:ascii="Verdana"/>
                <w:b/>
                <w:sz w:val="22"/>
              </w:rPr>
            </w:pPr>
            <w:r>
              <w:rPr>
                <w:rFonts w:ascii="Verdana"/>
                <w:b/>
                <w:sz w:val="22"/>
              </w:rPr>
              <w:t>75%</w:t>
            </w:r>
          </w:p>
        </w:tc>
        <w:tc>
          <w:tcPr>
            <w:tcW w:w="1453" w:type="dxa"/>
          </w:tcPr>
          <w:p>
            <w:pPr>
              <w:pStyle w:val="TableParagraph"/>
              <w:spacing w:before="8"/>
              <w:rPr>
                <w:rFonts w:ascii="Verdana"/>
                <w:b/>
                <w:sz w:val="21"/>
              </w:rPr>
            </w:pPr>
          </w:p>
          <w:p>
            <w:pPr>
              <w:pStyle w:val="TableParagraph"/>
              <w:spacing w:line="249" w:lineRule="exact"/>
              <w:ind w:left="175" w:right="145"/>
              <w:jc w:val="center"/>
              <w:rPr>
                <w:rFonts w:ascii="Verdana"/>
                <w:b/>
                <w:sz w:val="22"/>
              </w:rPr>
            </w:pPr>
            <w:r>
              <w:rPr>
                <w:rFonts w:ascii="Verdana"/>
                <w:b/>
                <w:sz w:val="22"/>
              </w:rPr>
              <w:t>58%</w:t>
            </w:r>
          </w:p>
        </w:tc>
        <w:tc>
          <w:tcPr>
            <w:tcW w:w="1295" w:type="dxa"/>
          </w:tcPr>
          <w:p>
            <w:pPr>
              <w:pStyle w:val="TableParagraph"/>
              <w:spacing w:before="8"/>
              <w:rPr>
                <w:rFonts w:ascii="Verdana"/>
                <w:b/>
                <w:sz w:val="21"/>
              </w:rPr>
            </w:pPr>
          </w:p>
          <w:p>
            <w:pPr>
              <w:pStyle w:val="TableParagraph"/>
              <w:spacing w:line="249" w:lineRule="exact"/>
              <w:ind w:left="200" w:right="172"/>
              <w:jc w:val="center"/>
              <w:rPr>
                <w:rFonts w:ascii="Verdana"/>
                <w:b/>
                <w:sz w:val="22"/>
              </w:rPr>
            </w:pPr>
            <w:r>
              <w:rPr>
                <w:rFonts w:ascii="Verdana"/>
                <w:b/>
                <w:sz w:val="22"/>
              </w:rPr>
              <w:t>84%</w:t>
            </w:r>
          </w:p>
        </w:tc>
        <w:tc>
          <w:tcPr>
            <w:tcW w:w="1137" w:type="dxa"/>
          </w:tcPr>
          <w:p>
            <w:pPr>
              <w:pStyle w:val="TableParagraph"/>
              <w:spacing w:before="8"/>
              <w:rPr>
                <w:rFonts w:ascii="Verdana"/>
                <w:b/>
                <w:sz w:val="21"/>
              </w:rPr>
            </w:pPr>
          </w:p>
          <w:p>
            <w:pPr>
              <w:pStyle w:val="TableParagraph"/>
              <w:spacing w:line="249" w:lineRule="exact"/>
              <w:ind w:right="234"/>
              <w:jc w:val="right"/>
              <w:rPr>
                <w:rFonts w:ascii="Verdana"/>
                <w:sz w:val="22"/>
              </w:rPr>
            </w:pPr>
            <w:r>
              <w:rPr>
                <w:rFonts w:ascii="Verdana"/>
                <w:color w:val="FF0000"/>
                <w:sz w:val="22"/>
              </w:rPr>
              <w:t>-10%</w:t>
            </w:r>
          </w:p>
        </w:tc>
      </w:tr>
    </w:tbl>
    <w:p>
      <w:pPr>
        <w:pStyle w:val="BodyText"/>
        <w:rPr>
          <w:rFonts w:ascii="Verdana"/>
          <w:b/>
          <w:sz w:val="20"/>
        </w:rPr>
      </w:pPr>
    </w:p>
    <w:p>
      <w:pPr>
        <w:pStyle w:val="BodyText"/>
        <w:spacing w:before="10"/>
        <w:rPr>
          <w:rFonts w:ascii="Verdana"/>
          <w:b/>
          <w:sz w:val="23"/>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54"/>
        <w:gridCol w:w="1784"/>
        <w:gridCol w:w="1767"/>
        <w:gridCol w:w="1736"/>
        <w:gridCol w:w="1453"/>
        <w:gridCol w:w="1453"/>
        <w:gridCol w:w="1295"/>
        <w:gridCol w:w="1137"/>
      </w:tblGrid>
      <w:tr>
        <w:trPr>
          <w:trHeight w:val="255" w:hRule="atLeast"/>
        </w:trPr>
        <w:tc>
          <w:tcPr>
            <w:tcW w:w="4054" w:type="dxa"/>
            <w:shd w:val="clear" w:color="auto" w:fill="A5A5A5"/>
          </w:tcPr>
          <w:p>
            <w:pPr>
              <w:pStyle w:val="TableParagraph"/>
              <w:spacing w:line="236" w:lineRule="exact"/>
              <w:ind w:left="49"/>
              <w:rPr>
                <w:rFonts w:ascii="Verdana"/>
                <w:b/>
                <w:sz w:val="22"/>
              </w:rPr>
            </w:pPr>
            <w:r>
              <w:rPr>
                <w:rFonts w:ascii="Verdana"/>
                <w:b/>
                <w:sz w:val="22"/>
              </w:rPr>
              <w:t>MOBILITY DEVICE TRIPS</w:t>
            </w:r>
          </w:p>
        </w:tc>
        <w:tc>
          <w:tcPr>
            <w:tcW w:w="1784" w:type="dxa"/>
          </w:tcPr>
          <w:p>
            <w:pPr>
              <w:pStyle w:val="TableParagraph"/>
              <w:spacing w:line="236" w:lineRule="exact"/>
              <w:ind w:left="582"/>
              <w:rPr>
                <w:rFonts w:ascii="Verdana"/>
                <w:sz w:val="22"/>
              </w:rPr>
            </w:pPr>
            <w:r>
              <w:rPr>
                <w:rFonts w:ascii="Verdana"/>
                <w:sz w:val="22"/>
              </w:rPr>
              <w:t>2,868</w:t>
            </w:r>
          </w:p>
        </w:tc>
        <w:tc>
          <w:tcPr>
            <w:tcW w:w="1767" w:type="dxa"/>
          </w:tcPr>
          <w:p>
            <w:pPr>
              <w:pStyle w:val="TableParagraph"/>
              <w:spacing w:line="236" w:lineRule="exact"/>
              <w:ind w:left="480" w:right="444"/>
              <w:jc w:val="center"/>
              <w:rPr>
                <w:rFonts w:ascii="Verdana"/>
                <w:sz w:val="22"/>
              </w:rPr>
            </w:pPr>
            <w:r>
              <w:rPr>
                <w:rFonts w:ascii="Verdana"/>
                <w:sz w:val="22"/>
              </w:rPr>
              <w:t>3,014</w:t>
            </w:r>
          </w:p>
        </w:tc>
        <w:tc>
          <w:tcPr>
            <w:tcW w:w="1736" w:type="dxa"/>
          </w:tcPr>
          <w:p>
            <w:pPr>
              <w:pStyle w:val="TableParagraph"/>
              <w:spacing w:line="236" w:lineRule="exact"/>
              <w:ind w:left="556"/>
              <w:rPr>
                <w:rFonts w:ascii="Verdana"/>
                <w:sz w:val="22"/>
              </w:rPr>
            </w:pPr>
            <w:r>
              <w:rPr>
                <w:rFonts w:ascii="Verdana"/>
                <w:sz w:val="22"/>
              </w:rPr>
              <w:t>3,105</w:t>
            </w:r>
          </w:p>
        </w:tc>
        <w:tc>
          <w:tcPr>
            <w:tcW w:w="1453" w:type="dxa"/>
          </w:tcPr>
          <w:p>
            <w:pPr>
              <w:pStyle w:val="TableParagraph"/>
              <w:spacing w:line="236" w:lineRule="exact"/>
              <w:ind w:left="380"/>
              <w:rPr>
                <w:rFonts w:ascii="Verdana"/>
                <w:b/>
                <w:sz w:val="22"/>
              </w:rPr>
            </w:pPr>
            <w:r>
              <w:rPr>
                <w:rFonts w:ascii="Verdana"/>
                <w:b/>
                <w:sz w:val="22"/>
              </w:rPr>
              <w:t>8,987</w:t>
            </w:r>
          </w:p>
        </w:tc>
        <w:tc>
          <w:tcPr>
            <w:tcW w:w="1453" w:type="dxa"/>
          </w:tcPr>
          <w:p>
            <w:pPr>
              <w:pStyle w:val="TableParagraph"/>
              <w:spacing w:line="236" w:lineRule="exact"/>
              <w:ind w:left="379"/>
              <w:rPr>
                <w:rFonts w:ascii="Verdana"/>
                <w:b/>
                <w:sz w:val="22"/>
              </w:rPr>
            </w:pPr>
            <w:r>
              <w:rPr>
                <w:rFonts w:ascii="Verdana"/>
                <w:b/>
                <w:sz w:val="22"/>
              </w:rPr>
              <w:t>7,262</w:t>
            </w:r>
          </w:p>
        </w:tc>
        <w:tc>
          <w:tcPr>
            <w:tcW w:w="1295" w:type="dxa"/>
          </w:tcPr>
          <w:p>
            <w:pPr>
              <w:pStyle w:val="TableParagraph"/>
              <w:spacing w:line="236" w:lineRule="exact"/>
              <w:ind w:right="269"/>
              <w:jc w:val="right"/>
              <w:rPr>
                <w:rFonts w:ascii="Verdana"/>
                <w:b/>
                <w:sz w:val="22"/>
              </w:rPr>
            </w:pPr>
            <w:r>
              <w:rPr>
                <w:rFonts w:ascii="Verdana"/>
                <w:b/>
                <w:sz w:val="22"/>
              </w:rPr>
              <w:t>7,825</w:t>
            </w:r>
          </w:p>
        </w:tc>
        <w:tc>
          <w:tcPr>
            <w:tcW w:w="1137" w:type="dxa"/>
          </w:tcPr>
          <w:p>
            <w:pPr>
              <w:pStyle w:val="TableParagraph"/>
              <w:spacing w:line="236" w:lineRule="exact"/>
              <w:ind w:left="171" w:right="147"/>
              <w:jc w:val="center"/>
              <w:rPr>
                <w:rFonts w:ascii="Verdana"/>
                <w:sz w:val="22"/>
              </w:rPr>
            </w:pPr>
            <w:r>
              <w:rPr>
                <w:rFonts w:ascii="Verdana"/>
                <w:sz w:val="22"/>
              </w:rPr>
              <w:t>15%</w:t>
            </w:r>
          </w:p>
        </w:tc>
      </w:tr>
      <w:tr>
        <w:trPr>
          <w:trHeight w:val="256" w:hRule="atLeast"/>
        </w:trPr>
        <w:tc>
          <w:tcPr>
            <w:tcW w:w="4054" w:type="dxa"/>
            <w:shd w:val="clear" w:color="auto" w:fill="A5A5A5"/>
          </w:tcPr>
          <w:p>
            <w:pPr>
              <w:pStyle w:val="TableParagraph"/>
              <w:spacing w:line="236" w:lineRule="exact"/>
              <w:ind w:left="49"/>
              <w:rPr>
                <w:rFonts w:ascii="Verdana"/>
                <w:b/>
                <w:sz w:val="22"/>
              </w:rPr>
            </w:pPr>
            <w:r>
              <w:rPr>
                <w:rFonts w:ascii="Verdana"/>
                <w:b/>
                <w:sz w:val="22"/>
              </w:rPr>
              <w:t>% Rides MOBILITY DEVICE</w:t>
            </w:r>
          </w:p>
        </w:tc>
        <w:tc>
          <w:tcPr>
            <w:tcW w:w="1784" w:type="dxa"/>
          </w:tcPr>
          <w:p>
            <w:pPr>
              <w:pStyle w:val="TableParagraph"/>
              <w:spacing w:line="236" w:lineRule="exact"/>
              <w:ind w:left="642"/>
              <w:rPr>
                <w:rFonts w:ascii="Verdana"/>
                <w:sz w:val="22"/>
              </w:rPr>
            </w:pPr>
            <w:r>
              <w:rPr>
                <w:rFonts w:ascii="Verdana"/>
                <w:sz w:val="22"/>
              </w:rPr>
              <w:t>17%</w:t>
            </w:r>
          </w:p>
        </w:tc>
        <w:tc>
          <w:tcPr>
            <w:tcW w:w="1767" w:type="dxa"/>
          </w:tcPr>
          <w:p>
            <w:pPr>
              <w:pStyle w:val="TableParagraph"/>
              <w:spacing w:line="236" w:lineRule="exact"/>
              <w:ind w:left="478" w:right="446"/>
              <w:jc w:val="center"/>
              <w:rPr>
                <w:rFonts w:ascii="Verdana"/>
                <w:sz w:val="22"/>
              </w:rPr>
            </w:pPr>
            <w:r>
              <w:rPr>
                <w:rFonts w:ascii="Verdana"/>
                <w:sz w:val="22"/>
              </w:rPr>
              <w:t>18%</w:t>
            </w:r>
          </w:p>
        </w:tc>
        <w:tc>
          <w:tcPr>
            <w:tcW w:w="1736" w:type="dxa"/>
          </w:tcPr>
          <w:p>
            <w:pPr>
              <w:pStyle w:val="TableParagraph"/>
              <w:spacing w:line="236" w:lineRule="exact"/>
              <w:ind w:left="616"/>
              <w:rPr>
                <w:rFonts w:ascii="Verdana"/>
                <w:sz w:val="22"/>
              </w:rPr>
            </w:pPr>
            <w:r>
              <w:rPr>
                <w:rFonts w:ascii="Verdana"/>
                <w:sz w:val="22"/>
              </w:rPr>
              <w:t>18%</w:t>
            </w:r>
          </w:p>
        </w:tc>
        <w:tc>
          <w:tcPr>
            <w:tcW w:w="1453" w:type="dxa"/>
          </w:tcPr>
          <w:p>
            <w:pPr>
              <w:pStyle w:val="TableParagraph"/>
              <w:spacing w:line="236" w:lineRule="exact"/>
              <w:ind w:left="436"/>
              <w:rPr>
                <w:rFonts w:ascii="Verdana"/>
                <w:b/>
                <w:sz w:val="22"/>
              </w:rPr>
            </w:pPr>
            <w:r>
              <w:rPr>
                <w:rFonts w:ascii="Verdana"/>
                <w:b/>
                <w:sz w:val="22"/>
              </w:rPr>
              <w:t>18%</w:t>
            </w:r>
          </w:p>
        </w:tc>
        <w:tc>
          <w:tcPr>
            <w:tcW w:w="1453" w:type="dxa"/>
          </w:tcPr>
          <w:p>
            <w:pPr>
              <w:pStyle w:val="TableParagraph"/>
              <w:spacing w:line="236" w:lineRule="exact"/>
              <w:ind w:left="435"/>
              <w:rPr>
                <w:rFonts w:ascii="Verdana"/>
                <w:b/>
                <w:sz w:val="22"/>
              </w:rPr>
            </w:pPr>
            <w:r>
              <w:rPr>
                <w:rFonts w:ascii="Verdana"/>
                <w:b/>
                <w:sz w:val="22"/>
              </w:rPr>
              <w:t>16%</w:t>
            </w:r>
          </w:p>
        </w:tc>
        <w:tc>
          <w:tcPr>
            <w:tcW w:w="1295" w:type="dxa"/>
          </w:tcPr>
          <w:p>
            <w:pPr>
              <w:pStyle w:val="TableParagraph"/>
              <w:spacing w:line="236" w:lineRule="exact"/>
              <w:ind w:right="324"/>
              <w:jc w:val="right"/>
              <w:rPr>
                <w:rFonts w:ascii="Verdana"/>
                <w:b/>
                <w:sz w:val="22"/>
              </w:rPr>
            </w:pPr>
            <w:r>
              <w:rPr>
                <w:rFonts w:ascii="Verdana"/>
                <w:b/>
                <w:sz w:val="22"/>
              </w:rPr>
              <w:t>16%</w:t>
            </w:r>
          </w:p>
        </w:tc>
        <w:tc>
          <w:tcPr>
            <w:tcW w:w="1137" w:type="dxa"/>
          </w:tcPr>
          <w:p>
            <w:pPr>
              <w:pStyle w:val="TableParagraph"/>
              <w:spacing w:line="236" w:lineRule="exact"/>
              <w:ind w:left="173" w:right="147"/>
              <w:jc w:val="center"/>
              <w:rPr>
                <w:rFonts w:ascii="Verdana"/>
                <w:sz w:val="22"/>
              </w:rPr>
            </w:pPr>
            <w:r>
              <w:rPr>
                <w:rFonts w:ascii="Verdana"/>
                <w:sz w:val="22"/>
              </w:rPr>
              <w:t>8%</w:t>
            </w:r>
          </w:p>
        </w:tc>
      </w:tr>
    </w:tbl>
    <w:sectPr>
      <w:headerReference w:type="default" r:id="rId214"/>
      <w:footerReference w:type="default" r:id="rId215"/>
      <w:pgSz w:w="15840" w:h="12240" w:orient="landscape"/>
      <w:pgMar w:header="0" w:footer="0" w:top="1000" w:bottom="280" w:left="26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Symbol">
    <w:altName w:val="Symbol"/>
    <w:charset w:val="2"/>
    <w:family w:val="roman"/>
    <w:pitch w:val="variable"/>
  </w:font>
  <w:font w:name="Gill Sans MT">
    <w:altName w:val="Gill Sans MT"/>
    <w:charset w:val="0"/>
    <w:family w:val="swiss"/>
    <w:pitch w:val="variable"/>
  </w:font>
  <w:font w:name="Wingdings">
    <w:altName w:val="Wingdings"/>
    <w:charset w:val="2"/>
    <w:family w:val="auto"/>
    <w:pitch w:val="variable"/>
  </w:font>
  <w:font w:name="Arial">
    <w:altName w:val="Arial"/>
    <w:charset w:val="0"/>
    <w:family w:val="swiss"/>
    <w:pitch w:val="variable"/>
  </w:font>
  <w:font w:name="Courier New">
    <w:altName w:val="Courier New"/>
    <w:charset w:val="0"/>
    <w:family w:val="modern"/>
    <w:pitch w:val="fixed"/>
  </w:font>
  <w:font w:name="Calibri">
    <w:altName w:val="Calibri"/>
    <w:charset w:val="0"/>
    <w:family w:val="swiss"/>
    <w:pitch w:val="variable"/>
  </w:font>
  <w:font w:name="Cambria">
    <w:altName w:val="Cambria"/>
    <w:charset w:val="0"/>
    <w:family w:val="roman"/>
    <w:pitch w:val="variable"/>
  </w:font>
  <w:font w:name="Georgia">
    <w:altName w:val="Georgia"/>
    <w:charset w:val="0"/>
    <w:family w:val="roman"/>
    <w:pitch w:val="variable"/>
  </w:font>
  <w:font w:name="Verdana">
    <w:altName w:val="Verdana"/>
    <w:charset w:val="0"/>
    <w:family w:val="swiss"/>
    <w:pitch w:val="variable"/>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278784">
          <wp:simplePos x="0" y="0"/>
          <wp:positionH relativeFrom="page">
            <wp:posOffset>318444</wp:posOffset>
          </wp:positionH>
          <wp:positionV relativeFrom="page">
            <wp:posOffset>5931548</wp:posOffset>
          </wp:positionV>
          <wp:extent cx="1817955" cy="659309"/>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24.392pt;margin-top:453.726959pt;width:187.15pt;height:10.2pt;mso-position-horizontal-relative:page;mso-position-vertical-relative:page;z-index:-267036672" type="#_x0000_t202" filled="false" stroked="false">
          <v:textbox inset="0,0,0,0">
            <w:txbxContent>
              <w:p>
                <w:pPr>
                  <w:spacing w:before="19"/>
                  <w:ind w:left="20" w:right="0" w:firstLine="0"/>
                  <w:jc w:val="left"/>
                  <w:rPr>
                    <w:rFonts w:ascii="Gill Sans MT"/>
                    <w:sz w:val="14"/>
                  </w:rPr>
                </w:pPr>
                <w:r>
                  <w:rPr>
                    <w:rFonts w:ascii="Gill Sans MT"/>
                    <w:w w:val="110"/>
                    <w:sz w:val="14"/>
                  </w:rPr>
                  <w:t>The</w:t>
                </w:r>
                <w:r>
                  <w:rPr>
                    <w:rFonts w:ascii="Gill Sans MT"/>
                    <w:spacing w:val="-8"/>
                    <w:w w:val="110"/>
                    <w:sz w:val="14"/>
                  </w:rPr>
                  <w:t> </w:t>
                </w:r>
                <w:r>
                  <w:rPr>
                    <w:rFonts w:ascii="Gill Sans MT"/>
                    <w:w w:val="110"/>
                    <w:sz w:val="14"/>
                  </w:rPr>
                  <w:t>sum</w:t>
                </w:r>
                <w:r>
                  <w:rPr>
                    <w:rFonts w:ascii="Gill Sans MT"/>
                    <w:spacing w:val="-3"/>
                    <w:w w:val="110"/>
                    <w:sz w:val="14"/>
                  </w:rPr>
                  <w:t> </w:t>
                </w:r>
                <w:r>
                  <w:rPr>
                    <w:rFonts w:ascii="Gill Sans MT"/>
                    <w:w w:val="110"/>
                    <w:sz w:val="14"/>
                  </w:rPr>
                  <w:t>of</w:t>
                </w:r>
                <w:r>
                  <w:rPr>
                    <w:rFonts w:ascii="Gill Sans MT"/>
                    <w:spacing w:val="-8"/>
                    <w:w w:val="110"/>
                    <w:sz w:val="14"/>
                  </w:rPr>
                  <w:t> </w:t>
                </w:r>
                <w:r>
                  <w:rPr>
                    <w:rFonts w:ascii="Gill Sans MT"/>
                    <w:w w:val="110"/>
                    <w:sz w:val="14"/>
                  </w:rPr>
                  <w:t>the</w:t>
                </w:r>
                <w:r>
                  <w:rPr>
                    <w:rFonts w:ascii="Gill Sans MT"/>
                    <w:spacing w:val="-6"/>
                    <w:w w:val="110"/>
                    <w:sz w:val="14"/>
                  </w:rPr>
                  <w:t> </w:t>
                </w:r>
                <w:r>
                  <w:rPr>
                    <w:rFonts w:ascii="Gill Sans MT"/>
                    <w:w w:val="110"/>
                    <w:sz w:val="14"/>
                  </w:rPr>
                  <w:t>values</w:t>
                </w:r>
                <w:r>
                  <w:rPr>
                    <w:rFonts w:ascii="Gill Sans MT"/>
                    <w:spacing w:val="-6"/>
                    <w:w w:val="110"/>
                    <w:sz w:val="14"/>
                  </w:rPr>
                  <w:t> </w:t>
                </w:r>
                <w:r>
                  <w:rPr>
                    <w:rFonts w:ascii="Gill Sans MT"/>
                    <w:w w:val="110"/>
                    <w:sz w:val="14"/>
                  </w:rPr>
                  <w:t>may</w:t>
                </w:r>
                <w:r>
                  <w:rPr>
                    <w:rFonts w:ascii="Gill Sans MT"/>
                    <w:spacing w:val="-9"/>
                    <w:w w:val="110"/>
                    <w:sz w:val="14"/>
                  </w:rPr>
                  <w:t> </w:t>
                </w:r>
                <w:r>
                  <w:rPr>
                    <w:rFonts w:ascii="Gill Sans MT"/>
                    <w:w w:val="110"/>
                    <w:sz w:val="14"/>
                  </w:rPr>
                  <w:t>not</w:t>
                </w:r>
                <w:r>
                  <w:rPr>
                    <w:rFonts w:ascii="Gill Sans MT"/>
                    <w:spacing w:val="-7"/>
                    <w:w w:val="110"/>
                    <w:sz w:val="14"/>
                  </w:rPr>
                  <w:t> </w:t>
                </w:r>
                <w:r>
                  <w:rPr>
                    <w:rFonts w:ascii="Gill Sans MT"/>
                    <w:w w:val="110"/>
                    <w:sz w:val="14"/>
                  </w:rPr>
                  <w:t>equal</w:t>
                </w:r>
                <w:r>
                  <w:rPr>
                    <w:rFonts w:ascii="Gill Sans MT"/>
                    <w:spacing w:val="-3"/>
                    <w:w w:val="110"/>
                    <w:sz w:val="14"/>
                  </w:rPr>
                  <w:t> </w:t>
                </w:r>
                <w:r>
                  <w:rPr>
                    <w:rFonts w:ascii="Gill Sans MT"/>
                    <w:w w:val="110"/>
                    <w:sz w:val="14"/>
                  </w:rPr>
                  <w:t>100%</w:t>
                </w:r>
                <w:r>
                  <w:rPr>
                    <w:rFonts w:ascii="Gill Sans MT"/>
                    <w:spacing w:val="-12"/>
                    <w:w w:val="110"/>
                    <w:sz w:val="14"/>
                  </w:rPr>
                  <w:t> </w:t>
                </w:r>
                <w:r>
                  <w:rPr>
                    <w:rFonts w:ascii="Gill Sans MT"/>
                    <w:w w:val="110"/>
                    <w:sz w:val="14"/>
                  </w:rPr>
                  <w:t>due</w:t>
                </w:r>
                <w:r>
                  <w:rPr>
                    <w:rFonts w:ascii="Gill Sans MT"/>
                    <w:spacing w:val="-6"/>
                    <w:w w:val="110"/>
                    <w:sz w:val="14"/>
                  </w:rPr>
                  <w:t> </w:t>
                </w:r>
                <w:r>
                  <w:rPr>
                    <w:rFonts w:ascii="Gill Sans MT"/>
                    <w:w w:val="110"/>
                    <w:sz w:val="14"/>
                  </w:rPr>
                  <w:t>to</w:t>
                </w:r>
                <w:r>
                  <w:rPr>
                    <w:rFonts w:ascii="Gill Sans MT"/>
                    <w:spacing w:val="-6"/>
                    <w:w w:val="110"/>
                    <w:sz w:val="14"/>
                  </w:rPr>
                  <w:t> </w:t>
                </w:r>
                <w:r>
                  <w:rPr>
                    <w:rFonts w:ascii="Gill Sans MT"/>
                    <w:w w:val="110"/>
                    <w:sz w:val="14"/>
                  </w:rPr>
                  <w:t>rounding.</w:t>
                </w:r>
              </w:p>
            </w:txbxContent>
          </v:textbox>
          <w10:wrap type="none"/>
        </v:shape>
      </w:pict>
    </w:r>
    <w:r>
      <w:rPr/>
      <w:pict>
        <v:shape style="position:absolute;margin-left:621.299988pt;margin-top:478.499969pt;width:74.75pt;height:45.65pt;mso-position-horizontal-relative:page;mso-position-vertical-relative:page;z-index:-267035648"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4.220001pt;margin-top:520.495789pt;width:11.6pt;height:13.7pt;mso-position-horizontal-relative:page;mso-position-vertical-relative:page;z-index:-267034624"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1"/>
                    <w:sz w:val="20"/>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21792">
          <wp:simplePos x="0" y="0"/>
          <wp:positionH relativeFrom="page">
            <wp:posOffset>318444</wp:posOffset>
          </wp:positionH>
          <wp:positionV relativeFrom="page">
            <wp:posOffset>5931548</wp:posOffset>
          </wp:positionV>
          <wp:extent cx="1817955" cy="659309"/>
          <wp:effectExtent l="0" t="0" r="0" b="0"/>
          <wp:wrapNone/>
          <wp:docPr id="21" name="image2.png"/>
          <wp:cNvGraphicFramePr>
            <a:graphicFrameLocks noChangeAspect="1"/>
          </wp:cNvGraphicFramePr>
          <a:graphic>
            <a:graphicData uri="http://schemas.openxmlformats.org/drawingml/2006/picture">
              <pic:pic>
                <pic:nvPicPr>
                  <pic:cNvPr id="22"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24.392pt;margin-top:453.726959pt;width:187.15pt;height:10.2pt;mso-position-horizontal-relative:page;mso-position-vertical-relative:page;z-index:-266993664" type="#_x0000_t202" filled="false" stroked="false">
          <v:textbox inset="0,0,0,0">
            <w:txbxContent>
              <w:p>
                <w:pPr>
                  <w:spacing w:before="19"/>
                  <w:ind w:left="20" w:right="0" w:firstLine="0"/>
                  <w:jc w:val="left"/>
                  <w:rPr>
                    <w:rFonts w:ascii="Gill Sans MT"/>
                    <w:sz w:val="14"/>
                  </w:rPr>
                </w:pPr>
                <w:r>
                  <w:rPr>
                    <w:rFonts w:ascii="Gill Sans MT"/>
                    <w:w w:val="110"/>
                    <w:sz w:val="14"/>
                  </w:rPr>
                  <w:t>The</w:t>
                </w:r>
                <w:r>
                  <w:rPr>
                    <w:rFonts w:ascii="Gill Sans MT"/>
                    <w:spacing w:val="-8"/>
                    <w:w w:val="110"/>
                    <w:sz w:val="14"/>
                  </w:rPr>
                  <w:t> </w:t>
                </w:r>
                <w:r>
                  <w:rPr>
                    <w:rFonts w:ascii="Gill Sans MT"/>
                    <w:w w:val="110"/>
                    <w:sz w:val="14"/>
                  </w:rPr>
                  <w:t>sum</w:t>
                </w:r>
                <w:r>
                  <w:rPr>
                    <w:rFonts w:ascii="Gill Sans MT"/>
                    <w:spacing w:val="-3"/>
                    <w:w w:val="110"/>
                    <w:sz w:val="14"/>
                  </w:rPr>
                  <w:t> </w:t>
                </w:r>
                <w:r>
                  <w:rPr>
                    <w:rFonts w:ascii="Gill Sans MT"/>
                    <w:w w:val="110"/>
                    <w:sz w:val="14"/>
                  </w:rPr>
                  <w:t>of</w:t>
                </w:r>
                <w:r>
                  <w:rPr>
                    <w:rFonts w:ascii="Gill Sans MT"/>
                    <w:spacing w:val="-8"/>
                    <w:w w:val="110"/>
                    <w:sz w:val="14"/>
                  </w:rPr>
                  <w:t> </w:t>
                </w:r>
                <w:r>
                  <w:rPr>
                    <w:rFonts w:ascii="Gill Sans MT"/>
                    <w:w w:val="110"/>
                    <w:sz w:val="14"/>
                  </w:rPr>
                  <w:t>the</w:t>
                </w:r>
                <w:r>
                  <w:rPr>
                    <w:rFonts w:ascii="Gill Sans MT"/>
                    <w:spacing w:val="-6"/>
                    <w:w w:val="110"/>
                    <w:sz w:val="14"/>
                  </w:rPr>
                  <w:t> </w:t>
                </w:r>
                <w:r>
                  <w:rPr>
                    <w:rFonts w:ascii="Gill Sans MT"/>
                    <w:w w:val="110"/>
                    <w:sz w:val="14"/>
                  </w:rPr>
                  <w:t>values</w:t>
                </w:r>
                <w:r>
                  <w:rPr>
                    <w:rFonts w:ascii="Gill Sans MT"/>
                    <w:spacing w:val="-6"/>
                    <w:w w:val="110"/>
                    <w:sz w:val="14"/>
                  </w:rPr>
                  <w:t> </w:t>
                </w:r>
                <w:r>
                  <w:rPr>
                    <w:rFonts w:ascii="Gill Sans MT"/>
                    <w:w w:val="110"/>
                    <w:sz w:val="14"/>
                  </w:rPr>
                  <w:t>may</w:t>
                </w:r>
                <w:r>
                  <w:rPr>
                    <w:rFonts w:ascii="Gill Sans MT"/>
                    <w:spacing w:val="-9"/>
                    <w:w w:val="110"/>
                    <w:sz w:val="14"/>
                  </w:rPr>
                  <w:t> </w:t>
                </w:r>
                <w:r>
                  <w:rPr>
                    <w:rFonts w:ascii="Gill Sans MT"/>
                    <w:w w:val="110"/>
                    <w:sz w:val="14"/>
                  </w:rPr>
                  <w:t>not</w:t>
                </w:r>
                <w:r>
                  <w:rPr>
                    <w:rFonts w:ascii="Gill Sans MT"/>
                    <w:spacing w:val="-7"/>
                    <w:w w:val="110"/>
                    <w:sz w:val="14"/>
                  </w:rPr>
                  <w:t> </w:t>
                </w:r>
                <w:r>
                  <w:rPr>
                    <w:rFonts w:ascii="Gill Sans MT"/>
                    <w:w w:val="110"/>
                    <w:sz w:val="14"/>
                  </w:rPr>
                  <w:t>equal</w:t>
                </w:r>
                <w:r>
                  <w:rPr>
                    <w:rFonts w:ascii="Gill Sans MT"/>
                    <w:spacing w:val="-3"/>
                    <w:w w:val="110"/>
                    <w:sz w:val="14"/>
                  </w:rPr>
                  <w:t> </w:t>
                </w:r>
                <w:r>
                  <w:rPr>
                    <w:rFonts w:ascii="Gill Sans MT"/>
                    <w:w w:val="110"/>
                    <w:sz w:val="14"/>
                  </w:rPr>
                  <w:t>100%</w:t>
                </w:r>
                <w:r>
                  <w:rPr>
                    <w:rFonts w:ascii="Gill Sans MT"/>
                    <w:spacing w:val="-12"/>
                    <w:w w:val="110"/>
                    <w:sz w:val="14"/>
                  </w:rPr>
                  <w:t> </w:t>
                </w:r>
                <w:r>
                  <w:rPr>
                    <w:rFonts w:ascii="Gill Sans MT"/>
                    <w:w w:val="110"/>
                    <w:sz w:val="14"/>
                  </w:rPr>
                  <w:t>due</w:t>
                </w:r>
                <w:r>
                  <w:rPr>
                    <w:rFonts w:ascii="Gill Sans MT"/>
                    <w:spacing w:val="-6"/>
                    <w:w w:val="110"/>
                    <w:sz w:val="14"/>
                  </w:rPr>
                  <w:t> </w:t>
                </w:r>
                <w:r>
                  <w:rPr>
                    <w:rFonts w:ascii="Gill Sans MT"/>
                    <w:w w:val="110"/>
                    <w:sz w:val="14"/>
                  </w:rPr>
                  <w:t>to</w:t>
                </w:r>
                <w:r>
                  <w:rPr>
                    <w:rFonts w:ascii="Gill Sans MT"/>
                    <w:spacing w:val="-6"/>
                    <w:w w:val="110"/>
                    <w:sz w:val="14"/>
                  </w:rPr>
                  <w:t> </w:t>
                </w:r>
                <w:r>
                  <w:rPr>
                    <w:rFonts w:ascii="Gill Sans MT"/>
                    <w:w w:val="110"/>
                    <w:sz w:val="14"/>
                  </w:rPr>
                  <w:t>rounding.</w:t>
                </w:r>
              </w:p>
            </w:txbxContent>
          </v:textbox>
          <w10:wrap type="none"/>
        </v:shape>
      </w:pict>
    </w:r>
    <w:r>
      <w:rPr/>
      <w:pict>
        <v:shape style="position:absolute;margin-left:621.299988pt;margin-top:478.499969pt;width:74.75pt;height:45.65pt;mso-position-horizontal-relative:page;mso-position-vertical-relative:page;z-index:-266992640"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91616"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11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26912">
          <wp:simplePos x="0" y="0"/>
          <wp:positionH relativeFrom="page">
            <wp:posOffset>318444</wp:posOffset>
          </wp:positionH>
          <wp:positionV relativeFrom="page">
            <wp:posOffset>5931548</wp:posOffset>
          </wp:positionV>
          <wp:extent cx="1817955" cy="659309"/>
          <wp:effectExtent l="0" t="0" r="0" b="0"/>
          <wp:wrapNone/>
          <wp:docPr id="23" name="image2.png"/>
          <wp:cNvGraphicFramePr>
            <a:graphicFrameLocks noChangeAspect="1"/>
          </wp:cNvGraphicFramePr>
          <a:graphic>
            <a:graphicData uri="http://schemas.openxmlformats.org/drawingml/2006/picture">
              <pic:pic>
                <pic:nvPicPr>
                  <pic:cNvPr id="24"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24.392pt;margin-top:453.726959pt;width:187.15pt;height:10.2pt;mso-position-horizontal-relative:page;mso-position-vertical-relative:page;z-index:-266988544" type="#_x0000_t202" filled="false" stroked="false">
          <v:textbox inset="0,0,0,0">
            <w:txbxContent>
              <w:p>
                <w:pPr>
                  <w:spacing w:before="19"/>
                  <w:ind w:left="20" w:right="0" w:firstLine="0"/>
                  <w:jc w:val="left"/>
                  <w:rPr>
                    <w:rFonts w:ascii="Gill Sans MT"/>
                    <w:sz w:val="14"/>
                  </w:rPr>
                </w:pPr>
                <w:r>
                  <w:rPr>
                    <w:rFonts w:ascii="Gill Sans MT"/>
                    <w:w w:val="110"/>
                    <w:sz w:val="14"/>
                  </w:rPr>
                  <w:t>The</w:t>
                </w:r>
                <w:r>
                  <w:rPr>
                    <w:rFonts w:ascii="Gill Sans MT"/>
                    <w:spacing w:val="-8"/>
                    <w:w w:val="110"/>
                    <w:sz w:val="14"/>
                  </w:rPr>
                  <w:t> </w:t>
                </w:r>
                <w:r>
                  <w:rPr>
                    <w:rFonts w:ascii="Gill Sans MT"/>
                    <w:w w:val="110"/>
                    <w:sz w:val="14"/>
                  </w:rPr>
                  <w:t>sum</w:t>
                </w:r>
                <w:r>
                  <w:rPr>
                    <w:rFonts w:ascii="Gill Sans MT"/>
                    <w:spacing w:val="-3"/>
                    <w:w w:val="110"/>
                    <w:sz w:val="14"/>
                  </w:rPr>
                  <w:t> </w:t>
                </w:r>
                <w:r>
                  <w:rPr>
                    <w:rFonts w:ascii="Gill Sans MT"/>
                    <w:w w:val="110"/>
                    <w:sz w:val="14"/>
                  </w:rPr>
                  <w:t>of</w:t>
                </w:r>
                <w:r>
                  <w:rPr>
                    <w:rFonts w:ascii="Gill Sans MT"/>
                    <w:spacing w:val="-8"/>
                    <w:w w:val="110"/>
                    <w:sz w:val="14"/>
                  </w:rPr>
                  <w:t> </w:t>
                </w:r>
                <w:r>
                  <w:rPr>
                    <w:rFonts w:ascii="Gill Sans MT"/>
                    <w:w w:val="110"/>
                    <w:sz w:val="14"/>
                  </w:rPr>
                  <w:t>the</w:t>
                </w:r>
                <w:r>
                  <w:rPr>
                    <w:rFonts w:ascii="Gill Sans MT"/>
                    <w:spacing w:val="-6"/>
                    <w:w w:val="110"/>
                    <w:sz w:val="14"/>
                  </w:rPr>
                  <w:t> </w:t>
                </w:r>
                <w:r>
                  <w:rPr>
                    <w:rFonts w:ascii="Gill Sans MT"/>
                    <w:w w:val="110"/>
                    <w:sz w:val="14"/>
                  </w:rPr>
                  <w:t>values</w:t>
                </w:r>
                <w:r>
                  <w:rPr>
                    <w:rFonts w:ascii="Gill Sans MT"/>
                    <w:spacing w:val="-6"/>
                    <w:w w:val="110"/>
                    <w:sz w:val="14"/>
                  </w:rPr>
                  <w:t> </w:t>
                </w:r>
                <w:r>
                  <w:rPr>
                    <w:rFonts w:ascii="Gill Sans MT"/>
                    <w:w w:val="110"/>
                    <w:sz w:val="14"/>
                  </w:rPr>
                  <w:t>may</w:t>
                </w:r>
                <w:r>
                  <w:rPr>
                    <w:rFonts w:ascii="Gill Sans MT"/>
                    <w:spacing w:val="-9"/>
                    <w:w w:val="110"/>
                    <w:sz w:val="14"/>
                  </w:rPr>
                  <w:t> </w:t>
                </w:r>
                <w:r>
                  <w:rPr>
                    <w:rFonts w:ascii="Gill Sans MT"/>
                    <w:w w:val="110"/>
                    <w:sz w:val="14"/>
                  </w:rPr>
                  <w:t>not</w:t>
                </w:r>
                <w:r>
                  <w:rPr>
                    <w:rFonts w:ascii="Gill Sans MT"/>
                    <w:spacing w:val="-7"/>
                    <w:w w:val="110"/>
                    <w:sz w:val="14"/>
                  </w:rPr>
                  <w:t> </w:t>
                </w:r>
                <w:r>
                  <w:rPr>
                    <w:rFonts w:ascii="Gill Sans MT"/>
                    <w:w w:val="110"/>
                    <w:sz w:val="14"/>
                  </w:rPr>
                  <w:t>equal</w:t>
                </w:r>
                <w:r>
                  <w:rPr>
                    <w:rFonts w:ascii="Gill Sans MT"/>
                    <w:spacing w:val="-3"/>
                    <w:w w:val="110"/>
                    <w:sz w:val="14"/>
                  </w:rPr>
                  <w:t> </w:t>
                </w:r>
                <w:r>
                  <w:rPr>
                    <w:rFonts w:ascii="Gill Sans MT"/>
                    <w:w w:val="110"/>
                    <w:sz w:val="14"/>
                  </w:rPr>
                  <w:t>100%</w:t>
                </w:r>
                <w:r>
                  <w:rPr>
                    <w:rFonts w:ascii="Gill Sans MT"/>
                    <w:spacing w:val="-12"/>
                    <w:w w:val="110"/>
                    <w:sz w:val="14"/>
                  </w:rPr>
                  <w:t> </w:t>
                </w:r>
                <w:r>
                  <w:rPr>
                    <w:rFonts w:ascii="Gill Sans MT"/>
                    <w:w w:val="110"/>
                    <w:sz w:val="14"/>
                  </w:rPr>
                  <w:t>due</w:t>
                </w:r>
                <w:r>
                  <w:rPr>
                    <w:rFonts w:ascii="Gill Sans MT"/>
                    <w:spacing w:val="-6"/>
                    <w:w w:val="110"/>
                    <w:sz w:val="14"/>
                  </w:rPr>
                  <w:t> </w:t>
                </w:r>
                <w:r>
                  <w:rPr>
                    <w:rFonts w:ascii="Gill Sans MT"/>
                    <w:w w:val="110"/>
                    <w:sz w:val="14"/>
                  </w:rPr>
                  <w:t>to</w:t>
                </w:r>
                <w:r>
                  <w:rPr>
                    <w:rFonts w:ascii="Gill Sans MT"/>
                    <w:spacing w:val="-6"/>
                    <w:w w:val="110"/>
                    <w:sz w:val="14"/>
                  </w:rPr>
                  <w:t> </w:t>
                </w:r>
                <w:r>
                  <w:rPr>
                    <w:rFonts w:ascii="Gill Sans MT"/>
                    <w:w w:val="110"/>
                    <w:sz w:val="14"/>
                  </w:rPr>
                  <w:t>rounding.</w:t>
                </w:r>
              </w:p>
            </w:txbxContent>
          </v:textbox>
          <w10:wrap type="none"/>
        </v:shape>
      </w:pict>
    </w:r>
    <w:r>
      <w:rPr/>
      <w:pict>
        <v:shape style="position:absolute;margin-left:621.299988pt;margin-top:478.499969pt;width:74.75pt;height:45.65pt;mso-position-horizontal-relative:page;mso-position-vertical-relative:page;z-index:-266987520"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86496"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12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32032">
          <wp:simplePos x="0" y="0"/>
          <wp:positionH relativeFrom="page">
            <wp:posOffset>318444</wp:posOffset>
          </wp:positionH>
          <wp:positionV relativeFrom="page">
            <wp:posOffset>5931548</wp:posOffset>
          </wp:positionV>
          <wp:extent cx="1817955" cy="659309"/>
          <wp:effectExtent l="0" t="0" r="0" b="0"/>
          <wp:wrapNone/>
          <wp:docPr id="25" name="image2.png"/>
          <wp:cNvGraphicFramePr>
            <a:graphicFrameLocks noChangeAspect="1"/>
          </wp:cNvGraphicFramePr>
          <a:graphic>
            <a:graphicData uri="http://schemas.openxmlformats.org/drawingml/2006/picture">
              <pic:pic>
                <pic:nvPicPr>
                  <pic:cNvPr id="26"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83424"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82400"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13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36128">
          <wp:simplePos x="0" y="0"/>
          <wp:positionH relativeFrom="page">
            <wp:posOffset>318444</wp:posOffset>
          </wp:positionH>
          <wp:positionV relativeFrom="page">
            <wp:posOffset>5931548</wp:posOffset>
          </wp:positionV>
          <wp:extent cx="1817955" cy="659309"/>
          <wp:effectExtent l="0" t="0" r="0" b="0"/>
          <wp:wrapNone/>
          <wp:docPr id="27" name="image2.png"/>
          <wp:cNvGraphicFramePr>
            <a:graphicFrameLocks noChangeAspect="1"/>
          </wp:cNvGraphicFramePr>
          <a:graphic>
            <a:graphicData uri="http://schemas.openxmlformats.org/drawingml/2006/picture">
              <pic:pic>
                <pic:nvPicPr>
                  <pic:cNvPr id="28"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79328"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78304"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14</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40224">
          <wp:simplePos x="0" y="0"/>
          <wp:positionH relativeFrom="page">
            <wp:posOffset>318444</wp:posOffset>
          </wp:positionH>
          <wp:positionV relativeFrom="page">
            <wp:posOffset>5931548</wp:posOffset>
          </wp:positionV>
          <wp:extent cx="1817955" cy="659309"/>
          <wp:effectExtent l="0" t="0" r="0" b="0"/>
          <wp:wrapNone/>
          <wp:docPr id="29" name="image2.png"/>
          <wp:cNvGraphicFramePr>
            <a:graphicFrameLocks noChangeAspect="1"/>
          </wp:cNvGraphicFramePr>
          <a:graphic>
            <a:graphicData uri="http://schemas.openxmlformats.org/drawingml/2006/picture">
              <pic:pic>
                <pic:nvPicPr>
                  <pic:cNvPr id="30"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75232"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74208"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15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44320">
          <wp:simplePos x="0" y="0"/>
          <wp:positionH relativeFrom="page">
            <wp:posOffset>318444</wp:posOffset>
          </wp:positionH>
          <wp:positionV relativeFrom="page">
            <wp:posOffset>5931548</wp:posOffset>
          </wp:positionV>
          <wp:extent cx="1817955" cy="659309"/>
          <wp:effectExtent l="0" t="0" r="0" b="0"/>
          <wp:wrapNone/>
          <wp:docPr id="31" name="image2.png"/>
          <wp:cNvGraphicFramePr>
            <a:graphicFrameLocks noChangeAspect="1"/>
          </wp:cNvGraphicFramePr>
          <a:graphic>
            <a:graphicData uri="http://schemas.openxmlformats.org/drawingml/2006/picture">
              <pic:pic>
                <pic:nvPicPr>
                  <pic:cNvPr id="32"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24.392pt;margin-top:453.726959pt;width:187.15pt;height:10.2pt;mso-position-horizontal-relative:page;mso-position-vertical-relative:page;z-index:-266971136" type="#_x0000_t202" filled="false" stroked="false">
          <v:textbox inset="0,0,0,0">
            <w:txbxContent>
              <w:p>
                <w:pPr>
                  <w:spacing w:before="19"/>
                  <w:ind w:left="20" w:right="0" w:firstLine="0"/>
                  <w:jc w:val="left"/>
                  <w:rPr>
                    <w:rFonts w:ascii="Gill Sans MT"/>
                    <w:sz w:val="14"/>
                  </w:rPr>
                </w:pPr>
                <w:r>
                  <w:rPr>
                    <w:rFonts w:ascii="Gill Sans MT"/>
                    <w:w w:val="110"/>
                    <w:sz w:val="14"/>
                  </w:rPr>
                  <w:t>The</w:t>
                </w:r>
                <w:r>
                  <w:rPr>
                    <w:rFonts w:ascii="Gill Sans MT"/>
                    <w:spacing w:val="-8"/>
                    <w:w w:val="110"/>
                    <w:sz w:val="14"/>
                  </w:rPr>
                  <w:t> </w:t>
                </w:r>
                <w:r>
                  <w:rPr>
                    <w:rFonts w:ascii="Gill Sans MT"/>
                    <w:w w:val="110"/>
                    <w:sz w:val="14"/>
                  </w:rPr>
                  <w:t>sum</w:t>
                </w:r>
                <w:r>
                  <w:rPr>
                    <w:rFonts w:ascii="Gill Sans MT"/>
                    <w:spacing w:val="-3"/>
                    <w:w w:val="110"/>
                    <w:sz w:val="14"/>
                  </w:rPr>
                  <w:t> </w:t>
                </w:r>
                <w:r>
                  <w:rPr>
                    <w:rFonts w:ascii="Gill Sans MT"/>
                    <w:w w:val="110"/>
                    <w:sz w:val="14"/>
                  </w:rPr>
                  <w:t>of</w:t>
                </w:r>
                <w:r>
                  <w:rPr>
                    <w:rFonts w:ascii="Gill Sans MT"/>
                    <w:spacing w:val="-8"/>
                    <w:w w:val="110"/>
                    <w:sz w:val="14"/>
                  </w:rPr>
                  <w:t> </w:t>
                </w:r>
                <w:r>
                  <w:rPr>
                    <w:rFonts w:ascii="Gill Sans MT"/>
                    <w:w w:val="110"/>
                    <w:sz w:val="14"/>
                  </w:rPr>
                  <w:t>the</w:t>
                </w:r>
                <w:r>
                  <w:rPr>
                    <w:rFonts w:ascii="Gill Sans MT"/>
                    <w:spacing w:val="-6"/>
                    <w:w w:val="110"/>
                    <w:sz w:val="14"/>
                  </w:rPr>
                  <w:t> </w:t>
                </w:r>
                <w:r>
                  <w:rPr>
                    <w:rFonts w:ascii="Gill Sans MT"/>
                    <w:w w:val="110"/>
                    <w:sz w:val="14"/>
                  </w:rPr>
                  <w:t>values</w:t>
                </w:r>
                <w:r>
                  <w:rPr>
                    <w:rFonts w:ascii="Gill Sans MT"/>
                    <w:spacing w:val="-6"/>
                    <w:w w:val="110"/>
                    <w:sz w:val="14"/>
                  </w:rPr>
                  <w:t> </w:t>
                </w:r>
                <w:r>
                  <w:rPr>
                    <w:rFonts w:ascii="Gill Sans MT"/>
                    <w:w w:val="110"/>
                    <w:sz w:val="14"/>
                  </w:rPr>
                  <w:t>may</w:t>
                </w:r>
                <w:r>
                  <w:rPr>
                    <w:rFonts w:ascii="Gill Sans MT"/>
                    <w:spacing w:val="-9"/>
                    <w:w w:val="110"/>
                    <w:sz w:val="14"/>
                  </w:rPr>
                  <w:t> </w:t>
                </w:r>
                <w:r>
                  <w:rPr>
                    <w:rFonts w:ascii="Gill Sans MT"/>
                    <w:w w:val="110"/>
                    <w:sz w:val="14"/>
                  </w:rPr>
                  <w:t>not</w:t>
                </w:r>
                <w:r>
                  <w:rPr>
                    <w:rFonts w:ascii="Gill Sans MT"/>
                    <w:spacing w:val="-7"/>
                    <w:w w:val="110"/>
                    <w:sz w:val="14"/>
                  </w:rPr>
                  <w:t> </w:t>
                </w:r>
                <w:r>
                  <w:rPr>
                    <w:rFonts w:ascii="Gill Sans MT"/>
                    <w:w w:val="110"/>
                    <w:sz w:val="14"/>
                  </w:rPr>
                  <w:t>equal</w:t>
                </w:r>
                <w:r>
                  <w:rPr>
                    <w:rFonts w:ascii="Gill Sans MT"/>
                    <w:spacing w:val="-3"/>
                    <w:w w:val="110"/>
                    <w:sz w:val="14"/>
                  </w:rPr>
                  <w:t> </w:t>
                </w:r>
                <w:r>
                  <w:rPr>
                    <w:rFonts w:ascii="Gill Sans MT"/>
                    <w:w w:val="110"/>
                    <w:sz w:val="14"/>
                  </w:rPr>
                  <w:t>100%</w:t>
                </w:r>
                <w:r>
                  <w:rPr>
                    <w:rFonts w:ascii="Gill Sans MT"/>
                    <w:spacing w:val="-12"/>
                    <w:w w:val="110"/>
                    <w:sz w:val="14"/>
                  </w:rPr>
                  <w:t> </w:t>
                </w:r>
                <w:r>
                  <w:rPr>
                    <w:rFonts w:ascii="Gill Sans MT"/>
                    <w:w w:val="110"/>
                    <w:sz w:val="14"/>
                  </w:rPr>
                  <w:t>due</w:t>
                </w:r>
                <w:r>
                  <w:rPr>
                    <w:rFonts w:ascii="Gill Sans MT"/>
                    <w:spacing w:val="-6"/>
                    <w:w w:val="110"/>
                    <w:sz w:val="14"/>
                  </w:rPr>
                  <w:t> </w:t>
                </w:r>
                <w:r>
                  <w:rPr>
                    <w:rFonts w:ascii="Gill Sans MT"/>
                    <w:w w:val="110"/>
                    <w:sz w:val="14"/>
                  </w:rPr>
                  <w:t>to</w:t>
                </w:r>
                <w:r>
                  <w:rPr>
                    <w:rFonts w:ascii="Gill Sans MT"/>
                    <w:spacing w:val="-6"/>
                    <w:w w:val="110"/>
                    <w:sz w:val="14"/>
                  </w:rPr>
                  <w:t> </w:t>
                </w:r>
                <w:r>
                  <w:rPr>
                    <w:rFonts w:ascii="Gill Sans MT"/>
                    <w:w w:val="110"/>
                    <w:sz w:val="14"/>
                  </w:rPr>
                  <w:t>rounding.</w:t>
                </w:r>
              </w:p>
            </w:txbxContent>
          </v:textbox>
          <w10:wrap type="none"/>
        </v:shape>
      </w:pict>
    </w:r>
    <w:r>
      <w:rPr/>
      <w:pict>
        <v:shape style="position:absolute;margin-left:621.299988pt;margin-top:478.499969pt;width:74.75pt;height:45.65pt;mso-position-horizontal-relative:page;mso-position-vertical-relative:page;z-index:-266970112"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69088"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17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49440">
          <wp:simplePos x="0" y="0"/>
          <wp:positionH relativeFrom="page">
            <wp:posOffset>318444</wp:posOffset>
          </wp:positionH>
          <wp:positionV relativeFrom="page">
            <wp:posOffset>5931548</wp:posOffset>
          </wp:positionV>
          <wp:extent cx="1817955" cy="659309"/>
          <wp:effectExtent l="0" t="0" r="0" b="0"/>
          <wp:wrapNone/>
          <wp:docPr id="33" name="image2.png"/>
          <wp:cNvGraphicFramePr>
            <a:graphicFrameLocks noChangeAspect="1"/>
          </wp:cNvGraphicFramePr>
          <a:graphic>
            <a:graphicData uri="http://schemas.openxmlformats.org/drawingml/2006/picture">
              <pic:pic>
                <pic:nvPicPr>
                  <pic:cNvPr id="34"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24.392pt;margin-top:453.726959pt;width:187.15pt;height:10.2pt;mso-position-horizontal-relative:page;mso-position-vertical-relative:page;z-index:-266966016" type="#_x0000_t202" filled="false" stroked="false">
          <v:textbox inset="0,0,0,0">
            <w:txbxContent>
              <w:p>
                <w:pPr>
                  <w:spacing w:before="19"/>
                  <w:ind w:left="20" w:right="0" w:firstLine="0"/>
                  <w:jc w:val="left"/>
                  <w:rPr>
                    <w:rFonts w:ascii="Gill Sans MT"/>
                    <w:sz w:val="14"/>
                  </w:rPr>
                </w:pPr>
                <w:r>
                  <w:rPr>
                    <w:rFonts w:ascii="Gill Sans MT"/>
                    <w:w w:val="110"/>
                    <w:sz w:val="14"/>
                  </w:rPr>
                  <w:t>The</w:t>
                </w:r>
                <w:r>
                  <w:rPr>
                    <w:rFonts w:ascii="Gill Sans MT"/>
                    <w:spacing w:val="-8"/>
                    <w:w w:val="110"/>
                    <w:sz w:val="14"/>
                  </w:rPr>
                  <w:t> </w:t>
                </w:r>
                <w:r>
                  <w:rPr>
                    <w:rFonts w:ascii="Gill Sans MT"/>
                    <w:w w:val="110"/>
                    <w:sz w:val="14"/>
                  </w:rPr>
                  <w:t>sum</w:t>
                </w:r>
                <w:r>
                  <w:rPr>
                    <w:rFonts w:ascii="Gill Sans MT"/>
                    <w:spacing w:val="-3"/>
                    <w:w w:val="110"/>
                    <w:sz w:val="14"/>
                  </w:rPr>
                  <w:t> </w:t>
                </w:r>
                <w:r>
                  <w:rPr>
                    <w:rFonts w:ascii="Gill Sans MT"/>
                    <w:w w:val="110"/>
                    <w:sz w:val="14"/>
                  </w:rPr>
                  <w:t>of</w:t>
                </w:r>
                <w:r>
                  <w:rPr>
                    <w:rFonts w:ascii="Gill Sans MT"/>
                    <w:spacing w:val="-8"/>
                    <w:w w:val="110"/>
                    <w:sz w:val="14"/>
                  </w:rPr>
                  <w:t> </w:t>
                </w:r>
                <w:r>
                  <w:rPr>
                    <w:rFonts w:ascii="Gill Sans MT"/>
                    <w:w w:val="110"/>
                    <w:sz w:val="14"/>
                  </w:rPr>
                  <w:t>the</w:t>
                </w:r>
                <w:r>
                  <w:rPr>
                    <w:rFonts w:ascii="Gill Sans MT"/>
                    <w:spacing w:val="-6"/>
                    <w:w w:val="110"/>
                    <w:sz w:val="14"/>
                  </w:rPr>
                  <w:t> </w:t>
                </w:r>
                <w:r>
                  <w:rPr>
                    <w:rFonts w:ascii="Gill Sans MT"/>
                    <w:w w:val="110"/>
                    <w:sz w:val="14"/>
                  </w:rPr>
                  <w:t>values</w:t>
                </w:r>
                <w:r>
                  <w:rPr>
                    <w:rFonts w:ascii="Gill Sans MT"/>
                    <w:spacing w:val="-6"/>
                    <w:w w:val="110"/>
                    <w:sz w:val="14"/>
                  </w:rPr>
                  <w:t> </w:t>
                </w:r>
                <w:r>
                  <w:rPr>
                    <w:rFonts w:ascii="Gill Sans MT"/>
                    <w:w w:val="110"/>
                    <w:sz w:val="14"/>
                  </w:rPr>
                  <w:t>may</w:t>
                </w:r>
                <w:r>
                  <w:rPr>
                    <w:rFonts w:ascii="Gill Sans MT"/>
                    <w:spacing w:val="-9"/>
                    <w:w w:val="110"/>
                    <w:sz w:val="14"/>
                  </w:rPr>
                  <w:t> </w:t>
                </w:r>
                <w:r>
                  <w:rPr>
                    <w:rFonts w:ascii="Gill Sans MT"/>
                    <w:w w:val="110"/>
                    <w:sz w:val="14"/>
                  </w:rPr>
                  <w:t>not</w:t>
                </w:r>
                <w:r>
                  <w:rPr>
                    <w:rFonts w:ascii="Gill Sans MT"/>
                    <w:spacing w:val="-7"/>
                    <w:w w:val="110"/>
                    <w:sz w:val="14"/>
                  </w:rPr>
                  <w:t> </w:t>
                </w:r>
                <w:r>
                  <w:rPr>
                    <w:rFonts w:ascii="Gill Sans MT"/>
                    <w:w w:val="110"/>
                    <w:sz w:val="14"/>
                  </w:rPr>
                  <w:t>equal</w:t>
                </w:r>
                <w:r>
                  <w:rPr>
                    <w:rFonts w:ascii="Gill Sans MT"/>
                    <w:spacing w:val="-3"/>
                    <w:w w:val="110"/>
                    <w:sz w:val="14"/>
                  </w:rPr>
                  <w:t> </w:t>
                </w:r>
                <w:r>
                  <w:rPr>
                    <w:rFonts w:ascii="Gill Sans MT"/>
                    <w:w w:val="110"/>
                    <w:sz w:val="14"/>
                  </w:rPr>
                  <w:t>100%</w:t>
                </w:r>
                <w:r>
                  <w:rPr>
                    <w:rFonts w:ascii="Gill Sans MT"/>
                    <w:spacing w:val="-12"/>
                    <w:w w:val="110"/>
                    <w:sz w:val="14"/>
                  </w:rPr>
                  <w:t> </w:t>
                </w:r>
                <w:r>
                  <w:rPr>
                    <w:rFonts w:ascii="Gill Sans MT"/>
                    <w:w w:val="110"/>
                    <w:sz w:val="14"/>
                  </w:rPr>
                  <w:t>due</w:t>
                </w:r>
                <w:r>
                  <w:rPr>
                    <w:rFonts w:ascii="Gill Sans MT"/>
                    <w:spacing w:val="-6"/>
                    <w:w w:val="110"/>
                    <w:sz w:val="14"/>
                  </w:rPr>
                  <w:t> </w:t>
                </w:r>
                <w:r>
                  <w:rPr>
                    <w:rFonts w:ascii="Gill Sans MT"/>
                    <w:w w:val="110"/>
                    <w:sz w:val="14"/>
                  </w:rPr>
                  <w:t>to</w:t>
                </w:r>
                <w:r>
                  <w:rPr>
                    <w:rFonts w:ascii="Gill Sans MT"/>
                    <w:spacing w:val="-6"/>
                    <w:w w:val="110"/>
                    <w:sz w:val="14"/>
                  </w:rPr>
                  <w:t> </w:t>
                </w:r>
                <w:r>
                  <w:rPr>
                    <w:rFonts w:ascii="Gill Sans MT"/>
                    <w:w w:val="110"/>
                    <w:sz w:val="14"/>
                  </w:rPr>
                  <w:t>rounding.</w:t>
                </w:r>
              </w:p>
            </w:txbxContent>
          </v:textbox>
          <w10:wrap type="none"/>
        </v:shape>
      </w:pict>
    </w:r>
    <w:r>
      <w:rPr/>
      <w:pict>
        <v:shape style="position:absolute;margin-left:621.299988pt;margin-top:478.499969pt;width:74.75pt;height:45.65pt;mso-position-horizontal-relative:page;mso-position-vertical-relative:page;z-index:-266964992"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63968"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18</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54560">
          <wp:simplePos x="0" y="0"/>
          <wp:positionH relativeFrom="page">
            <wp:posOffset>318444</wp:posOffset>
          </wp:positionH>
          <wp:positionV relativeFrom="page">
            <wp:posOffset>5931548</wp:posOffset>
          </wp:positionV>
          <wp:extent cx="1817955" cy="659309"/>
          <wp:effectExtent l="0" t="0" r="0" b="0"/>
          <wp:wrapNone/>
          <wp:docPr id="35" name="image2.png"/>
          <wp:cNvGraphicFramePr>
            <a:graphicFrameLocks noChangeAspect="1"/>
          </wp:cNvGraphicFramePr>
          <a:graphic>
            <a:graphicData uri="http://schemas.openxmlformats.org/drawingml/2006/picture">
              <pic:pic>
                <pic:nvPicPr>
                  <pic:cNvPr id="36"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24.392pt;margin-top:453.726959pt;width:187.15pt;height:10.2pt;mso-position-horizontal-relative:page;mso-position-vertical-relative:page;z-index:-266960896" type="#_x0000_t202" filled="false" stroked="false">
          <v:textbox inset="0,0,0,0">
            <w:txbxContent>
              <w:p>
                <w:pPr>
                  <w:spacing w:before="19"/>
                  <w:ind w:left="20" w:right="0" w:firstLine="0"/>
                  <w:jc w:val="left"/>
                  <w:rPr>
                    <w:rFonts w:ascii="Gill Sans MT"/>
                    <w:sz w:val="14"/>
                  </w:rPr>
                </w:pPr>
                <w:r>
                  <w:rPr>
                    <w:rFonts w:ascii="Gill Sans MT"/>
                    <w:w w:val="110"/>
                    <w:sz w:val="14"/>
                  </w:rPr>
                  <w:t>The</w:t>
                </w:r>
                <w:r>
                  <w:rPr>
                    <w:rFonts w:ascii="Gill Sans MT"/>
                    <w:spacing w:val="-8"/>
                    <w:w w:val="110"/>
                    <w:sz w:val="14"/>
                  </w:rPr>
                  <w:t> </w:t>
                </w:r>
                <w:r>
                  <w:rPr>
                    <w:rFonts w:ascii="Gill Sans MT"/>
                    <w:w w:val="110"/>
                    <w:sz w:val="14"/>
                  </w:rPr>
                  <w:t>sum</w:t>
                </w:r>
                <w:r>
                  <w:rPr>
                    <w:rFonts w:ascii="Gill Sans MT"/>
                    <w:spacing w:val="-3"/>
                    <w:w w:val="110"/>
                    <w:sz w:val="14"/>
                  </w:rPr>
                  <w:t> </w:t>
                </w:r>
                <w:r>
                  <w:rPr>
                    <w:rFonts w:ascii="Gill Sans MT"/>
                    <w:w w:val="110"/>
                    <w:sz w:val="14"/>
                  </w:rPr>
                  <w:t>of</w:t>
                </w:r>
                <w:r>
                  <w:rPr>
                    <w:rFonts w:ascii="Gill Sans MT"/>
                    <w:spacing w:val="-8"/>
                    <w:w w:val="110"/>
                    <w:sz w:val="14"/>
                  </w:rPr>
                  <w:t> </w:t>
                </w:r>
                <w:r>
                  <w:rPr>
                    <w:rFonts w:ascii="Gill Sans MT"/>
                    <w:w w:val="110"/>
                    <w:sz w:val="14"/>
                  </w:rPr>
                  <w:t>the</w:t>
                </w:r>
                <w:r>
                  <w:rPr>
                    <w:rFonts w:ascii="Gill Sans MT"/>
                    <w:spacing w:val="-6"/>
                    <w:w w:val="110"/>
                    <w:sz w:val="14"/>
                  </w:rPr>
                  <w:t> </w:t>
                </w:r>
                <w:r>
                  <w:rPr>
                    <w:rFonts w:ascii="Gill Sans MT"/>
                    <w:w w:val="110"/>
                    <w:sz w:val="14"/>
                  </w:rPr>
                  <w:t>values</w:t>
                </w:r>
                <w:r>
                  <w:rPr>
                    <w:rFonts w:ascii="Gill Sans MT"/>
                    <w:spacing w:val="-6"/>
                    <w:w w:val="110"/>
                    <w:sz w:val="14"/>
                  </w:rPr>
                  <w:t> </w:t>
                </w:r>
                <w:r>
                  <w:rPr>
                    <w:rFonts w:ascii="Gill Sans MT"/>
                    <w:w w:val="110"/>
                    <w:sz w:val="14"/>
                  </w:rPr>
                  <w:t>may</w:t>
                </w:r>
                <w:r>
                  <w:rPr>
                    <w:rFonts w:ascii="Gill Sans MT"/>
                    <w:spacing w:val="-9"/>
                    <w:w w:val="110"/>
                    <w:sz w:val="14"/>
                  </w:rPr>
                  <w:t> </w:t>
                </w:r>
                <w:r>
                  <w:rPr>
                    <w:rFonts w:ascii="Gill Sans MT"/>
                    <w:w w:val="110"/>
                    <w:sz w:val="14"/>
                  </w:rPr>
                  <w:t>not</w:t>
                </w:r>
                <w:r>
                  <w:rPr>
                    <w:rFonts w:ascii="Gill Sans MT"/>
                    <w:spacing w:val="-7"/>
                    <w:w w:val="110"/>
                    <w:sz w:val="14"/>
                  </w:rPr>
                  <w:t> </w:t>
                </w:r>
                <w:r>
                  <w:rPr>
                    <w:rFonts w:ascii="Gill Sans MT"/>
                    <w:w w:val="110"/>
                    <w:sz w:val="14"/>
                  </w:rPr>
                  <w:t>equal</w:t>
                </w:r>
                <w:r>
                  <w:rPr>
                    <w:rFonts w:ascii="Gill Sans MT"/>
                    <w:spacing w:val="-3"/>
                    <w:w w:val="110"/>
                    <w:sz w:val="14"/>
                  </w:rPr>
                  <w:t> </w:t>
                </w:r>
                <w:r>
                  <w:rPr>
                    <w:rFonts w:ascii="Gill Sans MT"/>
                    <w:w w:val="110"/>
                    <w:sz w:val="14"/>
                  </w:rPr>
                  <w:t>100%</w:t>
                </w:r>
                <w:r>
                  <w:rPr>
                    <w:rFonts w:ascii="Gill Sans MT"/>
                    <w:spacing w:val="-12"/>
                    <w:w w:val="110"/>
                    <w:sz w:val="14"/>
                  </w:rPr>
                  <w:t> </w:t>
                </w:r>
                <w:r>
                  <w:rPr>
                    <w:rFonts w:ascii="Gill Sans MT"/>
                    <w:w w:val="110"/>
                    <w:sz w:val="14"/>
                  </w:rPr>
                  <w:t>due</w:t>
                </w:r>
                <w:r>
                  <w:rPr>
                    <w:rFonts w:ascii="Gill Sans MT"/>
                    <w:spacing w:val="-6"/>
                    <w:w w:val="110"/>
                    <w:sz w:val="14"/>
                  </w:rPr>
                  <w:t> </w:t>
                </w:r>
                <w:r>
                  <w:rPr>
                    <w:rFonts w:ascii="Gill Sans MT"/>
                    <w:w w:val="110"/>
                    <w:sz w:val="14"/>
                  </w:rPr>
                  <w:t>to</w:t>
                </w:r>
                <w:r>
                  <w:rPr>
                    <w:rFonts w:ascii="Gill Sans MT"/>
                    <w:spacing w:val="-6"/>
                    <w:w w:val="110"/>
                    <w:sz w:val="14"/>
                  </w:rPr>
                  <w:t> </w:t>
                </w:r>
                <w:r>
                  <w:rPr>
                    <w:rFonts w:ascii="Gill Sans MT"/>
                    <w:w w:val="110"/>
                    <w:sz w:val="14"/>
                  </w:rPr>
                  <w:t>rounding.</w:t>
                </w:r>
              </w:p>
            </w:txbxContent>
          </v:textbox>
          <w10:wrap type="none"/>
        </v:shape>
      </w:pict>
    </w:r>
    <w:r>
      <w:rPr/>
      <w:pict>
        <v:shape style="position:absolute;margin-left:621.299988pt;margin-top:478.499969pt;width:74.75pt;height:45.65pt;mso-position-horizontal-relative:page;mso-position-vertical-relative:page;z-index:-266959872"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58848"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19</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59680">
          <wp:simplePos x="0" y="0"/>
          <wp:positionH relativeFrom="page">
            <wp:posOffset>318444</wp:posOffset>
          </wp:positionH>
          <wp:positionV relativeFrom="page">
            <wp:posOffset>5931548</wp:posOffset>
          </wp:positionV>
          <wp:extent cx="1817955" cy="659309"/>
          <wp:effectExtent l="0" t="0" r="0" b="0"/>
          <wp:wrapNone/>
          <wp:docPr id="37" name="image2.png"/>
          <wp:cNvGraphicFramePr>
            <a:graphicFrameLocks noChangeAspect="1"/>
          </wp:cNvGraphicFramePr>
          <a:graphic>
            <a:graphicData uri="http://schemas.openxmlformats.org/drawingml/2006/picture">
              <pic:pic>
                <pic:nvPicPr>
                  <pic:cNvPr id="38"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24.392pt;margin-top:453.726959pt;width:187.15pt;height:10.2pt;mso-position-horizontal-relative:page;mso-position-vertical-relative:page;z-index:-266955776" type="#_x0000_t202" filled="false" stroked="false">
          <v:textbox inset="0,0,0,0">
            <w:txbxContent>
              <w:p>
                <w:pPr>
                  <w:spacing w:before="19"/>
                  <w:ind w:left="20" w:right="0" w:firstLine="0"/>
                  <w:jc w:val="left"/>
                  <w:rPr>
                    <w:rFonts w:ascii="Gill Sans MT"/>
                    <w:sz w:val="14"/>
                  </w:rPr>
                </w:pPr>
                <w:r>
                  <w:rPr>
                    <w:rFonts w:ascii="Gill Sans MT"/>
                    <w:w w:val="110"/>
                    <w:sz w:val="14"/>
                  </w:rPr>
                  <w:t>The</w:t>
                </w:r>
                <w:r>
                  <w:rPr>
                    <w:rFonts w:ascii="Gill Sans MT"/>
                    <w:spacing w:val="-8"/>
                    <w:w w:val="110"/>
                    <w:sz w:val="14"/>
                  </w:rPr>
                  <w:t> </w:t>
                </w:r>
                <w:r>
                  <w:rPr>
                    <w:rFonts w:ascii="Gill Sans MT"/>
                    <w:w w:val="110"/>
                    <w:sz w:val="14"/>
                  </w:rPr>
                  <w:t>sum</w:t>
                </w:r>
                <w:r>
                  <w:rPr>
                    <w:rFonts w:ascii="Gill Sans MT"/>
                    <w:spacing w:val="-3"/>
                    <w:w w:val="110"/>
                    <w:sz w:val="14"/>
                  </w:rPr>
                  <w:t> </w:t>
                </w:r>
                <w:r>
                  <w:rPr>
                    <w:rFonts w:ascii="Gill Sans MT"/>
                    <w:w w:val="110"/>
                    <w:sz w:val="14"/>
                  </w:rPr>
                  <w:t>of</w:t>
                </w:r>
                <w:r>
                  <w:rPr>
                    <w:rFonts w:ascii="Gill Sans MT"/>
                    <w:spacing w:val="-8"/>
                    <w:w w:val="110"/>
                    <w:sz w:val="14"/>
                  </w:rPr>
                  <w:t> </w:t>
                </w:r>
                <w:r>
                  <w:rPr>
                    <w:rFonts w:ascii="Gill Sans MT"/>
                    <w:w w:val="110"/>
                    <w:sz w:val="14"/>
                  </w:rPr>
                  <w:t>the</w:t>
                </w:r>
                <w:r>
                  <w:rPr>
                    <w:rFonts w:ascii="Gill Sans MT"/>
                    <w:spacing w:val="-6"/>
                    <w:w w:val="110"/>
                    <w:sz w:val="14"/>
                  </w:rPr>
                  <w:t> </w:t>
                </w:r>
                <w:r>
                  <w:rPr>
                    <w:rFonts w:ascii="Gill Sans MT"/>
                    <w:w w:val="110"/>
                    <w:sz w:val="14"/>
                  </w:rPr>
                  <w:t>values</w:t>
                </w:r>
                <w:r>
                  <w:rPr>
                    <w:rFonts w:ascii="Gill Sans MT"/>
                    <w:spacing w:val="-6"/>
                    <w:w w:val="110"/>
                    <w:sz w:val="14"/>
                  </w:rPr>
                  <w:t> </w:t>
                </w:r>
                <w:r>
                  <w:rPr>
                    <w:rFonts w:ascii="Gill Sans MT"/>
                    <w:w w:val="110"/>
                    <w:sz w:val="14"/>
                  </w:rPr>
                  <w:t>may</w:t>
                </w:r>
                <w:r>
                  <w:rPr>
                    <w:rFonts w:ascii="Gill Sans MT"/>
                    <w:spacing w:val="-9"/>
                    <w:w w:val="110"/>
                    <w:sz w:val="14"/>
                  </w:rPr>
                  <w:t> </w:t>
                </w:r>
                <w:r>
                  <w:rPr>
                    <w:rFonts w:ascii="Gill Sans MT"/>
                    <w:w w:val="110"/>
                    <w:sz w:val="14"/>
                  </w:rPr>
                  <w:t>not</w:t>
                </w:r>
                <w:r>
                  <w:rPr>
                    <w:rFonts w:ascii="Gill Sans MT"/>
                    <w:spacing w:val="-7"/>
                    <w:w w:val="110"/>
                    <w:sz w:val="14"/>
                  </w:rPr>
                  <w:t> </w:t>
                </w:r>
                <w:r>
                  <w:rPr>
                    <w:rFonts w:ascii="Gill Sans MT"/>
                    <w:w w:val="110"/>
                    <w:sz w:val="14"/>
                  </w:rPr>
                  <w:t>equal</w:t>
                </w:r>
                <w:r>
                  <w:rPr>
                    <w:rFonts w:ascii="Gill Sans MT"/>
                    <w:spacing w:val="-3"/>
                    <w:w w:val="110"/>
                    <w:sz w:val="14"/>
                  </w:rPr>
                  <w:t> </w:t>
                </w:r>
                <w:r>
                  <w:rPr>
                    <w:rFonts w:ascii="Gill Sans MT"/>
                    <w:w w:val="110"/>
                    <w:sz w:val="14"/>
                  </w:rPr>
                  <w:t>100%</w:t>
                </w:r>
                <w:r>
                  <w:rPr>
                    <w:rFonts w:ascii="Gill Sans MT"/>
                    <w:spacing w:val="-12"/>
                    <w:w w:val="110"/>
                    <w:sz w:val="14"/>
                  </w:rPr>
                  <w:t> </w:t>
                </w:r>
                <w:r>
                  <w:rPr>
                    <w:rFonts w:ascii="Gill Sans MT"/>
                    <w:w w:val="110"/>
                    <w:sz w:val="14"/>
                  </w:rPr>
                  <w:t>due</w:t>
                </w:r>
                <w:r>
                  <w:rPr>
                    <w:rFonts w:ascii="Gill Sans MT"/>
                    <w:spacing w:val="-6"/>
                    <w:w w:val="110"/>
                    <w:sz w:val="14"/>
                  </w:rPr>
                  <w:t> </w:t>
                </w:r>
                <w:r>
                  <w:rPr>
                    <w:rFonts w:ascii="Gill Sans MT"/>
                    <w:w w:val="110"/>
                    <w:sz w:val="14"/>
                  </w:rPr>
                  <w:t>to</w:t>
                </w:r>
                <w:r>
                  <w:rPr>
                    <w:rFonts w:ascii="Gill Sans MT"/>
                    <w:spacing w:val="-6"/>
                    <w:w w:val="110"/>
                    <w:sz w:val="14"/>
                  </w:rPr>
                  <w:t> </w:t>
                </w:r>
                <w:r>
                  <w:rPr>
                    <w:rFonts w:ascii="Gill Sans MT"/>
                    <w:w w:val="110"/>
                    <w:sz w:val="14"/>
                  </w:rPr>
                  <w:t>rounding.</w:t>
                </w:r>
              </w:p>
            </w:txbxContent>
          </v:textbox>
          <w10:wrap type="none"/>
        </v:shape>
      </w:pict>
    </w:r>
    <w:r>
      <w:rPr/>
      <w:pict>
        <v:shape style="position:absolute;margin-left:621.299988pt;margin-top:478.499969pt;width:74.75pt;height:45.65pt;mso-position-horizontal-relative:page;mso-position-vertical-relative:page;z-index:-266954752"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53728"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20</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64800">
          <wp:simplePos x="0" y="0"/>
          <wp:positionH relativeFrom="page">
            <wp:posOffset>318444</wp:posOffset>
          </wp:positionH>
          <wp:positionV relativeFrom="page">
            <wp:posOffset>5931548</wp:posOffset>
          </wp:positionV>
          <wp:extent cx="1817955" cy="659309"/>
          <wp:effectExtent l="0" t="0" r="0" b="0"/>
          <wp:wrapNone/>
          <wp:docPr id="39" name="image2.png"/>
          <wp:cNvGraphicFramePr>
            <a:graphicFrameLocks noChangeAspect="1"/>
          </wp:cNvGraphicFramePr>
          <a:graphic>
            <a:graphicData uri="http://schemas.openxmlformats.org/drawingml/2006/picture">
              <pic:pic>
                <pic:nvPicPr>
                  <pic:cNvPr id="40"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50656"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49632"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21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283904">
          <wp:simplePos x="0" y="0"/>
          <wp:positionH relativeFrom="page">
            <wp:posOffset>318444</wp:posOffset>
          </wp:positionH>
          <wp:positionV relativeFrom="page">
            <wp:posOffset>5931548</wp:posOffset>
          </wp:positionV>
          <wp:extent cx="1817955" cy="659309"/>
          <wp:effectExtent l="0" t="0" r="0" b="0"/>
          <wp:wrapNone/>
          <wp:docPr id="5" name="image2.png"/>
          <wp:cNvGraphicFramePr>
            <a:graphicFrameLocks noChangeAspect="1"/>
          </wp:cNvGraphicFramePr>
          <a:graphic>
            <a:graphicData uri="http://schemas.openxmlformats.org/drawingml/2006/picture">
              <pic:pic>
                <pic:nvPicPr>
                  <pic:cNvPr id="6"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24.392pt;margin-top:453.726959pt;width:187.15pt;height:10.2pt;mso-position-horizontal-relative:page;mso-position-vertical-relative:page;z-index:-267031552" type="#_x0000_t202" filled="false" stroked="false">
          <v:textbox inset="0,0,0,0">
            <w:txbxContent>
              <w:p>
                <w:pPr>
                  <w:spacing w:before="19"/>
                  <w:ind w:left="20" w:right="0" w:firstLine="0"/>
                  <w:jc w:val="left"/>
                  <w:rPr>
                    <w:rFonts w:ascii="Gill Sans MT"/>
                    <w:sz w:val="14"/>
                  </w:rPr>
                </w:pPr>
                <w:r>
                  <w:rPr>
                    <w:rFonts w:ascii="Gill Sans MT"/>
                    <w:w w:val="110"/>
                    <w:sz w:val="14"/>
                  </w:rPr>
                  <w:t>The</w:t>
                </w:r>
                <w:r>
                  <w:rPr>
                    <w:rFonts w:ascii="Gill Sans MT"/>
                    <w:spacing w:val="-8"/>
                    <w:w w:val="110"/>
                    <w:sz w:val="14"/>
                  </w:rPr>
                  <w:t> </w:t>
                </w:r>
                <w:r>
                  <w:rPr>
                    <w:rFonts w:ascii="Gill Sans MT"/>
                    <w:w w:val="110"/>
                    <w:sz w:val="14"/>
                  </w:rPr>
                  <w:t>sum</w:t>
                </w:r>
                <w:r>
                  <w:rPr>
                    <w:rFonts w:ascii="Gill Sans MT"/>
                    <w:spacing w:val="-3"/>
                    <w:w w:val="110"/>
                    <w:sz w:val="14"/>
                  </w:rPr>
                  <w:t> </w:t>
                </w:r>
                <w:r>
                  <w:rPr>
                    <w:rFonts w:ascii="Gill Sans MT"/>
                    <w:w w:val="110"/>
                    <w:sz w:val="14"/>
                  </w:rPr>
                  <w:t>of</w:t>
                </w:r>
                <w:r>
                  <w:rPr>
                    <w:rFonts w:ascii="Gill Sans MT"/>
                    <w:spacing w:val="-8"/>
                    <w:w w:val="110"/>
                    <w:sz w:val="14"/>
                  </w:rPr>
                  <w:t> </w:t>
                </w:r>
                <w:r>
                  <w:rPr>
                    <w:rFonts w:ascii="Gill Sans MT"/>
                    <w:w w:val="110"/>
                    <w:sz w:val="14"/>
                  </w:rPr>
                  <w:t>the</w:t>
                </w:r>
                <w:r>
                  <w:rPr>
                    <w:rFonts w:ascii="Gill Sans MT"/>
                    <w:spacing w:val="-6"/>
                    <w:w w:val="110"/>
                    <w:sz w:val="14"/>
                  </w:rPr>
                  <w:t> </w:t>
                </w:r>
                <w:r>
                  <w:rPr>
                    <w:rFonts w:ascii="Gill Sans MT"/>
                    <w:w w:val="110"/>
                    <w:sz w:val="14"/>
                  </w:rPr>
                  <w:t>values</w:t>
                </w:r>
                <w:r>
                  <w:rPr>
                    <w:rFonts w:ascii="Gill Sans MT"/>
                    <w:spacing w:val="-6"/>
                    <w:w w:val="110"/>
                    <w:sz w:val="14"/>
                  </w:rPr>
                  <w:t> </w:t>
                </w:r>
                <w:r>
                  <w:rPr>
                    <w:rFonts w:ascii="Gill Sans MT"/>
                    <w:w w:val="110"/>
                    <w:sz w:val="14"/>
                  </w:rPr>
                  <w:t>may</w:t>
                </w:r>
                <w:r>
                  <w:rPr>
                    <w:rFonts w:ascii="Gill Sans MT"/>
                    <w:spacing w:val="-9"/>
                    <w:w w:val="110"/>
                    <w:sz w:val="14"/>
                  </w:rPr>
                  <w:t> </w:t>
                </w:r>
                <w:r>
                  <w:rPr>
                    <w:rFonts w:ascii="Gill Sans MT"/>
                    <w:w w:val="110"/>
                    <w:sz w:val="14"/>
                  </w:rPr>
                  <w:t>not</w:t>
                </w:r>
                <w:r>
                  <w:rPr>
                    <w:rFonts w:ascii="Gill Sans MT"/>
                    <w:spacing w:val="-7"/>
                    <w:w w:val="110"/>
                    <w:sz w:val="14"/>
                  </w:rPr>
                  <w:t> </w:t>
                </w:r>
                <w:r>
                  <w:rPr>
                    <w:rFonts w:ascii="Gill Sans MT"/>
                    <w:w w:val="110"/>
                    <w:sz w:val="14"/>
                  </w:rPr>
                  <w:t>equal</w:t>
                </w:r>
                <w:r>
                  <w:rPr>
                    <w:rFonts w:ascii="Gill Sans MT"/>
                    <w:spacing w:val="-3"/>
                    <w:w w:val="110"/>
                    <w:sz w:val="14"/>
                  </w:rPr>
                  <w:t> </w:t>
                </w:r>
                <w:r>
                  <w:rPr>
                    <w:rFonts w:ascii="Gill Sans MT"/>
                    <w:w w:val="110"/>
                    <w:sz w:val="14"/>
                  </w:rPr>
                  <w:t>100%</w:t>
                </w:r>
                <w:r>
                  <w:rPr>
                    <w:rFonts w:ascii="Gill Sans MT"/>
                    <w:spacing w:val="-12"/>
                    <w:w w:val="110"/>
                    <w:sz w:val="14"/>
                  </w:rPr>
                  <w:t> </w:t>
                </w:r>
                <w:r>
                  <w:rPr>
                    <w:rFonts w:ascii="Gill Sans MT"/>
                    <w:w w:val="110"/>
                    <w:sz w:val="14"/>
                  </w:rPr>
                  <w:t>due</w:t>
                </w:r>
                <w:r>
                  <w:rPr>
                    <w:rFonts w:ascii="Gill Sans MT"/>
                    <w:spacing w:val="-6"/>
                    <w:w w:val="110"/>
                    <w:sz w:val="14"/>
                  </w:rPr>
                  <w:t> </w:t>
                </w:r>
                <w:r>
                  <w:rPr>
                    <w:rFonts w:ascii="Gill Sans MT"/>
                    <w:w w:val="110"/>
                    <w:sz w:val="14"/>
                  </w:rPr>
                  <w:t>to</w:t>
                </w:r>
                <w:r>
                  <w:rPr>
                    <w:rFonts w:ascii="Gill Sans MT"/>
                    <w:spacing w:val="-6"/>
                    <w:w w:val="110"/>
                    <w:sz w:val="14"/>
                  </w:rPr>
                  <w:t> </w:t>
                </w:r>
                <w:r>
                  <w:rPr>
                    <w:rFonts w:ascii="Gill Sans MT"/>
                    <w:w w:val="110"/>
                    <w:sz w:val="14"/>
                  </w:rPr>
                  <w:t>rounding.</w:t>
                </w:r>
              </w:p>
            </w:txbxContent>
          </v:textbox>
          <w10:wrap type="none"/>
        </v:shape>
      </w:pict>
    </w:r>
    <w:r>
      <w:rPr/>
      <w:pict>
        <v:shape style="position:absolute;margin-left:621.299988pt;margin-top:478.499969pt;width:74.75pt;height:45.65pt;mso-position-horizontal-relative:page;mso-position-vertical-relative:page;z-index:-267030528"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4.220001pt;margin-top:520.495789pt;width:11.6pt;height:13.7pt;mso-position-horizontal-relative:page;mso-position-vertical-relative:page;z-index:-267029504"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1"/>
                    <w:sz w:val="20"/>
                  </w:rPr>
                  <w:instrText> PAGE </w:instrText>
                </w:r>
                <w:r>
                  <w:rPr/>
                  <w:fldChar w:fldCharType="separate"/>
                </w:r>
                <w:r>
                  <w:rPr/>
                  <w:t>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68896">
          <wp:simplePos x="0" y="0"/>
          <wp:positionH relativeFrom="page">
            <wp:posOffset>318444</wp:posOffset>
          </wp:positionH>
          <wp:positionV relativeFrom="page">
            <wp:posOffset>5931548</wp:posOffset>
          </wp:positionV>
          <wp:extent cx="1817955" cy="659309"/>
          <wp:effectExtent l="0" t="0" r="0" b="0"/>
          <wp:wrapNone/>
          <wp:docPr id="41" name="image2.png"/>
          <wp:cNvGraphicFramePr>
            <a:graphicFrameLocks noChangeAspect="1"/>
          </wp:cNvGraphicFramePr>
          <a:graphic>
            <a:graphicData uri="http://schemas.openxmlformats.org/drawingml/2006/picture">
              <pic:pic>
                <pic:nvPicPr>
                  <pic:cNvPr id="42"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46560"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45536"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22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72992">
          <wp:simplePos x="0" y="0"/>
          <wp:positionH relativeFrom="page">
            <wp:posOffset>318444</wp:posOffset>
          </wp:positionH>
          <wp:positionV relativeFrom="page">
            <wp:posOffset>5931548</wp:posOffset>
          </wp:positionV>
          <wp:extent cx="1817955" cy="659309"/>
          <wp:effectExtent l="0" t="0" r="0" b="0"/>
          <wp:wrapNone/>
          <wp:docPr id="43" name="image2.png"/>
          <wp:cNvGraphicFramePr>
            <a:graphicFrameLocks noChangeAspect="1"/>
          </wp:cNvGraphicFramePr>
          <a:graphic>
            <a:graphicData uri="http://schemas.openxmlformats.org/drawingml/2006/picture">
              <pic:pic>
                <pic:nvPicPr>
                  <pic:cNvPr id="44"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42464"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41440"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23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77088">
          <wp:simplePos x="0" y="0"/>
          <wp:positionH relativeFrom="page">
            <wp:posOffset>318444</wp:posOffset>
          </wp:positionH>
          <wp:positionV relativeFrom="page">
            <wp:posOffset>5931548</wp:posOffset>
          </wp:positionV>
          <wp:extent cx="1817955" cy="659309"/>
          <wp:effectExtent l="0" t="0" r="0" b="0"/>
          <wp:wrapNone/>
          <wp:docPr id="45" name="image2.png"/>
          <wp:cNvGraphicFramePr>
            <a:graphicFrameLocks noChangeAspect="1"/>
          </wp:cNvGraphicFramePr>
          <a:graphic>
            <a:graphicData uri="http://schemas.openxmlformats.org/drawingml/2006/picture">
              <pic:pic>
                <pic:nvPicPr>
                  <pic:cNvPr id="46"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38368"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37344"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25</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81184">
          <wp:simplePos x="0" y="0"/>
          <wp:positionH relativeFrom="page">
            <wp:posOffset>318444</wp:posOffset>
          </wp:positionH>
          <wp:positionV relativeFrom="page">
            <wp:posOffset>5931548</wp:posOffset>
          </wp:positionV>
          <wp:extent cx="1817955" cy="659309"/>
          <wp:effectExtent l="0" t="0" r="0" b="0"/>
          <wp:wrapNone/>
          <wp:docPr id="55" name="image2.png"/>
          <wp:cNvGraphicFramePr>
            <a:graphicFrameLocks noChangeAspect="1"/>
          </wp:cNvGraphicFramePr>
          <a:graphic>
            <a:graphicData uri="http://schemas.openxmlformats.org/drawingml/2006/picture">
              <pic:pic>
                <pic:nvPicPr>
                  <pic:cNvPr id="56"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34272"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33248"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26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85280">
          <wp:simplePos x="0" y="0"/>
          <wp:positionH relativeFrom="page">
            <wp:posOffset>318444</wp:posOffset>
          </wp:positionH>
          <wp:positionV relativeFrom="page">
            <wp:posOffset>5931548</wp:posOffset>
          </wp:positionV>
          <wp:extent cx="1817955" cy="659309"/>
          <wp:effectExtent l="0" t="0" r="0" b="0"/>
          <wp:wrapNone/>
          <wp:docPr id="57" name="image2.png"/>
          <wp:cNvGraphicFramePr>
            <a:graphicFrameLocks noChangeAspect="1"/>
          </wp:cNvGraphicFramePr>
          <a:graphic>
            <a:graphicData uri="http://schemas.openxmlformats.org/drawingml/2006/picture">
              <pic:pic>
                <pic:nvPicPr>
                  <pic:cNvPr id="58"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30176"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29152"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27</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88352">
          <wp:simplePos x="0" y="0"/>
          <wp:positionH relativeFrom="page">
            <wp:posOffset>318444</wp:posOffset>
          </wp:positionH>
          <wp:positionV relativeFrom="page">
            <wp:posOffset>5931548</wp:posOffset>
          </wp:positionV>
          <wp:extent cx="1817955" cy="659309"/>
          <wp:effectExtent l="0" t="0" r="0" b="0"/>
          <wp:wrapNone/>
          <wp:docPr id="59" name="image2.png"/>
          <wp:cNvGraphicFramePr>
            <a:graphicFrameLocks noChangeAspect="1"/>
          </wp:cNvGraphicFramePr>
          <a:graphic>
            <a:graphicData uri="http://schemas.openxmlformats.org/drawingml/2006/picture">
              <pic:pic>
                <pic:nvPicPr>
                  <pic:cNvPr id="60"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27104"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26080"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28</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92448">
          <wp:simplePos x="0" y="0"/>
          <wp:positionH relativeFrom="page">
            <wp:posOffset>318444</wp:posOffset>
          </wp:positionH>
          <wp:positionV relativeFrom="page">
            <wp:posOffset>5931548</wp:posOffset>
          </wp:positionV>
          <wp:extent cx="1817955" cy="659309"/>
          <wp:effectExtent l="0" t="0" r="0" b="0"/>
          <wp:wrapNone/>
          <wp:docPr id="63" name="image2.png"/>
          <wp:cNvGraphicFramePr>
            <a:graphicFrameLocks noChangeAspect="1"/>
          </wp:cNvGraphicFramePr>
          <a:graphic>
            <a:graphicData uri="http://schemas.openxmlformats.org/drawingml/2006/picture">
              <pic:pic>
                <pic:nvPicPr>
                  <pic:cNvPr id="64"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23008"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21984"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29</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1.299988pt;margin-top:491.579987pt;width:74.75pt;height:32.5500pt;mso-position-horizontal-relative:page;mso-position-vertical-relative:page;z-index:-266919936" type="#_x0000_t202" filled="false" stroked="false">
          <v:textbox inset="0,0,0,0">
            <w:txbxContent>
              <w:p>
                <w:pPr>
                  <w:spacing w:line="304" w:lineRule="exact" w:before="19"/>
                  <w:ind w:left="0" w:right="18" w:firstLine="0"/>
                  <w:jc w:val="right"/>
                  <w:rPr>
                    <w:rFonts w:ascii="Gill Sans MT"/>
                    <w:sz w:val="30"/>
                  </w:rPr>
                </w:pPr>
                <w:r>
                  <w:rPr>
                    <w:rFonts w:ascii="Gill Sans MT"/>
                    <w:color w:val="7B807C"/>
                    <w:spacing w:val="-5"/>
                    <w:sz w:val="30"/>
                  </w:rPr>
                  <w:t>INTEGRITY</w:t>
                </w:r>
              </w:p>
              <w:p>
                <w:pPr>
                  <w:spacing w:line="304"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18912"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30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98592">
          <wp:simplePos x="0" y="0"/>
          <wp:positionH relativeFrom="page">
            <wp:posOffset>318444</wp:posOffset>
          </wp:positionH>
          <wp:positionV relativeFrom="page">
            <wp:posOffset>5931548</wp:posOffset>
          </wp:positionV>
          <wp:extent cx="1817955" cy="659309"/>
          <wp:effectExtent l="0" t="0" r="0" b="0"/>
          <wp:wrapNone/>
          <wp:docPr id="65" name="image2.png"/>
          <wp:cNvGraphicFramePr>
            <a:graphicFrameLocks noChangeAspect="1"/>
          </wp:cNvGraphicFramePr>
          <a:graphic>
            <a:graphicData uri="http://schemas.openxmlformats.org/drawingml/2006/picture">
              <pic:pic>
                <pic:nvPicPr>
                  <pic:cNvPr id="66"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16864"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15840"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31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402688">
          <wp:simplePos x="0" y="0"/>
          <wp:positionH relativeFrom="page">
            <wp:posOffset>318444</wp:posOffset>
          </wp:positionH>
          <wp:positionV relativeFrom="page">
            <wp:posOffset>5931548</wp:posOffset>
          </wp:positionV>
          <wp:extent cx="1817955" cy="659309"/>
          <wp:effectExtent l="0" t="0" r="0" b="0"/>
          <wp:wrapNone/>
          <wp:docPr id="67" name="image2.png"/>
          <wp:cNvGraphicFramePr>
            <a:graphicFrameLocks noChangeAspect="1"/>
          </wp:cNvGraphicFramePr>
          <a:graphic>
            <a:graphicData uri="http://schemas.openxmlformats.org/drawingml/2006/picture">
              <pic:pic>
                <pic:nvPicPr>
                  <pic:cNvPr id="68"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12768"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11744"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32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289024">
          <wp:simplePos x="0" y="0"/>
          <wp:positionH relativeFrom="page">
            <wp:posOffset>318444</wp:posOffset>
          </wp:positionH>
          <wp:positionV relativeFrom="page">
            <wp:posOffset>5931548</wp:posOffset>
          </wp:positionV>
          <wp:extent cx="1817955" cy="659309"/>
          <wp:effectExtent l="0" t="0" r="0" b="0"/>
          <wp:wrapNone/>
          <wp:docPr id="7" name="image2.png"/>
          <wp:cNvGraphicFramePr>
            <a:graphicFrameLocks noChangeAspect="1"/>
          </wp:cNvGraphicFramePr>
          <a:graphic>
            <a:graphicData uri="http://schemas.openxmlformats.org/drawingml/2006/picture">
              <pic:pic>
                <pic:nvPicPr>
                  <pic:cNvPr id="8"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24.392pt;margin-top:453.726959pt;width:187.15pt;height:10.2pt;mso-position-horizontal-relative:page;mso-position-vertical-relative:page;z-index:-267026432" type="#_x0000_t202" filled="false" stroked="false">
          <v:textbox inset="0,0,0,0">
            <w:txbxContent>
              <w:p>
                <w:pPr>
                  <w:spacing w:before="19"/>
                  <w:ind w:left="20" w:right="0" w:firstLine="0"/>
                  <w:jc w:val="left"/>
                  <w:rPr>
                    <w:rFonts w:ascii="Gill Sans MT"/>
                    <w:sz w:val="14"/>
                  </w:rPr>
                </w:pPr>
                <w:r>
                  <w:rPr>
                    <w:rFonts w:ascii="Gill Sans MT"/>
                    <w:w w:val="110"/>
                    <w:sz w:val="14"/>
                  </w:rPr>
                  <w:t>The</w:t>
                </w:r>
                <w:r>
                  <w:rPr>
                    <w:rFonts w:ascii="Gill Sans MT"/>
                    <w:spacing w:val="-8"/>
                    <w:w w:val="110"/>
                    <w:sz w:val="14"/>
                  </w:rPr>
                  <w:t> </w:t>
                </w:r>
                <w:r>
                  <w:rPr>
                    <w:rFonts w:ascii="Gill Sans MT"/>
                    <w:w w:val="110"/>
                    <w:sz w:val="14"/>
                  </w:rPr>
                  <w:t>sum</w:t>
                </w:r>
                <w:r>
                  <w:rPr>
                    <w:rFonts w:ascii="Gill Sans MT"/>
                    <w:spacing w:val="-3"/>
                    <w:w w:val="110"/>
                    <w:sz w:val="14"/>
                  </w:rPr>
                  <w:t> </w:t>
                </w:r>
                <w:r>
                  <w:rPr>
                    <w:rFonts w:ascii="Gill Sans MT"/>
                    <w:w w:val="110"/>
                    <w:sz w:val="14"/>
                  </w:rPr>
                  <w:t>of</w:t>
                </w:r>
                <w:r>
                  <w:rPr>
                    <w:rFonts w:ascii="Gill Sans MT"/>
                    <w:spacing w:val="-8"/>
                    <w:w w:val="110"/>
                    <w:sz w:val="14"/>
                  </w:rPr>
                  <w:t> </w:t>
                </w:r>
                <w:r>
                  <w:rPr>
                    <w:rFonts w:ascii="Gill Sans MT"/>
                    <w:w w:val="110"/>
                    <w:sz w:val="14"/>
                  </w:rPr>
                  <w:t>the</w:t>
                </w:r>
                <w:r>
                  <w:rPr>
                    <w:rFonts w:ascii="Gill Sans MT"/>
                    <w:spacing w:val="-6"/>
                    <w:w w:val="110"/>
                    <w:sz w:val="14"/>
                  </w:rPr>
                  <w:t> </w:t>
                </w:r>
                <w:r>
                  <w:rPr>
                    <w:rFonts w:ascii="Gill Sans MT"/>
                    <w:w w:val="110"/>
                    <w:sz w:val="14"/>
                  </w:rPr>
                  <w:t>values</w:t>
                </w:r>
                <w:r>
                  <w:rPr>
                    <w:rFonts w:ascii="Gill Sans MT"/>
                    <w:spacing w:val="-6"/>
                    <w:w w:val="110"/>
                    <w:sz w:val="14"/>
                  </w:rPr>
                  <w:t> </w:t>
                </w:r>
                <w:r>
                  <w:rPr>
                    <w:rFonts w:ascii="Gill Sans MT"/>
                    <w:w w:val="110"/>
                    <w:sz w:val="14"/>
                  </w:rPr>
                  <w:t>may</w:t>
                </w:r>
                <w:r>
                  <w:rPr>
                    <w:rFonts w:ascii="Gill Sans MT"/>
                    <w:spacing w:val="-9"/>
                    <w:w w:val="110"/>
                    <w:sz w:val="14"/>
                  </w:rPr>
                  <w:t> </w:t>
                </w:r>
                <w:r>
                  <w:rPr>
                    <w:rFonts w:ascii="Gill Sans MT"/>
                    <w:w w:val="110"/>
                    <w:sz w:val="14"/>
                  </w:rPr>
                  <w:t>not</w:t>
                </w:r>
                <w:r>
                  <w:rPr>
                    <w:rFonts w:ascii="Gill Sans MT"/>
                    <w:spacing w:val="-7"/>
                    <w:w w:val="110"/>
                    <w:sz w:val="14"/>
                  </w:rPr>
                  <w:t> </w:t>
                </w:r>
                <w:r>
                  <w:rPr>
                    <w:rFonts w:ascii="Gill Sans MT"/>
                    <w:w w:val="110"/>
                    <w:sz w:val="14"/>
                  </w:rPr>
                  <w:t>equal</w:t>
                </w:r>
                <w:r>
                  <w:rPr>
                    <w:rFonts w:ascii="Gill Sans MT"/>
                    <w:spacing w:val="-3"/>
                    <w:w w:val="110"/>
                    <w:sz w:val="14"/>
                  </w:rPr>
                  <w:t> </w:t>
                </w:r>
                <w:r>
                  <w:rPr>
                    <w:rFonts w:ascii="Gill Sans MT"/>
                    <w:w w:val="110"/>
                    <w:sz w:val="14"/>
                  </w:rPr>
                  <w:t>100%</w:t>
                </w:r>
                <w:r>
                  <w:rPr>
                    <w:rFonts w:ascii="Gill Sans MT"/>
                    <w:spacing w:val="-12"/>
                    <w:w w:val="110"/>
                    <w:sz w:val="14"/>
                  </w:rPr>
                  <w:t> </w:t>
                </w:r>
                <w:r>
                  <w:rPr>
                    <w:rFonts w:ascii="Gill Sans MT"/>
                    <w:w w:val="110"/>
                    <w:sz w:val="14"/>
                  </w:rPr>
                  <w:t>due</w:t>
                </w:r>
                <w:r>
                  <w:rPr>
                    <w:rFonts w:ascii="Gill Sans MT"/>
                    <w:spacing w:val="-6"/>
                    <w:w w:val="110"/>
                    <w:sz w:val="14"/>
                  </w:rPr>
                  <w:t> </w:t>
                </w:r>
                <w:r>
                  <w:rPr>
                    <w:rFonts w:ascii="Gill Sans MT"/>
                    <w:w w:val="110"/>
                    <w:sz w:val="14"/>
                  </w:rPr>
                  <w:t>to</w:t>
                </w:r>
                <w:r>
                  <w:rPr>
                    <w:rFonts w:ascii="Gill Sans MT"/>
                    <w:spacing w:val="-6"/>
                    <w:w w:val="110"/>
                    <w:sz w:val="14"/>
                  </w:rPr>
                  <w:t> </w:t>
                </w:r>
                <w:r>
                  <w:rPr>
                    <w:rFonts w:ascii="Gill Sans MT"/>
                    <w:w w:val="110"/>
                    <w:sz w:val="14"/>
                  </w:rPr>
                  <w:t>rounding.</w:t>
                </w:r>
              </w:p>
            </w:txbxContent>
          </v:textbox>
          <w10:wrap type="none"/>
        </v:shape>
      </w:pict>
    </w:r>
    <w:r>
      <w:rPr/>
      <w:pict>
        <v:shape style="position:absolute;margin-left:621.299988pt;margin-top:478.499969pt;width:74.75pt;height:45.65pt;mso-position-horizontal-relative:page;mso-position-vertical-relative:page;z-index:-267025408"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4.220001pt;margin-top:520.495789pt;width:11.6pt;height:13.7pt;mso-position-horizontal-relative:page;mso-position-vertical-relative:page;z-index:-267024384"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1"/>
                    <w:sz w:val="20"/>
                  </w:rPr>
                  <w:instrText> PAGE </w:instrText>
                </w:r>
                <w:r>
                  <w:rPr/>
                  <w:fldChar w:fldCharType="separate"/>
                </w:r>
                <w:r>
                  <w:rPr/>
                  <w:t>3</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406784">
          <wp:simplePos x="0" y="0"/>
          <wp:positionH relativeFrom="page">
            <wp:posOffset>318444</wp:posOffset>
          </wp:positionH>
          <wp:positionV relativeFrom="page">
            <wp:posOffset>5931548</wp:posOffset>
          </wp:positionV>
          <wp:extent cx="1817955" cy="659309"/>
          <wp:effectExtent l="0" t="0" r="0" b="0"/>
          <wp:wrapNone/>
          <wp:docPr id="69" name="image2.png"/>
          <wp:cNvGraphicFramePr>
            <a:graphicFrameLocks noChangeAspect="1"/>
          </wp:cNvGraphicFramePr>
          <a:graphic>
            <a:graphicData uri="http://schemas.openxmlformats.org/drawingml/2006/picture">
              <pic:pic>
                <pic:nvPicPr>
                  <pic:cNvPr id="70"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91.579987pt;width:74.75pt;height:32.5500pt;mso-position-horizontal-relative:page;mso-position-vertical-relative:page;z-index:-266908672" type="#_x0000_t202" filled="false" stroked="false">
          <v:textbox inset="0,0,0,0">
            <w:txbxContent>
              <w:p>
                <w:pPr>
                  <w:spacing w:line="304" w:lineRule="exact" w:before="19"/>
                  <w:ind w:left="0" w:right="18" w:firstLine="0"/>
                  <w:jc w:val="right"/>
                  <w:rPr>
                    <w:rFonts w:ascii="Gill Sans MT"/>
                    <w:sz w:val="30"/>
                  </w:rPr>
                </w:pPr>
                <w:r>
                  <w:rPr>
                    <w:rFonts w:ascii="Gill Sans MT"/>
                    <w:color w:val="7B807C"/>
                    <w:spacing w:val="-5"/>
                    <w:sz w:val="30"/>
                  </w:rPr>
                  <w:t>INTEGRITY</w:t>
                </w:r>
              </w:p>
              <w:p>
                <w:pPr>
                  <w:spacing w:line="304"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07648"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33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410880">
          <wp:simplePos x="0" y="0"/>
          <wp:positionH relativeFrom="page">
            <wp:posOffset>318444</wp:posOffset>
          </wp:positionH>
          <wp:positionV relativeFrom="page">
            <wp:posOffset>5931548</wp:posOffset>
          </wp:positionV>
          <wp:extent cx="1817955" cy="659309"/>
          <wp:effectExtent l="0" t="0" r="0" b="0"/>
          <wp:wrapNone/>
          <wp:docPr id="71" name="image2.png"/>
          <wp:cNvGraphicFramePr>
            <a:graphicFrameLocks noChangeAspect="1"/>
          </wp:cNvGraphicFramePr>
          <a:graphic>
            <a:graphicData uri="http://schemas.openxmlformats.org/drawingml/2006/picture">
              <pic:pic>
                <pic:nvPicPr>
                  <pic:cNvPr id="72"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04576"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03552"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34</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414976">
          <wp:simplePos x="0" y="0"/>
          <wp:positionH relativeFrom="page">
            <wp:posOffset>318444</wp:posOffset>
          </wp:positionH>
          <wp:positionV relativeFrom="page">
            <wp:posOffset>5931548</wp:posOffset>
          </wp:positionV>
          <wp:extent cx="1817955" cy="659309"/>
          <wp:effectExtent l="0" t="0" r="0" b="0"/>
          <wp:wrapNone/>
          <wp:docPr id="77" name="image2.png"/>
          <wp:cNvGraphicFramePr>
            <a:graphicFrameLocks noChangeAspect="1"/>
          </wp:cNvGraphicFramePr>
          <a:graphic>
            <a:graphicData uri="http://schemas.openxmlformats.org/drawingml/2006/picture">
              <pic:pic>
                <pic:nvPicPr>
                  <pic:cNvPr id="78"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900480"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899456"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35</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419072">
          <wp:simplePos x="0" y="0"/>
          <wp:positionH relativeFrom="page">
            <wp:posOffset>318444</wp:posOffset>
          </wp:positionH>
          <wp:positionV relativeFrom="page">
            <wp:posOffset>5931548</wp:posOffset>
          </wp:positionV>
          <wp:extent cx="1817955" cy="659309"/>
          <wp:effectExtent l="0" t="0" r="0" b="0"/>
          <wp:wrapNone/>
          <wp:docPr id="79" name="image2.png"/>
          <wp:cNvGraphicFramePr>
            <a:graphicFrameLocks noChangeAspect="1"/>
          </wp:cNvGraphicFramePr>
          <a:graphic>
            <a:graphicData uri="http://schemas.openxmlformats.org/drawingml/2006/picture">
              <pic:pic>
                <pic:nvPicPr>
                  <pic:cNvPr id="80"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896384"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895360"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36</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423168">
          <wp:simplePos x="0" y="0"/>
          <wp:positionH relativeFrom="page">
            <wp:posOffset>318444</wp:posOffset>
          </wp:positionH>
          <wp:positionV relativeFrom="page">
            <wp:posOffset>5931548</wp:posOffset>
          </wp:positionV>
          <wp:extent cx="1817955" cy="659309"/>
          <wp:effectExtent l="0" t="0" r="0" b="0"/>
          <wp:wrapNone/>
          <wp:docPr id="81" name="image2.png"/>
          <wp:cNvGraphicFramePr>
            <a:graphicFrameLocks noChangeAspect="1"/>
          </wp:cNvGraphicFramePr>
          <a:graphic>
            <a:graphicData uri="http://schemas.openxmlformats.org/drawingml/2006/picture">
              <pic:pic>
                <pic:nvPicPr>
                  <pic:cNvPr id="82"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892288"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891264"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37</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426240">
          <wp:simplePos x="0" y="0"/>
          <wp:positionH relativeFrom="page">
            <wp:posOffset>318444</wp:posOffset>
          </wp:positionH>
          <wp:positionV relativeFrom="page">
            <wp:posOffset>5931548</wp:posOffset>
          </wp:positionV>
          <wp:extent cx="1817955" cy="659309"/>
          <wp:effectExtent l="0" t="0" r="0" b="0"/>
          <wp:wrapNone/>
          <wp:docPr id="83" name="image2.png"/>
          <wp:cNvGraphicFramePr>
            <a:graphicFrameLocks noChangeAspect="1"/>
          </wp:cNvGraphicFramePr>
          <a:graphic>
            <a:graphicData uri="http://schemas.openxmlformats.org/drawingml/2006/picture">
              <pic:pic>
                <pic:nvPicPr>
                  <pic:cNvPr id="84"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6889216"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888192"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38</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431360">
          <wp:simplePos x="0" y="0"/>
          <wp:positionH relativeFrom="page">
            <wp:posOffset>2457767</wp:posOffset>
          </wp:positionH>
          <wp:positionV relativeFrom="page">
            <wp:posOffset>9134756</wp:posOffset>
          </wp:positionV>
          <wp:extent cx="2856153" cy="865502"/>
          <wp:effectExtent l="0" t="0" r="0" b="0"/>
          <wp:wrapNone/>
          <wp:docPr id="85" name="image50.png"/>
          <wp:cNvGraphicFramePr>
            <a:graphicFrameLocks noChangeAspect="1"/>
          </wp:cNvGraphicFramePr>
          <a:graphic>
            <a:graphicData uri="http://schemas.openxmlformats.org/drawingml/2006/picture">
              <pic:pic>
                <pic:nvPicPr>
                  <pic:cNvPr id="86" name="image50.png"/>
                  <pic:cNvPicPr/>
                </pic:nvPicPr>
                <pic:blipFill>
                  <a:blip r:embed="rId1" cstate="print"/>
                  <a:stretch>
                    <a:fillRect/>
                  </a:stretch>
                </pic:blipFill>
                <pic:spPr>
                  <a:xfrm>
                    <a:off x="0" y="0"/>
                    <a:ext cx="2856153" cy="865502"/>
                  </a:xfrm>
                  <a:prstGeom prst="rect">
                    <a:avLst/>
                  </a:prstGeom>
                </pic:spPr>
              </pic:pic>
            </a:graphicData>
          </a:graphic>
        </wp:anchor>
      </w:drawing>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436480">
          <wp:simplePos x="0" y="0"/>
          <wp:positionH relativeFrom="page">
            <wp:posOffset>2457767</wp:posOffset>
          </wp:positionH>
          <wp:positionV relativeFrom="page">
            <wp:posOffset>9134756</wp:posOffset>
          </wp:positionV>
          <wp:extent cx="2856153" cy="865502"/>
          <wp:effectExtent l="0" t="0" r="0" b="0"/>
          <wp:wrapNone/>
          <wp:docPr id="91" name="image50.png"/>
          <wp:cNvGraphicFramePr>
            <a:graphicFrameLocks noChangeAspect="1"/>
          </wp:cNvGraphicFramePr>
          <a:graphic>
            <a:graphicData uri="http://schemas.openxmlformats.org/drawingml/2006/picture">
              <pic:pic>
                <pic:nvPicPr>
                  <pic:cNvPr id="92" name="image50.png"/>
                  <pic:cNvPicPr/>
                </pic:nvPicPr>
                <pic:blipFill>
                  <a:blip r:embed="rId1" cstate="print"/>
                  <a:stretch>
                    <a:fillRect/>
                  </a:stretch>
                </pic:blipFill>
                <pic:spPr>
                  <a:xfrm>
                    <a:off x="0" y="0"/>
                    <a:ext cx="2856153" cy="865502"/>
                  </a:xfrm>
                  <a:prstGeom prst="rect">
                    <a:avLst/>
                  </a:prstGeom>
                </pic:spPr>
              </pic:pic>
            </a:graphicData>
          </a:graphic>
        </wp:anchor>
      </w:drawing>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294144">
          <wp:simplePos x="0" y="0"/>
          <wp:positionH relativeFrom="page">
            <wp:posOffset>318444</wp:posOffset>
          </wp:positionH>
          <wp:positionV relativeFrom="page">
            <wp:posOffset>5931548</wp:posOffset>
          </wp:positionV>
          <wp:extent cx="1817955" cy="659309"/>
          <wp:effectExtent l="0" t="0" r="0" b="0"/>
          <wp:wrapNone/>
          <wp:docPr id="9" name="image2.png"/>
          <wp:cNvGraphicFramePr>
            <a:graphicFrameLocks noChangeAspect="1"/>
          </wp:cNvGraphicFramePr>
          <a:graphic>
            <a:graphicData uri="http://schemas.openxmlformats.org/drawingml/2006/picture">
              <pic:pic>
                <pic:nvPicPr>
                  <pic:cNvPr id="10"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24.392pt;margin-top:453.726959pt;width:187.15pt;height:10.2pt;mso-position-horizontal-relative:page;mso-position-vertical-relative:page;z-index:-267021312" type="#_x0000_t202" filled="false" stroked="false">
          <v:textbox inset="0,0,0,0">
            <w:txbxContent>
              <w:p>
                <w:pPr>
                  <w:spacing w:before="19"/>
                  <w:ind w:left="20" w:right="0" w:firstLine="0"/>
                  <w:jc w:val="left"/>
                  <w:rPr>
                    <w:rFonts w:ascii="Gill Sans MT"/>
                    <w:sz w:val="14"/>
                  </w:rPr>
                </w:pPr>
                <w:r>
                  <w:rPr>
                    <w:rFonts w:ascii="Gill Sans MT"/>
                    <w:w w:val="110"/>
                    <w:sz w:val="14"/>
                  </w:rPr>
                  <w:t>The</w:t>
                </w:r>
                <w:r>
                  <w:rPr>
                    <w:rFonts w:ascii="Gill Sans MT"/>
                    <w:spacing w:val="-8"/>
                    <w:w w:val="110"/>
                    <w:sz w:val="14"/>
                  </w:rPr>
                  <w:t> </w:t>
                </w:r>
                <w:r>
                  <w:rPr>
                    <w:rFonts w:ascii="Gill Sans MT"/>
                    <w:w w:val="110"/>
                    <w:sz w:val="14"/>
                  </w:rPr>
                  <w:t>sum</w:t>
                </w:r>
                <w:r>
                  <w:rPr>
                    <w:rFonts w:ascii="Gill Sans MT"/>
                    <w:spacing w:val="-3"/>
                    <w:w w:val="110"/>
                    <w:sz w:val="14"/>
                  </w:rPr>
                  <w:t> </w:t>
                </w:r>
                <w:r>
                  <w:rPr>
                    <w:rFonts w:ascii="Gill Sans MT"/>
                    <w:w w:val="110"/>
                    <w:sz w:val="14"/>
                  </w:rPr>
                  <w:t>of</w:t>
                </w:r>
                <w:r>
                  <w:rPr>
                    <w:rFonts w:ascii="Gill Sans MT"/>
                    <w:spacing w:val="-8"/>
                    <w:w w:val="110"/>
                    <w:sz w:val="14"/>
                  </w:rPr>
                  <w:t> </w:t>
                </w:r>
                <w:r>
                  <w:rPr>
                    <w:rFonts w:ascii="Gill Sans MT"/>
                    <w:w w:val="110"/>
                    <w:sz w:val="14"/>
                  </w:rPr>
                  <w:t>the</w:t>
                </w:r>
                <w:r>
                  <w:rPr>
                    <w:rFonts w:ascii="Gill Sans MT"/>
                    <w:spacing w:val="-6"/>
                    <w:w w:val="110"/>
                    <w:sz w:val="14"/>
                  </w:rPr>
                  <w:t> </w:t>
                </w:r>
                <w:r>
                  <w:rPr>
                    <w:rFonts w:ascii="Gill Sans MT"/>
                    <w:w w:val="110"/>
                    <w:sz w:val="14"/>
                  </w:rPr>
                  <w:t>values</w:t>
                </w:r>
                <w:r>
                  <w:rPr>
                    <w:rFonts w:ascii="Gill Sans MT"/>
                    <w:spacing w:val="-6"/>
                    <w:w w:val="110"/>
                    <w:sz w:val="14"/>
                  </w:rPr>
                  <w:t> </w:t>
                </w:r>
                <w:r>
                  <w:rPr>
                    <w:rFonts w:ascii="Gill Sans MT"/>
                    <w:w w:val="110"/>
                    <w:sz w:val="14"/>
                  </w:rPr>
                  <w:t>may</w:t>
                </w:r>
                <w:r>
                  <w:rPr>
                    <w:rFonts w:ascii="Gill Sans MT"/>
                    <w:spacing w:val="-9"/>
                    <w:w w:val="110"/>
                    <w:sz w:val="14"/>
                  </w:rPr>
                  <w:t> </w:t>
                </w:r>
                <w:r>
                  <w:rPr>
                    <w:rFonts w:ascii="Gill Sans MT"/>
                    <w:w w:val="110"/>
                    <w:sz w:val="14"/>
                  </w:rPr>
                  <w:t>not</w:t>
                </w:r>
                <w:r>
                  <w:rPr>
                    <w:rFonts w:ascii="Gill Sans MT"/>
                    <w:spacing w:val="-7"/>
                    <w:w w:val="110"/>
                    <w:sz w:val="14"/>
                  </w:rPr>
                  <w:t> </w:t>
                </w:r>
                <w:r>
                  <w:rPr>
                    <w:rFonts w:ascii="Gill Sans MT"/>
                    <w:w w:val="110"/>
                    <w:sz w:val="14"/>
                  </w:rPr>
                  <w:t>equal</w:t>
                </w:r>
                <w:r>
                  <w:rPr>
                    <w:rFonts w:ascii="Gill Sans MT"/>
                    <w:spacing w:val="-3"/>
                    <w:w w:val="110"/>
                    <w:sz w:val="14"/>
                  </w:rPr>
                  <w:t> </w:t>
                </w:r>
                <w:r>
                  <w:rPr>
                    <w:rFonts w:ascii="Gill Sans MT"/>
                    <w:w w:val="110"/>
                    <w:sz w:val="14"/>
                  </w:rPr>
                  <w:t>100%</w:t>
                </w:r>
                <w:r>
                  <w:rPr>
                    <w:rFonts w:ascii="Gill Sans MT"/>
                    <w:spacing w:val="-12"/>
                    <w:w w:val="110"/>
                    <w:sz w:val="14"/>
                  </w:rPr>
                  <w:t> </w:t>
                </w:r>
                <w:r>
                  <w:rPr>
                    <w:rFonts w:ascii="Gill Sans MT"/>
                    <w:w w:val="110"/>
                    <w:sz w:val="14"/>
                  </w:rPr>
                  <w:t>due</w:t>
                </w:r>
                <w:r>
                  <w:rPr>
                    <w:rFonts w:ascii="Gill Sans MT"/>
                    <w:spacing w:val="-6"/>
                    <w:w w:val="110"/>
                    <w:sz w:val="14"/>
                  </w:rPr>
                  <w:t> </w:t>
                </w:r>
                <w:r>
                  <w:rPr>
                    <w:rFonts w:ascii="Gill Sans MT"/>
                    <w:w w:val="110"/>
                    <w:sz w:val="14"/>
                  </w:rPr>
                  <w:t>to</w:t>
                </w:r>
                <w:r>
                  <w:rPr>
                    <w:rFonts w:ascii="Gill Sans MT"/>
                    <w:spacing w:val="-6"/>
                    <w:w w:val="110"/>
                    <w:sz w:val="14"/>
                  </w:rPr>
                  <w:t> </w:t>
                </w:r>
                <w:r>
                  <w:rPr>
                    <w:rFonts w:ascii="Gill Sans MT"/>
                    <w:w w:val="110"/>
                    <w:sz w:val="14"/>
                  </w:rPr>
                  <w:t>rounding.</w:t>
                </w:r>
              </w:p>
            </w:txbxContent>
          </v:textbox>
          <w10:wrap type="none"/>
        </v:shape>
      </w:pict>
    </w:r>
    <w:r>
      <w:rPr/>
      <w:pict>
        <v:shape style="position:absolute;margin-left:621.299988pt;margin-top:478.499969pt;width:74.75pt;height:45.65pt;mso-position-horizontal-relative:page;mso-position-vertical-relative:page;z-index:-267020288"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4.220001pt;margin-top:520.495789pt;width:11.6pt;height:13.7pt;mso-position-horizontal-relative:page;mso-position-vertical-relative:page;z-index:-267019264"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1"/>
                    <w:sz w:val="20"/>
                  </w:rPr>
                  <w:instrText> PAGE </w:instrText>
                </w:r>
                <w:r>
                  <w:rPr/>
                  <w:fldChar w:fldCharType="separate"/>
                </w:r>
                <w:r>
                  <w:rPr/>
                  <w:t>4</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441600">
          <wp:simplePos x="0" y="0"/>
          <wp:positionH relativeFrom="page">
            <wp:posOffset>2457767</wp:posOffset>
          </wp:positionH>
          <wp:positionV relativeFrom="page">
            <wp:posOffset>9134756</wp:posOffset>
          </wp:positionV>
          <wp:extent cx="2856153" cy="865502"/>
          <wp:effectExtent l="0" t="0" r="0" b="0"/>
          <wp:wrapNone/>
          <wp:docPr id="99" name="image50.png"/>
          <wp:cNvGraphicFramePr>
            <a:graphicFrameLocks noChangeAspect="1"/>
          </wp:cNvGraphicFramePr>
          <a:graphic>
            <a:graphicData uri="http://schemas.openxmlformats.org/drawingml/2006/picture">
              <pic:pic>
                <pic:nvPicPr>
                  <pic:cNvPr id="100" name="image50.png"/>
                  <pic:cNvPicPr/>
                </pic:nvPicPr>
                <pic:blipFill>
                  <a:blip r:embed="rId1" cstate="print"/>
                  <a:stretch>
                    <a:fillRect/>
                  </a:stretch>
                </pic:blipFill>
                <pic:spPr>
                  <a:xfrm>
                    <a:off x="0" y="0"/>
                    <a:ext cx="2856153" cy="865502"/>
                  </a:xfrm>
                  <a:prstGeom prst="rect">
                    <a:avLst/>
                  </a:prstGeom>
                </pic:spPr>
              </pic:pic>
            </a:graphicData>
          </a:graphic>
        </wp:anchor>
      </w:drawing>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444672">
          <wp:simplePos x="0" y="0"/>
          <wp:positionH relativeFrom="page">
            <wp:posOffset>2457767</wp:posOffset>
          </wp:positionH>
          <wp:positionV relativeFrom="page">
            <wp:posOffset>9134756</wp:posOffset>
          </wp:positionV>
          <wp:extent cx="2856153" cy="865502"/>
          <wp:effectExtent l="0" t="0" r="0" b="0"/>
          <wp:wrapNone/>
          <wp:docPr id="103" name="image50.png"/>
          <wp:cNvGraphicFramePr>
            <a:graphicFrameLocks noChangeAspect="1"/>
          </wp:cNvGraphicFramePr>
          <a:graphic>
            <a:graphicData uri="http://schemas.openxmlformats.org/drawingml/2006/picture">
              <pic:pic>
                <pic:nvPicPr>
                  <pic:cNvPr id="104" name="image50.png"/>
                  <pic:cNvPicPr/>
                </pic:nvPicPr>
                <pic:blipFill>
                  <a:blip r:embed="rId1" cstate="print"/>
                  <a:stretch>
                    <a:fillRect/>
                  </a:stretch>
                </pic:blipFill>
                <pic:spPr>
                  <a:xfrm>
                    <a:off x="0" y="0"/>
                    <a:ext cx="2856153" cy="865502"/>
                  </a:xfrm>
                  <a:prstGeom prst="rect">
                    <a:avLst/>
                  </a:prstGeom>
                </pic:spPr>
              </pic:pic>
            </a:graphicData>
          </a:graphic>
        </wp:anchor>
      </w:drawing>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447744">
          <wp:simplePos x="0" y="0"/>
          <wp:positionH relativeFrom="page">
            <wp:posOffset>2457767</wp:posOffset>
          </wp:positionH>
          <wp:positionV relativeFrom="page">
            <wp:posOffset>9134756</wp:posOffset>
          </wp:positionV>
          <wp:extent cx="2856153" cy="865502"/>
          <wp:effectExtent l="0" t="0" r="0" b="0"/>
          <wp:wrapNone/>
          <wp:docPr id="107" name="image50.png"/>
          <wp:cNvGraphicFramePr>
            <a:graphicFrameLocks noChangeAspect="1"/>
          </wp:cNvGraphicFramePr>
          <a:graphic>
            <a:graphicData uri="http://schemas.openxmlformats.org/drawingml/2006/picture">
              <pic:pic>
                <pic:nvPicPr>
                  <pic:cNvPr id="108" name="image50.png"/>
                  <pic:cNvPicPr/>
                </pic:nvPicPr>
                <pic:blipFill>
                  <a:blip r:embed="rId1" cstate="print"/>
                  <a:stretch>
                    <a:fillRect/>
                  </a:stretch>
                </pic:blipFill>
                <pic:spPr>
                  <a:xfrm>
                    <a:off x="0" y="0"/>
                    <a:ext cx="2856153" cy="865502"/>
                  </a:xfrm>
                  <a:prstGeom prst="rect">
                    <a:avLst/>
                  </a:prstGeom>
                </pic:spPr>
              </pic:pic>
            </a:graphicData>
          </a:graphic>
        </wp:anchor>
      </w:drawing>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299264">
          <wp:simplePos x="0" y="0"/>
          <wp:positionH relativeFrom="page">
            <wp:posOffset>318444</wp:posOffset>
          </wp:positionH>
          <wp:positionV relativeFrom="page">
            <wp:posOffset>5931548</wp:posOffset>
          </wp:positionV>
          <wp:extent cx="1817955" cy="659309"/>
          <wp:effectExtent l="0" t="0" r="0" b="0"/>
          <wp:wrapNone/>
          <wp:docPr id="11" name="image2.png"/>
          <wp:cNvGraphicFramePr>
            <a:graphicFrameLocks noChangeAspect="1"/>
          </wp:cNvGraphicFramePr>
          <a:graphic>
            <a:graphicData uri="http://schemas.openxmlformats.org/drawingml/2006/picture">
              <pic:pic>
                <pic:nvPicPr>
                  <pic:cNvPr id="12"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7016192"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4.220001pt;margin-top:520.495789pt;width:11.6pt;height:13.7pt;mso-position-horizontal-relative:page;mso-position-vertical-relative:page;z-index:-267015168"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1"/>
                    <w:sz w:val="20"/>
                  </w:rPr>
                  <w:instrText> PAGE </w:instrText>
                </w:r>
                <w:r>
                  <w:rPr/>
                  <w:fldChar w:fldCharType="separate"/>
                </w:r>
                <w:r>
                  <w:rPr/>
                  <w:t>5</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03360">
          <wp:simplePos x="0" y="0"/>
          <wp:positionH relativeFrom="page">
            <wp:posOffset>318444</wp:posOffset>
          </wp:positionH>
          <wp:positionV relativeFrom="page">
            <wp:posOffset>5931548</wp:posOffset>
          </wp:positionV>
          <wp:extent cx="1817955" cy="659309"/>
          <wp:effectExtent l="0" t="0" r="0" b="0"/>
          <wp:wrapNone/>
          <wp:docPr id="13" name="image2.png"/>
          <wp:cNvGraphicFramePr>
            <a:graphicFrameLocks noChangeAspect="1"/>
          </wp:cNvGraphicFramePr>
          <a:graphic>
            <a:graphicData uri="http://schemas.openxmlformats.org/drawingml/2006/picture">
              <pic:pic>
                <pic:nvPicPr>
                  <pic:cNvPr id="14"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7012096"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4.220001pt;margin-top:520.495789pt;width:11.6pt;height:13.7pt;mso-position-horizontal-relative:page;mso-position-vertical-relative:page;z-index:-267011072"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1"/>
                    <w:sz w:val="20"/>
                  </w:rPr>
                  <w:instrText> PAGE </w:instrText>
                </w:r>
                <w:r>
                  <w:rPr/>
                  <w:fldChar w:fldCharType="separate"/>
                </w:r>
                <w:r>
                  <w:rPr/>
                  <w:t>6</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680pt;margin-top:737.378296pt;width:107.55pt;height:16.05pt;mso-position-horizontal-relative:page;mso-position-vertical-relative:page;z-index:-266858496" type="#_x0000_t202" filled="false" stroked="false">
          <v:textbox inset="0,0,0,0">
            <w:txbxContent>
              <w:p>
                <w:pPr>
                  <w:tabs>
                    <w:tab w:pos="315" w:val="left" w:leader="none"/>
                  </w:tabs>
                  <w:spacing w:line="295" w:lineRule="exact" w:before="0"/>
                  <w:ind w:left="20" w:right="0" w:firstLine="0"/>
                  <w:jc w:val="left"/>
                  <w:rPr>
                    <w:rFonts w:ascii="Times New Roman"/>
                    <w:sz w:val="16"/>
                  </w:rPr>
                </w:pPr>
                <w:r>
                  <w:rPr>
                    <w:rFonts w:ascii="Times New Roman"/>
                    <w:color w:val="FFFFFF"/>
                    <w:w w:val="100"/>
                    <w:position w:val="-7"/>
                    <w:sz w:val="28"/>
                    <w:shd w:fill="ACB8CA" w:color="auto" w:val="clear"/>
                  </w:rPr>
                  <w:t> </w:t>
                </w:r>
                <w:r>
                  <w:rPr>
                    <w:rFonts w:ascii="Times New Roman"/>
                    <w:color w:val="FFFFFF"/>
                    <w:position w:val="-7"/>
                    <w:sz w:val="28"/>
                    <w:shd w:fill="ACB8CA" w:color="auto" w:val="clear"/>
                  </w:rPr>
                  <w:tab/>
                </w:r>
                <w:r>
                  <w:rPr/>
                  <w:fldChar w:fldCharType="begin"/>
                </w:r>
                <w:r>
                  <w:rPr>
                    <w:rFonts w:ascii="Times New Roman"/>
                    <w:color w:val="FFFFFF"/>
                    <w:position w:val="-7"/>
                    <w:sz w:val="28"/>
                    <w:shd w:fill="ACB8CA" w:color="auto" w:val="clear"/>
                  </w:rPr>
                  <w:instrText> PAGE </w:instrText>
                </w:r>
                <w:r>
                  <w:rPr/>
                  <w:fldChar w:fldCharType="separate"/>
                </w:r>
                <w:r>
                  <w:rPr/>
                  <w:t>1</w:t>
                </w:r>
                <w:r>
                  <w:rPr/>
                  <w:fldChar w:fldCharType="end"/>
                </w:r>
                <w:r>
                  <w:rPr>
                    <w:rFonts w:ascii="Times New Roman"/>
                    <w:color w:val="FFFFFF"/>
                    <w:position w:val="-7"/>
                    <w:sz w:val="28"/>
                  </w:rPr>
                  <w:t> </w:t>
                </w:r>
                <w:r>
                  <w:rPr>
                    <w:rFonts w:ascii="Times New Roman"/>
                    <w:sz w:val="16"/>
                  </w:rPr>
                  <w:t>Revised July 10,</w:t>
                </w:r>
                <w:r>
                  <w:rPr>
                    <w:rFonts w:ascii="Times New Roman"/>
                    <w:spacing w:val="30"/>
                    <w:sz w:val="16"/>
                  </w:rPr>
                  <w:t> </w:t>
                </w:r>
                <w:r>
                  <w:rPr>
                    <w:rFonts w:ascii="Times New Roman"/>
                    <w:sz w:val="16"/>
                  </w:rPr>
                  <w:t>2025</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680pt;margin-top:737.378296pt;width:107.55pt;height:16.05pt;mso-position-horizontal-relative:page;mso-position-vertical-relative:page;z-index:-266857472" type="#_x0000_t202" filled="false" stroked="false">
          <v:textbox inset="0,0,0,0">
            <w:txbxContent>
              <w:p>
                <w:pPr>
                  <w:tabs>
                    <w:tab w:pos="315" w:val="left" w:leader="none"/>
                  </w:tabs>
                  <w:spacing w:line="295" w:lineRule="exact" w:before="0"/>
                  <w:ind w:left="20" w:right="0" w:firstLine="0"/>
                  <w:jc w:val="left"/>
                  <w:rPr>
                    <w:rFonts w:ascii="Times New Roman"/>
                    <w:sz w:val="16"/>
                  </w:rPr>
                </w:pPr>
                <w:r>
                  <w:rPr>
                    <w:rFonts w:ascii="Times New Roman"/>
                    <w:color w:val="FFFFFF"/>
                    <w:w w:val="100"/>
                    <w:position w:val="-7"/>
                    <w:sz w:val="28"/>
                    <w:shd w:fill="ACB8CA" w:color="auto" w:val="clear"/>
                  </w:rPr>
                  <w:t> </w:t>
                </w:r>
                <w:r>
                  <w:rPr>
                    <w:rFonts w:ascii="Times New Roman"/>
                    <w:color w:val="FFFFFF"/>
                    <w:position w:val="-7"/>
                    <w:sz w:val="28"/>
                    <w:shd w:fill="ACB8CA" w:color="auto" w:val="clear"/>
                  </w:rPr>
                  <w:tab/>
                </w:r>
                <w:r>
                  <w:rPr/>
                  <w:fldChar w:fldCharType="begin"/>
                </w:r>
                <w:r>
                  <w:rPr>
                    <w:rFonts w:ascii="Times New Roman"/>
                    <w:color w:val="FFFFFF"/>
                    <w:position w:val="-7"/>
                    <w:sz w:val="28"/>
                    <w:shd w:fill="ACB8CA" w:color="auto" w:val="clear"/>
                  </w:rPr>
                  <w:instrText> PAGE </w:instrText>
                </w:r>
                <w:r>
                  <w:rPr/>
                  <w:fldChar w:fldCharType="separate"/>
                </w:r>
                <w:r>
                  <w:rPr/>
                  <w:t>2</w:t>
                </w:r>
                <w:r>
                  <w:rPr/>
                  <w:fldChar w:fldCharType="end"/>
                </w:r>
                <w:r>
                  <w:rPr>
                    <w:rFonts w:ascii="Times New Roman"/>
                    <w:color w:val="FFFFFF"/>
                    <w:position w:val="-7"/>
                    <w:sz w:val="28"/>
                  </w:rPr>
                  <w:t> </w:t>
                </w:r>
                <w:r>
                  <w:rPr>
                    <w:rFonts w:ascii="Times New Roman"/>
                    <w:sz w:val="16"/>
                  </w:rPr>
                  <w:t>Revised July 10,</w:t>
                </w:r>
                <w:r>
                  <w:rPr>
                    <w:rFonts w:ascii="Times New Roman"/>
                    <w:spacing w:val="30"/>
                    <w:sz w:val="16"/>
                  </w:rPr>
                  <w:t> </w:t>
                </w:r>
                <w:r>
                  <w:rPr>
                    <w:rFonts w:ascii="Times New Roman"/>
                    <w:sz w:val="16"/>
                  </w:rPr>
                  <w:t>2025</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680pt;margin-top:737.378296pt;width:107.55pt;height:16.05pt;mso-position-horizontal-relative:page;mso-position-vertical-relative:page;z-index:-266856448" type="#_x0000_t202" filled="false" stroked="false">
          <v:textbox inset="0,0,0,0">
            <w:txbxContent>
              <w:p>
                <w:pPr>
                  <w:tabs>
                    <w:tab w:pos="315" w:val="left" w:leader="none"/>
                  </w:tabs>
                  <w:spacing w:line="295" w:lineRule="exact" w:before="0"/>
                  <w:ind w:left="20" w:right="0" w:firstLine="0"/>
                  <w:jc w:val="left"/>
                  <w:rPr>
                    <w:rFonts w:ascii="Times New Roman"/>
                    <w:sz w:val="16"/>
                  </w:rPr>
                </w:pPr>
                <w:r>
                  <w:rPr>
                    <w:rFonts w:ascii="Times New Roman"/>
                    <w:color w:val="FFFFFF"/>
                    <w:w w:val="100"/>
                    <w:position w:val="-7"/>
                    <w:sz w:val="28"/>
                    <w:shd w:fill="ACB8CA" w:color="auto" w:val="clear"/>
                  </w:rPr>
                  <w:t> </w:t>
                </w:r>
                <w:r>
                  <w:rPr>
                    <w:rFonts w:ascii="Times New Roman"/>
                    <w:color w:val="FFFFFF"/>
                    <w:position w:val="-7"/>
                    <w:sz w:val="28"/>
                    <w:shd w:fill="ACB8CA" w:color="auto" w:val="clear"/>
                  </w:rPr>
                  <w:tab/>
                </w:r>
                <w:r>
                  <w:rPr/>
                  <w:fldChar w:fldCharType="begin"/>
                </w:r>
                <w:r>
                  <w:rPr>
                    <w:rFonts w:ascii="Times New Roman"/>
                    <w:color w:val="FFFFFF"/>
                    <w:position w:val="-7"/>
                    <w:sz w:val="28"/>
                    <w:shd w:fill="ACB8CA" w:color="auto" w:val="clear"/>
                  </w:rPr>
                  <w:instrText> PAGE </w:instrText>
                </w:r>
                <w:r>
                  <w:rPr/>
                  <w:fldChar w:fldCharType="separate"/>
                </w:r>
                <w:r>
                  <w:rPr/>
                  <w:t>3</w:t>
                </w:r>
                <w:r>
                  <w:rPr/>
                  <w:fldChar w:fldCharType="end"/>
                </w:r>
                <w:r>
                  <w:rPr>
                    <w:rFonts w:ascii="Times New Roman"/>
                    <w:color w:val="FFFFFF"/>
                    <w:position w:val="-7"/>
                    <w:sz w:val="28"/>
                  </w:rPr>
                  <w:t> </w:t>
                </w:r>
                <w:r>
                  <w:rPr>
                    <w:rFonts w:ascii="Times New Roman"/>
                    <w:sz w:val="16"/>
                  </w:rPr>
                  <w:t>Revised July 10,</w:t>
                </w:r>
                <w:r>
                  <w:rPr>
                    <w:rFonts w:ascii="Times New Roman"/>
                    <w:spacing w:val="30"/>
                    <w:sz w:val="16"/>
                  </w:rPr>
                  <w:t> </w:t>
                </w:r>
                <w:r>
                  <w:rPr>
                    <w:rFonts w:ascii="Times New Roman"/>
                    <w:sz w:val="16"/>
                  </w:rPr>
                  <w:t>2025</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680pt;margin-top:737.378296pt;width:107.55pt;height:16.05pt;mso-position-horizontal-relative:page;mso-position-vertical-relative:page;z-index:-266855424" type="#_x0000_t202" filled="false" stroked="false">
          <v:textbox inset="0,0,0,0">
            <w:txbxContent>
              <w:p>
                <w:pPr>
                  <w:tabs>
                    <w:tab w:pos="315" w:val="left" w:leader="none"/>
                  </w:tabs>
                  <w:spacing w:line="295" w:lineRule="exact" w:before="0"/>
                  <w:ind w:left="20" w:right="0" w:firstLine="0"/>
                  <w:jc w:val="left"/>
                  <w:rPr>
                    <w:rFonts w:ascii="Times New Roman"/>
                    <w:sz w:val="16"/>
                  </w:rPr>
                </w:pPr>
                <w:r>
                  <w:rPr>
                    <w:rFonts w:ascii="Times New Roman"/>
                    <w:color w:val="FFFFFF"/>
                    <w:w w:val="100"/>
                    <w:position w:val="-7"/>
                    <w:sz w:val="28"/>
                    <w:shd w:fill="ACB8CA" w:color="auto" w:val="clear"/>
                  </w:rPr>
                  <w:t> </w:t>
                </w:r>
                <w:r>
                  <w:rPr>
                    <w:rFonts w:ascii="Times New Roman"/>
                    <w:color w:val="FFFFFF"/>
                    <w:position w:val="-7"/>
                    <w:sz w:val="28"/>
                    <w:shd w:fill="ACB8CA" w:color="auto" w:val="clear"/>
                  </w:rPr>
                  <w:tab/>
                </w:r>
                <w:r>
                  <w:rPr/>
                  <w:fldChar w:fldCharType="begin"/>
                </w:r>
                <w:r>
                  <w:rPr>
                    <w:rFonts w:ascii="Times New Roman"/>
                    <w:color w:val="FFFFFF"/>
                    <w:position w:val="-7"/>
                    <w:sz w:val="28"/>
                    <w:shd w:fill="ACB8CA" w:color="auto" w:val="clear"/>
                  </w:rPr>
                  <w:instrText> PAGE </w:instrText>
                </w:r>
                <w:r>
                  <w:rPr/>
                  <w:fldChar w:fldCharType="separate"/>
                </w:r>
                <w:r>
                  <w:rPr/>
                  <w:t>4</w:t>
                </w:r>
                <w:r>
                  <w:rPr/>
                  <w:fldChar w:fldCharType="end"/>
                </w:r>
                <w:r>
                  <w:rPr>
                    <w:rFonts w:ascii="Times New Roman"/>
                    <w:color w:val="FFFFFF"/>
                    <w:position w:val="-7"/>
                    <w:sz w:val="28"/>
                  </w:rPr>
                  <w:t> </w:t>
                </w:r>
                <w:r>
                  <w:rPr>
                    <w:rFonts w:ascii="Times New Roman"/>
                    <w:sz w:val="16"/>
                  </w:rPr>
                  <w:t>Revised July 10,</w:t>
                </w:r>
                <w:r>
                  <w:rPr>
                    <w:rFonts w:ascii="Times New Roman"/>
                    <w:spacing w:val="30"/>
                    <w:sz w:val="16"/>
                  </w:rPr>
                  <w:t> </w:t>
                </w:r>
                <w:r>
                  <w:rPr>
                    <w:rFonts w:ascii="Times New Roman"/>
                    <w:sz w:val="16"/>
                  </w:rPr>
                  <w:t>2025</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680pt;margin-top:737.378296pt;width:107.55pt;height:16.05pt;mso-position-horizontal-relative:page;mso-position-vertical-relative:page;z-index:-266854400" type="#_x0000_t202" filled="false" stroked="false">
          <v:textbox inset="0,0,0,0">
            <w:txbxContent>
              <w:p>
                <w:pPr>
                  <w:tabs>
                    <w:tab w:pos="315" w:val="left" w:leader="none"/>
                  </w:tabs>
                  <w:spacing w:line="295" w:lineRule="exact" w:before="0"/>
                  <w:ind w:left="20" w:right="0" w:firstLine="0"/>
                  <w:jc w:val="left"/>
                  <w:rPr>
                    <w:rFonts w:ascii="Times New Roman"/>
                    <w:sz w:val="16"/>
                  </w:rPr>
                </w:pPr>
                <w:r>
                  <w:rPr>
                    <w:rFonts w:ascii="Times New Roman"/>
                    <w:color w:val="FFFFFF"/>
                    <w:w w:val="100"/>
                    <w:position w:val="-7"/>
                    <w:sz w:val="28"/>
                    <w:shd w:fill="ACB8CA" w:color="auto" w:val="clear"/>
                  </w:rPr>
                  <w:t> </w:t>
                </w:r>
                <w:r>
                  <w:rPr>
                    <w:rFonts w:ascii="Times New Roman"/>
                    <w:color w:val="FFFFFF"/>
                    <w:position w:val="-7"/>
                    <w:sz w:val="28"/>
                    <w:shd w:fill="ACB8CA" w:color="auto" w:val="clear"/>
                  </w:rPr>
                  <w:tab/>
                </w:r>
                <w:r>
                  <w:rPr/>
                  <w:fldChar w:fldCharType="begin"/>
                </w:r>
                <w:r>
                  <w:rPr>
                    <w:rFonts w:ascii="Times New Roman"/>
                    <w:color w:val="FFFFFF"/>
                    <w:position w:val="-7"/>
                    <w:sz w:val="28"/>
                    <w:shd w:fill="ACB8CA" w:color="auto" w:val="clear"/>
                  </w:rPr>
                  <w:instrText> PAGE </w:instrText>
                </w:r>
                <w:r>
                  <w:rPr/>
                  <w:fldChar w:fldCharType="separate"/>
                </w:r>
                <w:r>
                  <w:rPr/>
                  <w:t>5</w:t>
                </w:r>
                <w:r>
                  <w:rPr/>
                  <w:fldChar w:fldCharType="end"/>
                </w:r>
                <w:r>
                  <w:rPr>
                    <w:rFonts w:ascii="Times New Roman"/>
                    <w:color w:val="FFFFFF"/>
                    <w:position w:val="-7"/>
                    <w:sz w:val="28"/>
                  </w:rPr>
                  <w:t> </w:t>
                </w:r>
                <w:r>
                  <w:rPr>
                    <w:rFonts w:ascii="Times New Roman"/>
                    <w:sz w:val="16"/>
                  </w:rPr>
                  <w:t>Revised July 10,</w:t>
                </w:r>
                <w:r>
                  <w:rPr>
                    <w:rFonts w:ascii="Times New Roman"/>
                    <w:spacing w:val="30"/>
                    <w:sz w:val="16"/>
                  </w:rPr>
                  <w:t> </w:t>
                </w:r>
                <w:r>
                  <w:rPr>
                    <w:rFonts w:ascii="Times New Roman"/>
                    <w:sz w:val="16"/>
                  </w:rPr>
                  <w:t>2025</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680pt;margin-top:737.378296pt;width:107.55pt;height:16.05pt;mso-position-horizontal-relative:page;mso-position-vertical-relative:page;z-index:-266853376" type="#_x0000_t202" filled="false" stroked="false">
          <v:textbox inset="0,0,0,0">
            <w:txbxContent>
              <w:p>
                <w:pPr>
                  <w:tabs>
                    <w:tab w:pos="315" w:val="left" w:leader="none"/>
                  </w:tabs>
                  <w:spacing w:line="295" w:lineRule="exact" w:before="0"/>
                  <w:ind w:left="20" w:right="0" w:firstLine="0"/>
                  <w:jc w:val="left"/>
                  <w:rPr>
                    <w:rFonts w:ascii="Times New Roman"/>
                    <w:sz w:val="16"/>
                  </w:rPr>
                </w:pPr>
                <w:r>
                  <w:rPr>
                    <w:rFonts w:ascii="Times New Roman"/>
                    <w:color w:val="FFFFFF"/>
                    <w:w w:val="100"/>
                    <w:position w:val="-7"/>
                    <w:sz w:val="28"/>
                    <w:shd w:fill="ACB8CA" w:color="auto" w:val="clear"/>
                  </w:rPr>
                  <w:t> </w:t>
                </w:r>
                <w:r>
                  <w:rPr>
                    <w:rFonts w:ascii="Times New Roman"/>
                    <w:color w:val="FFFFFF"/>
                    <w:position w:val="-7"/>
                    <w:sz w:val="28"/>
                    <w:shd w:fill="ACB8CA" w:color="auto" w:val="clear"/>
                  </w:rPr>
                  <w:tab/>
                </w:r>
                <w:r>
                  <w:rPr/>
                  <w:fldChar w:fldCharType="begin"/>
                </w:r>
                <w:r>
                  <w:rPr>
                    <w:rFonts w:ascii="Times New Roman"/>
                    <w:color w:val="FFFFFF"/>
                    <w:position w:val="-7"/>
                    <w:sz w:val="28"/>
                    <w:shd w:fill="ACB8CA" w:color="auto" w:val="clear"/>
                  </w:rPr>
                  <w:instrText> PAGE </w:instrText>
                </w:r>
                <w:r>
                  <w:rPr/>
                  <w:fldChar w:fldCharType="separate"/>
                </w:r>
                <w:r>
                  <w:rPr/>
                  <w:t>6</w:t>
                </w:r>
                <w:r>
                  <w:rPr/>
                  <w:fldChar w:fldCharType="end"/>
                </w:r>
                <w:r>
                  <w:rPr>
                    <w:rFonts w:ascii="Times New Roman"/>
                    <w:color w:val="FFFFFF"/>
                    <w:position w:val="-7"/>
                    <w:sz w:val="28"/>
                  </w:rPr>
                  <w:t> </w:t>
                </w:r>
                <w:r>
                  <w:rPr>
                    <w:rFonts w:ascii="Times New Roman"/>
                    <w:sz w:val="16"/>
                  </w:rPr>
                  <w:t>Revised July 10,</w:t>
                </w:r>
                <w:r>
                  <w:rPr>
                    <w:rFonts w:ascii="Times New Roman"/>
                    <w:spacing w:val="30"/>
                    <w:sz w:val="16"/>
                  </w:rPr>
                  <w:t> </w:t>
                </w:r>
                <w:r>
                  <w:rPr>
                    <w:rFonts w:ascii="Times New Roman"/>
                    <w:sz w:val="16"/>
                  </w:rPr>
                  <w:t>2025</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07456">
          <wp:simplePos x="0" y="0"/>
          <wp:positionH relativeFrom="page">
            <wp:posOffset>318444</wp:posOffset>
          </wp:positionH>
          <wp:positionV relativeFrom="page">
            <wp:posOffset>5931548</wp:posOffset>
          </wp:positionV>
          <wp:extent cx="1817955" cy="659309"/>
          <wp:effectExtent l="0" t="0" r="0" b="0"/>
          <wp:wrapNone/>
          <wp:docPr id="15" name="image2.png"/>
          <wp:cNvGraphicFramePr>
            <a:graphicFrameLocks noChangeAspect="1"/>
          </wp:cNvGraphicFramePr>
          <a:graphic>
            <a:graphicData uri="http://schemas.openxmlformats.org/drawingml/2006/picture">
              <pic:pic>
                <pic:nvPicPr>
                  <pic:cNvPr id="16"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621.299988pt;margin-top:478.499969pt;width:74.75pt;height:45.65pt;mso-position-horizontal-relative:page;mso-position-vertical-relative:page;z-index:-267008000"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4.220001pt;margin-top:520.495789pt;width:11.6pt;height:13.7pt;mso-position-horizontal-relative:page;mso-position-vertical-relative:page;z-index:-267006976"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1"/>
                    <w:sz w:val="20"/>
                  </w:rPr>
                  <w:instrText> PAGE </w:instrText>
                </w:r>
                <w:r>
                  <w:rPr/>
                  <w:fldChar w:fldCharType="separate"/>
                </w:r>
                <w:r>
                  <w:rPr/>
                  <w:t>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11552">
          <wp:simplePos x="0" y="0"/>
          <wp:positionH relativeFrom="page">
            <wp:posOffset>318444</wp:posOffset>
          </wp:positionH>
          <wp:positionV relativeFrom="page">
            <wp:posOffset>5931548</wp:posOffset>
          </wp:positionV>
          <wp:extent cx="1817955" cy="659309"/>
          <wp:effectExtent l="0" t="0" r="0" b="0"/>
          <wp:wrapNone/>
          <wp:docPr id="17" name="image2.png"/>
          <wp:cNvGraphicFramePr>
            <a:graphicFrameLocks noChangeAspect="1"/>
          </wp:cNvGraphicFramePr>
          <a:graphic>
            <a:graphicData uri="http://schemas.openxmlformats.org/drawingml/2006/picture">
              <pic:pic>
                <pic:nvPicPr>
                  <pic:cNvPr id="18"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24.392pt;margin-top:453.726959pt;width:187.15pt;height:10.2pt;mso-position-horizontal-relative:page;mso-position-vertical-relative:page;z-index:-267003904" type="#_x0000_t202" filled="false" stroked="false">
          <v:textbox inset="0,0,0,0">
            <w:txbxContent>
              <w:p>
                <w:pPr>
                  <w:spacing w:before="19"/>
                  <w:ind w:left="20" w:right="0" w:firstLine="0"/>
                  <w:jc w:val="left"/>
                  <w:rPr>
                    <w:rFonts w:ascii="Gill Sans MT"/>
                    <w:sz w:val="14"/>
                  </w:rPr>
                </w:pPr>
                <w:r>
                  <w:rPr>
                    <w:rFonts w:ascii="Gill Sans MT"/>
                    <w:w w:val="110"/>
                    <w:sz w:val="14"/>
                  </w:rPr>
                  <w:t>The</w:t>
                </w:r>
                <w:r>
                  <w:rPr>
                    <w:rFonts w:ascii="Gill Sans MT"/>
                    <w:spacing w:val="-8"/>
                    <w:w w:val="110"/>
                    <w:sz w:val="14"/>
                  </w:rPr>
                  <w:t> </w:t>
                </w:r>
                <w:r>
                  <w:rPr>
                    <w:rFonts w:ascii="Gill Sans MT"/>
                    <w:w w:val="110"/>
                    <w:sz w:val="14"/>
                  </w:rPr>
                  <w:t>sum</w:t>
                </w:r>
                <w:r>
                  <w:rPr>
                    <w:rFonts w:ascii="Gill Sans MT"/>
                    <w:spacing w:val="-3"/>
                    <w:w w:val="110"/>
                    <w:sz w:val="14"/>
                  </w:rPr>
                  <w:t> </w:t>
                </w:r>
                <w:r>
                  <w:rPr>
                    <w:rFonts w:ascii="Gill Sans MT"/>
                    <w:w w:val="110"/>
                    <w:sz w:val="14"/>
                  </w:rPr>
                  <w:t>of</w:t>
                </w:r>
                <w:r>
                  <w:rPr>
                    <w:rFonts w:ascii="Gill Sans MT"/>
                    <w:spacing w:val="-8"/>
                    <w:w w:val="110"/>
                    <w:sz w:val="14"/>
                  </w:rPr>
                  <w:t> </w:t>
                </w:r>
                <w:r>
                  <w:rPr>
                    <w:rFonts w:ascii="Gill Sans MT"/>
                    <w:w w:val="110"/>
                    <w:sz w:val="14"/>
                  </w:rPr>
                  <w:t>the</w:t>
                </w:r>
                <w:r>
                  <w:rPr>
                    <w:rFonts w:ascii="Gill Sans MT"/>
                    <w:spacing w:val="-6"/>
                    <w:w w:val="110"/>
                    <w:sz w:val="14"/>
                  </w:rPr>
                  <w:t> </w:t>
                </w:r>
                <w:r>
                  <w:rPr>
                    <w:rFonts w:ascii="Gill Sans MT"/>
                    <w:w w:val="110"/>
                    <w:sz w:val="14"/>
                  </w:rPr>
                  <w:t>values</w:t>
                </w:r>
                <w:r>
                  <w:rPr>
                    <w:rFonts w:ascii="Gill Sans MT"/>
                    <w:spacing w:val="-6"/>
                    <w:w w:val="110"/>
                    <w:sz w:val="14"/>
                  </w:rPr>
                  <w:t> </w:t>
                </w:r>
                <w:r>
                  <w:rPr>
                    <w:rFonts w:ascii="Gill Sans MT"/>
                    <w:w w:val="110"/>
                    <w:sz w:val="14"/>
                  </w:rPr>
                  <w:t>may</w:t>
                </w:r>
                <w:r>
                  <w:rPr>
                    <w:rFonts w:ascii="Gill Sans MT"/>
                    <w:spacing w:val="-9"/>
                    <w:w w:val="110"/>
                    <w:sz w:val="14"/>
                  </w:rPr>
                  <w:t> </w:t>
                </w:r>
                <w:r>
                  <w:rPr>
                    <w:rFonts w:ascii="Gill Sans MT"/>
                    <w:w w:val="110"/>
                    <w:sz w:val="14"/>
                  </w:rPr>
                  <w:t>not</w:t>
                </w:r>
                <w:r>
                  <w:rPr>
                    <w:rFonts w:ascii="Gill Sans MT"/>
                    <w:spacing w:val="-7"/>
                    <w:w w:val="110"/>
                    <w:sz w:val="14"/>
                  </w:rPr>
                  <w:t> </w:t>
                </w:r>
                <w:r>
                  <w:rPr>
                    <w:rFonts w:ascii="Gill Sans MT"/>
                    <w:w w:val="110"/>
                    <w:sz w:val="14"/>
                  </w:rPr>
                  <w:t>equal</w:t>
                </w:r>
                <w:r>
                  <w:rPr>
                    <w:rFonts w:ascii="Gill Sans MT"/>
                    <w:spacing w:val="-3"/>
                    <w:w w:val="110"/>
                    <w:sz w:val="14"/>
                  </w:rPr>
                  <w:t> </w:t>
                </w:r>
                <w:r>
                  <w:rPr>
                    <w:rFonts w:ascii="Gill Sans MT"/>
                    <w:w w:val="110"/>
                    <w:sz w:val="14"/>
                  </w:rPr>
                  <w:t>100%</w:t>
                </w:r>
                <w:r>
                  <w:rPr>
                    <w:rFonts w:ascii="Gill Sans MT"/>
                    <w:spacing w:val="-12"/>
                    <w:w w:val="110"/>
                    <w:sz w:val="14"/>
                  </w:rPr>
                  <w:t> </w:t>
                </w:r>
                <w:r>
                  <w:rPr>
                    <w:rFonts w:ascii="Gill Sans MT"/>
                    <w:w w:val="110"/>
                    <w:sz w:val="14"/>
                  </w:rPr>
                  <w:t>due</w:t>
                </w:r>
                <w:r>
                  <w:rPr>
                    <w:rFonts w:ascii="Gill Sans MT"/>
                    <w:spacing w:val="-6"/>
                    <w:w w:val="110"/>
                    <w:sz w:val="14"/>
                  </w:rPr>
                  <w:t> </w:t>
                </w:r>
                <w:r>
                  <w:rPr>
                    <w:rFonts w:ascii="Gill Sans MT"/>
                    <w:w w:val="110"/>
                    <w:sz w:val="14"/>
                  </w:rPr>
                  <w:t>to</w:t>
                </w:r>
                <w:r>
                  <w:rPr>
                    <w:rFonts w:ascii="Gill Sans MT"/>
                    <w:spacing w:val="-6"/>
                    <w:w w:val="110"/>
                    <w:sz w:val="14"/>
                  </w:rPr>
                  <w:t> </w:t>
                </w:r>
                <w:r>
                  <w:rPr>
                    <w:rFonts w:ascii="Gill Sans MT"/>
                    <w:w w:val="110"/>
                    <w:sz w:val="14"/>
                  </w:rPr>
                  <w:t>rounding.</w:t>
                </w:r>
              </w:p>
            </w:txbxContent>
          </v:textbox>
          <w10:wrap type="none"/>
        </v:shape>
      </w:pict>
    </w:r>
    <w:r>
      <w:rPr/>
      <w:pict>
        <v:shape style="position:absolute;margin-left:621.299988pt;margin-top:478.499969pt;width:74.75pt;height:45.65pt;mso-position-horizontal-relative:page;mso-position-vertical-relative:page;z-index:-267002880"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4.220001pt;margin-top:520.495789pt;width:11.6pt;height:13.7pt;mso-position-horizontal-relative:page;mso-position-vertical-relative:page;z-index:-267001856"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1"/>
                    <w:sz w:val="20"/>
                  </w:rPr>
                  <w:instrText> PAGE </w:instrText>
                </w:r>
                <w:r>
                  <w:rPr/>
                  <w:fldChar w:fldCharType="separate"/>
                </w:r>
                <w:r>
                  <w:rPr/>
                  <w:t>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6316672">
          <wp:simplePos x="0" y="0"/>
          <wp:positionH relativeFrom="page">
            <wp:posOffset>318444</wp:posOffset>
          </wp:positionH>
          <wp:positionV relativeFrom="page">
            <wp:posOffset>5931548</wp:posOffset>
          </wp:positionV>
          <wp:extent cx="1817955" cy="659309"/>
          <wp:effectExtent l="0" t="0" r="0" b="0"/>
          <wp:wrapNone/>
          <wp:docPr id="19" name="image2.png"/>
          <wp:cNvGraphicFramePr>
            <a:graphicFrameLocks noChangeAspect="1"/>
          </wp:cNvGraphicFramePr>
          <a:graphic>
            <a:graphicData uri="http://schemas.openxmlformats.org/drawingml/2006/picture">
              <pic:pic>
                <pic:nvPicPr>
                  <pic:cNvPr id="20" name="image2.png"/>
                  <pic:cNvPicPr/>
                </pic:nvPicPr>
                <pic:blipFill>
                  <a:blip r:embed="rId1" cstate="print"/>
                  <a:stretch>
                    <a:fillRect/>
                  </a:stretch>
                </pic:blipFill>
                <pic:spPr>
                  <a:xfrm>
                    <a:off x="0" y="0"/>
                    <a:ext cx="1817955" cy="659309"/>
                  </a:xfrm>
                  <a:prstGeom prst="rect">
                    <a:avLst/>
                  </a:prstGeom>
                </pic:spPr>
              </pic:pic>
            </a:graphicData>
          </a:graphic>
        </wp:anchor>
      </w:drawing>
    </w:r>
    <w:r>
      <w:rPr/>
      <w:pict>
        <v:shape style="position:absolute;margin-left:24.392pt;margin-top:453.726959pt;width:187.15pt;height:10.2pt;mso-position-horizontal-relative:page;mso-position-vertical-relative:page;z-index:-266998784" type="#_x0000_t202" filled="false" stroked="false">
          <v:textbox inset="0,0,0,0">
            <w:txbxContent>
              <w:p>
                <w:pPr>
                  <w:spacing w:before="19"/>
                  <w:ind w:left="20" w:right="0" w:firstLine="0"/>
                  <w:jc w:val="left"/>
                  <w:rPr>
                    <w:rFonts w:ascii="Gill Sans MT"/>
                    <w:sz w:val="14"/>
                  </w:rPr>
                </w:pPr>
                <w:r>
                  <w:rPr>
                    <w:rFonts w:ascii="Gill Sans MT"/>
                    <w:w w:val="110"/>
                    <w:sz w:val="14"/>
                  </w:rPr>
                  <w:t>The</w:t>
                </w:r>
                <w:r>
                  <w:rPr>
                    <w:rFonts w:ascii="Gill Sans MT"/>
                    <w:spacing w:val="-8"/>
                    <w:w w:val="110"/>
                    <w:sz w:val="14"/>
                  </w:rPr>
                  <w:t> </w:t>
                </w:r>
                <w:r>
                  <w:rPr>
                    <w:rFonts w:ascii="Gill Sans MT"/>
                    <w:w w:val="110"/>
                    <w:sz w:val="14"/>
                  </w:rPr>
                  <w:t>sum</w:t>
                </w:r>
                <w:r>
                  <w:rPr>
                    <w:rFonts w:ascii="Gill Sans MT"/>
                    <w:spacing w:val="-3"/>
                    <w:w w:val="110"/>
                    <w:sz w:val="14"/>
                  </w:rPr>
                  <w:t> </w:t>
                </w:r>
                <w:r>
                  <w:rPr>
                    <w:rFonts w:ascii="Gill Sans MT"/>
                    <w:w w:val="110"/>
                    <w:sz w:val="14"/>
                  </w:rPr>
                  <w:t>of</w:t>
                </w:r>
                <w:r>
                  <w:rPr>
                    <w:rFonts w:ascii="Gill Sans MT"/>
                    <w:spacing w:val="-8"/>
                    <w:w w:val="110"/>
                    <w:sz w:val="14"/>
                  </w:rPr>
                  <w:t> </w:t>
                </w:r>
                <w:r>
                  <w:rPr>
                    <w:rFonts w:ascii="Gill Sans MT"/>
                    <w:w w:val="110"/>
                    <w:sz w:val="14"/>
                  </w:rPr>
                  <w:t>the</w:t>
                </w:r>
                <w:r>
                  <w:rPr>
                    <w:rFonts w:ascii="Gill Sans MT"/>
                    <w:spacing w:val="-6"/>
                    <w:w w:val="110"/>
                    <w:sz w:val="14"/>
                  </w:rPr>
                  <w:t> </w:t>
                </w:r>
                <w:r>
                  <w:rPr>
                    <w:rFonts w:ascii="Gill Sans MT"/>
                    <w:w w:val="110"/>
                    <w:sz w:val="14"/>
                  </w:rPr>
                  <w:t>values</w:t>
                </w:r>
                <w:r>
                  <w:rPr>
                    <w:rFonts w:ascii="Gill Sans MT"/>
                    <w:spacing w:val="-6"/>
                    <w:w w:val="110"/>
                    <w:sz w:val="14"/>
                  </w:rPr>
                  <w:t> </w:t>
                </w:r>
                <w:r>
                  <w:rPr>
                    <w:rFonts w:ascii="Gill Sans MT"/>
                    <w:w w:val="110"/>
                    <w:sz w:val="14"/>
                  </w:rPr>
                  <w:t>may</w:t>
                </w:r>
                <w:r>
                  <w:rPr>
                    <w:rFonts w:ascii="Gill Sans MT"/>
                    <w:spacing w:val="-9"/>
                    <w:w w:val="110"/>
                    <w:sz w:val="14"/>
                  </w:rPr>
                  <w:t> </w:t>
                </w:r>
                <w:r>
                  <w:rPr>
                    <w:rFonts w:ascii="Gill Sans MT"/>
                    <w:w w:val="110"/>
                    <w:sz w:val="14"/>
                  </w:rPr>
                  <w:t>not</w:t>
                </w:r>
                <w:r>
                  <w:rPr>
                    <w:rFonts w:ascii="Gill Sans MT"/>
                    <w:spacing w:val="-7"/>
                    <w:w w:val="110"/>
                    <w:sz w:val="14"/>
                  </w:rPr>
                  <w:t> </w:t>
                </w:r>
                <w:r>
                  <w:rPr>
                    <w:rFonts w:ascii="Gill Sans MT"/>
                    <w:w w:val="110"/>
                    <w:sz w:val="14"/>
                  </w:rPr>
                  <w:t>equal</w:t>
                </w:r>
                <w:r>
                  <w:rPr>
                    <w:rFonts w:ascii="Gill Sans MT"/>
                    <w:spacing w:val="-3"/>
                    <w:w w:val="110"/>
                    <w:sz w:val="14"/>
                  </w:rPr>
                  <w:t> </w:t>
                </w:r>
                <w:r>
                  <w:rPr>
                    <w:rFonts w:ascii="Gill Sans MT"/>
                    <w:w w:val="110"/>
                    <w:sz w:val="14"/>
                  </w:rPr>
                  <w:t>100%</w:t>
                </w:r>
                <w:r>
                  <w:rPr>
                    <w:rFonts w:ascii="Gill Sans MT"/>
                    <w:spacing w:val="-12"/>
                    <w:w w:val="110"/>
                    <w:sz w:val="14"/>
                  </w:rPr>
                  <w:t> </w:t>
                </w:r>
                <w:r>
                  <w:rPr>
                    <w:rFonts w:ascii="Gill Sans MT"/>
                    <w:w w:val="110"/>
                    <w:sz w:val="14"/>
                  </w:rPr>
                  <w:t>due</w:t>
                </w:r>
                <w:r>
                  <w:rPr>
                    <w:rFonts w:ascii="Gill Sans MT"/>
                    <w:spacing w:val="-6"/>
                    <w:w w:val="110"/>
                    <w:sz w:val="14"/>
                  </w:rPr>
                  <w:t> </w:t>
                </w:r>
                <w:r>
                  <w:rPr>
                    <w:rFonts w:ascii="Gill Sans MT"/>
                    <w:w w:val="110"/>
                    <w:sz w:val="14"/>
                  </w:rPr>
                  <w:t>to</w:t>
                </w:r>
                <w:r>
                  <w:rPr>
                    <w:rFonts w:ascii="Gill Sans MT"/>
                    <w:spacing w:val="-6"/>
                    <w:w w:val="110"/>
                    <w:sz w:val="14"/>
                  </w:rPr>
                  <w:t> </w:t>
                </w:r>
                <w:r>
                  <w:rPr>
                    <w:rFonts w:ascii="Gill Sans MT"/>
                    <w:w w:val="110"/>
                    <w:sz w:val="14"/>
                  </w:rPr>
                  <w:t>rounding.</w:t>
                </w:r>
              </w:p>
            </w:txbxContent>
          </v:textbox>
          <w10:wrap type="none"/>
        </v:shape>
      </w:pict>
    </w:r>
    <w:r>
      <w:rPr/>
      <w:pict>
        <v:shape style="position:absolute;margin-left:621.299988pt;margin-top:478.499969pt;width:74.75pt;height:45.65pt;mso-position-horizontal-relative:page;mso-position-vertical-relative:page;z-index:-266997760" type="#_x0000_t202" filled="false" stroked="false">
          <v:textbox inset="0,0,0,0">
            <w:txbxContent>
              <w:p>
                <w:pPr>
                  <w:spacing w:line="180" w:lineRule="auto" w:before="89"/>
                  <w:ind w:left="20" w:right="18" w:firstLine="295"/>
                  <w:jc w:val="right"/>
                  <w:rPr>
                    <w:rFonts w:ascii="Gill Sans MT"/>
                    <w:sz w:val="30"/>
                  </w:rPr>
                </w:pPr>
                <w:r>
                  <w:rPr>
                    <w:rFonts w:ascii="Gill Sans MT"/>
                    <w:color w:val="014612"/>
                    <w:spacing w:val="-4"/>
                    <w:w w:val="105"/>
                    <w:sz w:val="30"/>
                  </w:rPr>
                  <w:t>SERVICE </w:t>
                </w:r>
                <w:r>
                  <w:rPr>
                    <w:rFonts w:ascii="Gill Sans MT"/>
                    <w:color w:val="7B807C"/>
                    <w:spacing w:val="-5"/>
                    <w:sz w:val="30"/>
                  </w:rPr>
                  <w:t>INTEGRITY</w:t>
                </w:r>
              </w:p>
              <w:p>
                <w:pPr>
                  <w:spacing w:line="277" w:lineRule="exact" w:before="0"/>
                  <w:ind w:left="0" w:right="18" w:firstLine="0"/>
                  <w:jc w:val="right"/>
                  <w:rPr>
                    <w:rFonts w:ascii="Gill Sans MT"/>
                    <w:sz w:val="30"/>
                  </w:rPr>
                </w:pPr>
                <w:r>
                  <w:rPr>
                    <w:rFonts w:ascii="Gill Sans MT"/>
                    <w:color w:val="014612"/>
                    <w:spacing w:val="-5"/>
                    <w:sz w:val="30"/>
                  </w:rPr>
                  <w:t>VALUE</w:t>
                </w:r>
              </w:p>
            </w:txbxContent>
          </v:textbox>
          <w10:wrap type="none"/>
        </v:shape>
      </w:pict>
    </w:r>
    <w:r>
      <w:rPr/>
      <w:pict>
        <v:shape style="position:absolute;margin-left:351.339996pt;margin-top:520.495789pt;width:17.3pt;height:13.7pt;mso-position-horizontal-relative:page;mso-position-vertical-relative:page;z-index:-266996736" type="#_x0000_t202" filled="false" stroked="false">
          <v:textbox inset="0,0,0,0">
            <w:txbxContent>
              <w:p>
                <w:pPr>
                  <w:spacing w:before="19"/>
                  <w:ind w:left="60" w:right="0" w:firstLine="0"/>
                  <w:jc w:val="left"/>
                  <w:rPr>
                    <w:rFonts w:ascii="Gill Sans MT"/>
                    <w:sz w:val="20"/>
                  </w:rPr>
                </w:pPr>
                <w:r>
                  <w:rPr/>
                  <w:fldChar w:fldCharType="begin"/>
                </w:r>
                <w:r>
                  <w:rPr>
                    <w:rFonts w:ascii="Gill Sans MT"/>
                    <w:w w:val="110"/>
                    <w:sz w:val="20"/>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95.239998pt;margin-top:71.466644pt;width:421.4pt;height:15.3pt;mso-position-horizontal-relative:page;mso-position-vertical-relative:page;z-index:-267040768" type="#_x0000_t202" filled="false" stroked="false">
          <v:textbox inset="0,0,0,0">
            <w:txbxContent>
              <w:p>
                <w:pPr>
                  <w:spacing w:before="10"/>
                  <w:ind w:left="20" w:right="0" w:firstLine="0"/>
                  <w:jc w:val="left"/>
                  <w:rPr>
                    <w:rFonts w:ascii="Times New Roman"/>
                    <w:b/>
                    <w:sz w:val="24"/>
                  </w:rPr>
                </w:pPr>
                <w:r>
                  <w:rPr>
                    <w:rFonts w:ascii="Times New Roman"/>
                    <w:b/>
                    <w:sz w:val="24"/>
                  </w:rPr>
                  <w:t>THE CENTRAL NEW YORK REGIONAL TRANSPORTATION AUTHORITY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43.1pt;height:25.5pt;mso-position-horizontal-relative:page;mso-position-vertical-relative:page;z-index:-267038720" type="#_x0000_t202" filled="false" stroked="false">
          <v:textbox inset="0,0,0,0">
            <w:txbxContent>
              <w:p>
                <w:pPr>
                  <w:spacing w:before="20"/>
                  <w:ind w:left="20" w:right="0" w:firstLine="0"/>
                  <w:jc w:val="left"/>
                  <w:rPr>
                    <w:rFonts w:ascii="Gill Sans MT"/>
                    <w:sz w:val="40"/>
                  </w:rPr>
                </w:pPr>
                <w:r>
                  <w:rPr>
                    <w:rFonts w:ascii="Gill Sans MT"/>
                    <w:spacing w:val="-4"/>
                    <w:w w:val="105"/>
                    <w:sz w:val="40"/>
                  </w:rPr>
                  <w:t>Overall </w:t>
                </w:r>
                <w:r>
                  <w:rPr>
                    <w:rFonts w:ascii="Gill Sans MT"/>
                    <w:spacing w:val="-3"/>
                    <w:w w:val="105"/>
                    <w:sz w:val="40"/>
                  </w:rPr>
                  <w:t>Portfolio</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56.15pt;height:25.5pt;mso-position-horizontal-relative:page;mso-position-vertical-relative:page;z-index:-267033600" type="#_x0000_t202" filled="false" stroked="false">
          <v:textbox inset="0,0,0,0">
            <w:txbxContent>
              <w:p>
                <w:pPr>
                  <w:spacing w:before="20"/>
                  <w:ind w:left="20" w:right="0" w:firstLine="0"/>
                  <w:jc w:val="left"/>
                  <w:rPr>
                    <w:rFonts w:ascii="Gill Sans MT"/>
                    <w:sz w:val="40"/>
                  </w:rPr>
                </w:pPr>
                <w:r>
                  <w:rPr>
                    <w:rFonts w:ascii="Gill Sans MT"/>
                    <w:w w:val="110"/>
                    <w:sz w:val="40"/>
                  </w:rPr>
                  <w:t>Equity</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19.75pt;height:25.5pt;mso-position-horizontal-relative:page;mso-position-vertical-relative:page;z-index:-267028480" type="#_x0000_t202" filled="false" stroked="false">
          <v:textbox inset="0,0,0,0">
            <w:txbxContent>
              <w:p>
                <w:pPr>
                  <w:spacing w:before="20"/>
                  <w:ind w:left="20" w:right="0" w:firstLine="0"/>
                  <w:jc w:val="left"/>
                  <w:rPr>
                    <w:rFonts w:ascii="Gill Sans MT"/>
                    <w:sz w:val="40"/>
                  </w:rPr>
                </w:pPr>
                <w:r>
                  <w:rPr>
                    <w:rFonts w:ascii="Gill Sans MT"/>
                    <w:w w:val="110"/>
                    <w:sz w:val="40"/>
                  </w:rPr>
                  <w:t>Fixed</w:t>
                </w:r>
                <w:r>
                  <w:rPr>
                    <w:rFonts w:ascii="Gill Sans MT"/>
                    <w:spacing w:val="-29"/>
                    <w:w w:val="110"/>
                    <w:sz w:val="40"/>
                  </w:rPr>
                  <w:t> </w:t>
                </w:r>
                <w:r>
                  <w:rPr>
                    <w:rFonts w:ascii="Gill Sans MT"/>
                    <w:spacing w:val="-3"/>
                    <w:w w:val="110"/>
                    <w:sz w:val="40"/>
                  </w:rPr>
                  <w:t>Income</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02.65pt;height:25.5pt;mso-position-horizontal-relative:page;mso-position-vertical-relative:page;z-index:-267023360" type="#_x0000_t202" filled="false" stroked="false">
          <v:textbox inset="0,0,0,0">
            <w:txbxContent>
              <w:p>
                <w:pPr>
                  <w:spacing w:before="20"/>
                  <w:ind w:left="20" w:right="0" w:firstLine="0"/>
                  <w:jc w:val="left"/>
                  <w:rPr>
                    <w:rFonts w:ascii="Gill Sans MT"/>
                    <w:sz w:val="40"/>
                  </w:rPr>
                </w:pPr>
                <w:r>
                  <w:rPr>
                    <w:rFonts w:ascii="Gill Sans MT"/>
                    <w:spacing w:val="-3"/>
                    <w:w w:val="110"/>
                    <w:sz w:val="40"/>
                  </w:rPr>
                  <w:t>Real</w:t>
                </w:r>
                <w:r>
                  <w:rPr>
                    <w:rFonts w:ascii="Gill Sans MT"/>
                    <w:spacing w:val="-73"/>
                    <w:w w:val="110"/>
                    <w:sz w:val="40"/>
                  </w:rPr>
                  <w:t> </w:t>
                </w:r>
                <w:r>
                  <w:rPr>
                    <w:rFonts w:ascii="Gill Sans MT"/>
                    <w:spacing w:val="-3"/>
                    <w:w w:val="110"/>
                    <w:sz w:val="40"/>
                  </w:rPr>
                  <w:t>Return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47pt;height:25.5pt;mso-position-horizontal-relative:page;mso-position-vertical-relative:page;z-index:-267018240" type="#_x0000_t202" filled="false" stroked="false">
          <v:textbox inset="0,0,0,0">
            <w:txbxContent>
              <w:p>
                <w:pPr>
                  <w:spacing w:before="20"/>
                  <w:ind w:left="20" w:right="0" w:firstLine="0"/>
                  <w:jc w:val="left"/>
                  <w:rPr>
                    <w:rFonts w:ascii="Gill Sans MT"/>
                    <w:sz w:val="40"/>
                  </w:rPr>
                </w:pPr>
                <w:r>
                  <w:rPr>
                    <w:rFonts w:ascii="Gill Sans MT"/>
                    <w:w w:val="105"/>
                    <w:sz w:val="40"/>
                  </w:rPr>
                  <w:t>Portfolio Activity</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6.118202pt;width:116.1pt;height:25.5pt;mso-position-horizontal-relative:page;mso-position-vertical-relative:page;z-index:-267014144" type="#_x0000_t202" filled="false" stroked="false">
          <v:textbox inset="0,0,0,0">
            <w:txbxContent>
              <w:p>
                <w:pPr>
                  <w:spacing w:before="20"/>
                  <w:ind w:left="20" w:right="0" w:firstLine="0"/>
                  <w:jc w:val="left"/>
                  <w:rPr>
                    <w:rFonts w:ascii="Gill Sans MT"/>
                    <w:sz w:val="40"/>
                  </w:rPr>
                </w:pPr>
                <w:r>
                  <w:rPr>
                    <w:rFonts w:ascii="Gill Sans MT"/>
                    <w:w w:val="110"/>
                    <w:sz w:val="40"/>
                  </w:rPr>
                  <w:t>Performance</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60.8pt;height:25.5pt;mso-position-horizontal-relative:page;mso-position-vertical-relative:page;z-index:-267010048" type="#_x0000_t202" filled="false" stroked="false">
          <v:textbox inset="0,0,0,0">
            <w:txbxContent>
              <w:p>
                <w:pPr>
                  <w:spacing w:before="20"/>
                  <w:ind w:left="20" w:right="0" w:firstLine="0"/>
                  <w:jc w:val="left"/>
                  <w:rPr>
                    <w:rFonts w:ascii="Gill Sans MT"/>
                    <w:sz w:val="40"/>
                  </w:rPr>
                </w:pPr>
                <w:r>
                  <w:rPr>
                    <w:rFonts w:ascii="Gill Sans MT"/>
                    <w:spacing w:val="-3"/>
                    <w:w w:val="110"/>
                    <w:sz w:val="40"/>
                  </w:rPr>
                  <w:t>Portfolio </w:t>
                </w:r>
                <w:r>
                  <w:rPr>
                    <w:rFonts w:ascii="Gill Sans MT"/>
                    <w:spacing w:val="-4"/>
                    <w:w w:val="110"/>
                    <w:sz w:val="40"/>
                  </w:rPr>
                  <w:t>Holdings</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43.1pt;height:25.5pt;mso-position-horizontal-relative:page;mso-position-vertical-relative:page;z-index:-267005952" type="#_x0000_t202" filled="false" stroked="false">
          <v:textbox inset="0,0,0,0">
            <w:txbxContent>
              <w:p>
                <w:pPr>
                  <w:spacing w:before="20"/>
                  <w:ind w:left="20" w:right="0" w:firstLine="0"/>
                  <w:jc w:val="left"/>
                  <w:rPr>
                    <w:rFonts w:ascii="Gill Sans MT"/>
                    <w:sz w:val="40"/>
                  </w:rPr>
                </w:pPr>
                <w:r>
                  <w:rPr>
                    <w:rFonts w:ascii="Gill Sans MT"/>
                    <w:spacing w:val="-4"/>
                    <w:w w:val="105"/>
                    <w:sz w:val="40"/>
                  </w:rPr>
                  <w:t>Overall </w:t>
                </w:r>
                <w:r>
                  <w:rPr>
                    <w:rFonts w:ascii="Gill Sans MT"/>
                    <w:spacing w:val="-3"/>
                    <w:w w:val="105"/>
                    <w:sz w:val="40"/>
                  </w:rPr>
                  <w:t>Portfolio</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56.15pt;height:25.5pt;mso-position-horizontal-relative:page;mso-position-vertical-relative:page;z-index:-267000832" type="#_x0000_t202" filled="false" stroked="false">
          <v:textbox inset="0,0,0,0">
            <w:txbxContent>
              <w:p>
                <w:pPr>
                  <w:spacing w:before="20"/>
                  <w:ind w:left="20" w:right="0" w:firstLine="0"/>
                  <w:jc w:val="left"/>
                  <w:rPr>
                    <w:rFonts w:ascii="Gill Sans MT"/>
                    <w:sz w:val="40"/>
                  </w:rPr>
                </w:pPr>
                <w:r>
                  <w:rPr>
                    <w:rFonts w:ascii="Gill Sans MT"/>
                    <w:w w:val="110"/>
                    <w:sz w:val="40"/>
                  </w:rPr>
                  <w:t>Equity</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19.75pt;height:25.5pt;mso-position-horizontal-relative:page;mso-position-vertical-relative:page;z-index:-266995712" type="#_x0000_t202" filled="false" stroked="false">
          <v:textbox inset="0,0,0,0">
            <w:txbxContent>
              <w:p>
                <w:pPr>
                  <w:spacing w:before="20"/>
                  <w:ind w:left="20" w:right="0" w:firstLine="0"/>
                  <w:jc w:val="left"/>
                  <w:rPr>
                    <w:rFonts w:ascii="Gill Sans MT"/>
                    <w:sz w:val="40"/>
                  </w:rPr>
                </w:pPr>
                <w:r>
                  <w:rPr>
                    <w:rFonts w:ascii="Gill Sans MT"/>
                    <w:w w:val="110"/>
                    <w:sz w:val="40"/>
                  </w:rPr>
                  <w:t>Fixed</w:t>
                </w:r>
                <w:r>
                  <w:rPr>
                    <w:rFonts w:ascii="Gill Sans MT"/>
                    <w:spacing w:val="-29"/>
                    <w:w w:val="110"/>
                    <w:sz w:val="40"/>
                  </w:rPr>
                  <w:t> </w:t>
                </w:r>
                <w:r>
                  <w:rPr>
                    <w:rFonts w:ascii="Gill Sans MT"/>
                    <w:spacing w:val="-3"/>
                    <w:w w:val="110"/>
                    <w:sz w:val="40"/>
                  </w:rPr>
                  <w:t>Income</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02.65pt;height:25.5pt;mso-position-horizontal-relative:page;mso-position-vertical-relative:page;z-index:-266990592" type="#_x0000_t202" filled="false" stroked="false">
          <v:textbox inset="0,0,0,0">
            <w:txbxContent>
              <w:p>
                <w:pPr>
                  <w:spacing w:before="20"/>
                  <w:ind w:left="20" w:right="0" w:firstLine="0"/>
                  <w:jc w:val="left"/>
                  <w:rPr>
                    <w:rFonts w:ascii="Gill Sans MT"/>
                    <w:sz w:val="40"/>
                  </w:rPr>
                </w:pPr>
                <w:r>
                  <w:rPr>
                    <w:rFonts w:ascii="Gill Sans MT"/>
                    <w:spacing w:val="-3"/>
                    <w:w w:val="110"/>
                    <w:sz w:val="40"/>
                  </w:rPr>
                  <w:t>Real</w:t>
                </w:r>
                <w:r>
                  <w:rPr>
                    <w:rFonts w:ascii="Gill Sans MT"/>
                    <w:spacing w:val="-73"/>
                    <w:w w:val="110"/>
                    <w:sz w:val="40"/>
                  </w:rPr>
                  <w:t> </w:t>
                </w:r>
                <w:r>
                  <w:rPr>
                    <w:rFonts w:ascii="Gill Sans MT"/>
                    <w:spacing w:val="-3"/>
                    <w:w w:val="110"/>
                    <w:sz w:val="40"/>
                  </w:rPr>
                  <w:t>Return</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47pt;height:25.5pt;mso-position-horizontal-relative:page;mso-position-vertical-relative:page;z-index:-266985472" type="#_x0000_t202" filled="false" stroked="false">
          <v:textbox inset="0,0,0,0">
            <w:txbxContent>
              <w:p>
                <w:pPr>
                  <w:spacing w:before="20"/>
                  <w:ind w:left="20" w:right="0" w:firstLine="0"/>
                  <w:jc w:val="left"/>
                  <w:rPr>
                    <w:rFonts w:ascii="Gill Sans MT"/>
                    <w:sz w:val="40"/>
                  </w:rPr>
                </w:pPr>
                <w:r>
                  <w:rPr>
                    <w:rFonts w:ascii="Gill Sans MT"/>
                    <w:w w:val="105"/>
                    <w:sz w:val="40"/>
                  </w:rPr>
                  <w:t>Portfolio Activity</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6.118202pt;width:116.1pt;height:25.5pt;mso-position-horizontal-relative:page;mso-position-vertical-relative:page;z-index:-266981376" type="#_x0000_t202" filled="false" stroked="false">
          <v:textbox inset="0,0,0,0">
            <w:txbxContent>
              <w:p>
                <w:pPr>
                  <w:spacing w:before="20"/>
                  <w:ind w:left="20" w:right="0" w:firstLine="0"/>
                  <w:jc w:val="left"/>
                  <w:rPr>
                    <w:rFonts w:ascii="Gill Sans MT"/>
                    <w:sz w:val="40"/>
                  </w:rPr>
                </w:pPr>
                <w:r>
                  <w:rPr>
                    <w:rFonts w:ascii="Gill Sans MT"/>
                    <w:w w:val="110"/>
                    <w:sz w:val="40"/>
                  </w:rPr>
                  <w:t>Performance</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60.8pt;height:25.5pt;mso-position-horizontal-relative:page;mso-position-vertical-relative:page;z-index:-266977280" type="#_x0000_t202" filled="false" stroked="false">
          <v:textbox inset="0,0,0,0">
            <w:txbxContent>
              <w:p>
                <w:pPr>
                  <w:spacing w:before="20"/>
                  <w:ind w:left="20" w:right="0" w:firstLine="0"/>
                  <w:jc w:val="left"/>
                  <w:rPr>
                    <w:rFonts w:ascii="Gill Sans MT"/>
                    <w:sz w:val="40"/>
                  </w:rPr>
                </w:pPr>
                <w:r>
                  <w:rPr>
                    <w:rFonts w:ascii="Gill Sans MT"/>
                    <w:spacing w:val="-3"/>
                    <w:w w:val="110"/>
                    <w:sz w:val="40"/>
                  </w:rPr>
                  <w:t>Portfolio </w:t>
                </w:r>
                <w:r>
                  <w:rPr>
                    <w:rFonts w:ascii="Gill Sans MT"/>
                    <w:spacing w:val="-4"/>
                    <w:w w:val="110"/>
                    <w:sz w:val="40"/>
                  </w:rPr>
                  <w:t>Holdings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5.239998pt;margin-top:71.466644pt;width:421.45pt;height:15.3pt;mso-position-horizontal-relative:page;mso-position-vertical-relative:page;z-index:-267039744" type="#_x0000_t202" filled="false" stroked="false">
          <v:textbox inset="0,0,0,0">
            <w:txbxContent>
              <w:p>
                <w:pPr>
                  <w:spacing w:before="10"/>
                  <w:ind w:left="20" w:right="0" w:firstLine="0"/>
                  <w:jc w:val="left"/>
                  <w:rPr>
                    <w:rFonts w:ascii="Times New Roman"/>
                    <w:b/>
                    <w:sz w:val="24"/>
                  </w:rPr>
                </w:pPr>
                <w:r>
                  <w:rPr>
                    <w:rFonts w:ascii="Times New Roman"/>
                    <w:b/>
                    <w:sz w:val="24"/>
                  </w:rPr>
                  <w:t>THE CENTRAL NEW YORK REGIONAL TRANSPORTATION AUTHORITY</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43.1pt;height:25.5pt;mso-position-horizontal-relative:page;mso-position-vertical-relative:page;z-index:-266973184" type="#_x0000_t202" filled="false" stroked="false">
          <v:textbox inset="0,0,0,0">
            <w:txbxContent>
              <w:p>
                <w:pPr>
                  <w:spacing w:before="20"/>
                  <w:ind w:left="20" w:right="0" w:firstLine="0"/>
                  <w:jc w:val="left"/>
                  <w:rPr>
                    <w:rFonts w:ascii="Gill Sans MT"/>
                    <w:sz w:val="40"/>
                  </w:rPr>
                </w:pPr>
                <w:r>
                  <w:rPr>
                    <w:rFonts w:ascii="Gill Sans MT"/>
                    <w:spacing w:val="-4"/>
                    <w:w w:val="105"/>
                    <w:sz w:val="40"/>
                  </w:rPr>
                  <w:t>Overall </w:t>
                </w:r>
                <w:r>
                  <w:rPr>
                    <w:rFonts w:ascii="Gill Sans MT"/>
                    <w:spacing w:val="-3"/>
                    <w:w w:val="105"/>
                    <w:sz w:val="40"/>
                  </w:rPr>
                  <w:t>Portfolio</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56.15pt;height:25.5pt;mso-position-horizontal-relative:page;mso-position-vertical-relative:page;z-index:-266968064" type="#_x0000_t202" filled="false" stroked="false">
          <v:textbox inset="0,0,0,0">
            <w:txbxContent>
              <w:p>
                <w:pPr>
                  <w:spacing w:before="20"/>
                  <w:ind w:left="20" w:right="0" w:firstLine="0"/>
                  <w:jc w:val="left"/>
                  <w:rPr>
                    <w:rFonts w:ascii="Gill Sans MT"/>
                    <w:sz w:val="40"/>
                  </w:rPr>
                </w:pPr>
                <w:r>
                  <w:rPr>
                    <w:rFonts w:ascii="Gill Sans MT"/>
                    <w:w w:val="110"/>
                    <w:sz w:val="40"/>
                  </w:rPr>
                  <w:t>Equity</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19.75pt;height:25.5pt;mso-position-horizontal-relative:page;mso-position-vertical-relative:page;z-index:-266962944" type="#_x0000_t202" filled="false" stroked="false">
          <v:textbox inset="0,0,0,0">
            <w:txbxContent>
              <w:p>
                <w:pPr>
                  <w:spacing w:before="20"/>
                  <w:ind w:left="20" w:right="0" w:firstLine="0"/>
                  <w:jc w:val="left"/>
                  <w:rPr>
                    <w:rFonts w:ascii="Gill Sans MT"/>
                    <w:sz w:val="40"/>
                  </w:rPr>
                </w:pPr>
                <w:r>
                  <w:rPr>
                    <w:rFonts w:ascii="Gill Sans MT"/>
                    <w:w w:val="110"/>
                    <w:sz w:val="40"/>
                  </w:rPr>
                  <w:t>Fixed</w:t>
                </w:r>
                <w:r>
                  <w:rPr>
                    <w:rFonts w:ascii="Gill Sans MT"/>
                    <w:spacing w:val="-29"/>
                    <w:w w:val="110"/>
                    <w:sz w:val="40"/>
                  </w:rPr>
                  <w:t> </w:t>
                </w:r>
                <w:r>
                  <w:rPr>
                    <w:rFonts w:ascii="Gill Sans MT"/>
                    <w:spacing w:val="-3"/>
                    <w:w w:val="110"/>
                    <w:sz w:val="40"/>
                  </w:rPr>
                  <w:t>Income</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02.65pt;height:25.5pt;mso-position-horizontal-relative:page;mso-position-vertical-relative:page;z-index:-266957824" type="#_x0000_t202" filled="false" stroked="false">
          <v:textbox inset="0,0,0,0">
            <w:txbxContent>
              <w:p>
                <w:pPr>
                  <w:spacing w:before="20"/>
                  <w:ind w:left="20" w:right="0" w:firstLine="0"/>
                  <w:jc w:val="left"/>
                  <w:rPr>
                    <w:rFonts w:ascii="Gill Sans MT"/>
                    <w:sz w:val="40"/>
                  </w:rPr>
                </w:pPr>
                <w:r>
                  <w:rPr>
                    <w:rFonts w:ascii="Gill Sans MT"/>
                    <w:spacing w:val="-3"/>
                    <w:w w:val="110"/>
                    <w:sz w:val="40"/>
                  </w:rPr>
                  <w:t>Real</w:t>
                </w:r>
                <w:r>
                  <w:rPr>
                    <w:rFonts w:ascii="Gill Sans MT"/>
                    <w:spacing w:val="-73"/>
                    <w:w w:val="110"/>
                    <w:sz w:val="40"/>
                  </w:rPr>
                  <w:t> </w:t>
                </w:r>
                <w:r>
                  <w:rPr>
                    <w:rFonts w:ascii="Gill Sans MT"/>
                    <w:spacing w:val="-3"/>
                    <w:w w:val="110"/>
                    <w:sz w:val="40"/>
                  </w:rPr>
                  <w:t>Return</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47pt;height:25.5pt;mso-position-horizontal-relative:page;mso-position-vertical-relative:page;z-index:-266952704" type="#_x0000_t202" filled="false" stroked="false">
          <v:textbox inset="0,0,0,0">
            <w:txbxContent>
              <w:p>
                <w:pPr>
                  <w:spacing w:before="20"/>
                  <w:ind w:left="20" w:right="0" w:firstLine="0"/>
                  <w:jc w:val="left"/>
                  <w:rPr>
                    <w:rFonts w:ascii="Gill Sans MT"/>
                    <w:sz w:val="40"/>
                  </w:rPr>
                </w:pPr>
                <w:r>
                  <w:rPr>
                    <w:rFonts w:ascii="Gill Sans MT"/>
                    <w:w w:val="105"/>
                    <w:sz w:val="40"/>
                  </w:rPr>
                  <w:t>Portfolio Activity</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6.118202pt;width:116.1pt;height:25.5pt;mso-position-horizontal-relative:page;mso-position-vertical-relative:page;z-index:-266948608" type="#_x0000_t202" filled="false" stroked="false">
          <v:textbox inset="0,0,0,0">
            <w:txbxContent>
              <w:p>
                <w:pPr>
                  <w:spacing w:before="20"/>
                  <w:ind w:left="20" w:right="0" w:firstLine="0"/>
                  <w:jc w:val="left"/>
                  <w:rPr>
                    <w:rFonts w:ascii="Gill Sans MT"/>
                    <w:sz w:val="40"/>
                  </w:rPr>
                </w:pPr>
                <w:r>
                  <w:rPr>
                    <w:rFonts w:ascii="Gill Sans MT"/>
                    <w:w w:val="110"/>
                    <w:sz w:val="40"/>
                  </w:rPr>
                  <w:t>Performance</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9999pt;margin-top:45.448204pt;width:160.8pt;height:25.5pt;mso-position-horizontal-relative:page;mso-position-vertical-relative:page;z-index:-266944512" type="#_x0000_t202" filled="false" stroked="false">
          <v:textbox inset="0,0,0,0">
            <w:txbxContent>
              <w:p>
                <w:pPr>
                  <w:spacing w:before="20"/>
                  <w:ind w:left="20" w:right="0" w:firstLine="0"/>
                  <w:jc w:val="left"/>
                  <w:rPr>
                    <w:rFonts w:ascii="Gill Sans MT"/>
                    <w:sz w:val="40"/>
                  </w:rPr>
                </w:pPr>
                <w:r>
                  <w:rPr>
                    <w:rFonts w:ascii="Gill Sans MT"/>
                    <w:spacing w:val="-3"/>
                    <w:w w:val="110"/>
                    <w:sz w:val="40"/>
                  </w:rPr>
                  <w:t>Portfolio </w:t>
                </w:r>
                <w:r>
                  <w:rPr>
                    <w:rFonts w:ascii="Gill Sans MT"/>
                    <w:spacing w:val="-4"/>
                    <w:w w:val="110"/>
                    <w:sz w:val="40"/>
                  </w:rPr>
                  <w:t>Holdings</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00001pt;margin-top:32.402pt;width:478.15pt;height:44.25pt;mso-position-horizontal-relative:page;mso-position-vertical-relative:page;z-index:-266940416" type="#_x0000_t202" filled="false" stroked="false">
          <v:textbox inset="0,0,0,0">
            <w:txbxContent>
              <w:p>
                <w:pPr>
                  <w:spacing w:before="78"/>
                  <w:ind w:left="20" w:right="0" w:firstLine="0"/>
                  <w:jc w:val="left"/>
                  <w:rPr>
                    <w:rFonts w:ascii="Georgia"/>
                    <w:sz w:val="66"/>
                  </w:rPr>
                </w:pPr>
                <w:r>
                  <w:rPr>
                    <w:rFonts w:ascii="Georgia"/>
                    <w:spacing w:val="-5"/>
                    <w:w w:val="105"/>
                    <w:sz w:val="66"/>
                  </w:rPr>
                  <w:t>Second Quarter </w:t>
                </w:r>
                <w:r>
                  <w:rPr>
                    <w:rFonts w:ascii="Georgia"/>
                    <w:spacing w:val="-4"/>
                    <w:w w:val="105"/>
                    <w:sz w:val="66"/>
                  </w:rPr>
                  <w:t>2025</w:t>
                </w:r>
                <w:r>
                  <w:rPr>
                    <w:rFonts w:ascii="Georgia"/>
                    <w:spacing w:val="72"/>
                    <w:w w:val="105"/>
                    <w:sz w:val="66"/>
                  </w:rPr>
                  <w:t> </w:t>
                </w:r>
                <w:r>
                  <w:rPr>
                    <w:rFonts w:ascii="Georgia"/>
                    <w:spacing w:val="-5"/>
                    <w:w w:val="105"/>
                    <w:sz w:val="66"/>
                  </w:rPr>
                  <w:t>Overview</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00001pt;margin-top:30.941999pt;width:300.9pt;height:44.25pt;mso-position-horizontal-relative:page;mso-position-vertical-relative:page;z-index:-266936320" type="#_x0000_t202" filled="false" stroked="false">
          <v:textbox inset="0,0,0,0">
            <w:txbxContent>
              <w:p>
                <w:pPr>
                  <w:spacing w:before="78"/>
                  <w:ind w:left="20" w:right="0" w:firstLine="0"/>
                  <w:jc w:val="left"/>
                  <w:rPr>
                    <w:rFonts w:ascii="Georgia"/>
                    <w:sz w:val="66"/>
                  </w:rPr>
                </w:pPr>
                <w:r>
                  <w:rPr>
                    <w:rFonts w:ascii="Georgia"/>
                    <w:spacing w:val="-4"/>
                    <w:w w:val="105"/>
                    <w:sz w:val="66"/>
                  </w:rPr>
                  <w:t>Tariffs </w:t>
                </w:r>
                <w:r>
                  <w:rPr>
                    <w:rFonts w:ascii="Georgia"/>
                    <w:spacing w:val="-3"/>
                    <w:w w:val="105"/>
                    <w:sz w:val="66"/>
                  </w:rPr>
                  <w:t>and </w:t>
                </w:r>
                <w:r>
                  <w:rPr>
                    <w:rFonts w:ascii="Georgia"/>
                    <w:spacing w:val="-6"/>
                    <w:w w:val="105"/>
                    <w:sz w:val="66"/>
                  </w:rPr>
                  <w:t>Markets</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12002pt;margin-top:31.492001pt;width:255.35pt;height:44.25pt;mso-position-horizontal-relative:page;mso-position-vertical-relative:page;z-index:-266932224" type="#_x0000_t202" filled="false" stroked="false">
          <v:textbox inset="0,0,0,0">
            <w:txbxContent>
              <w:p>
                <w:pPr>
                  <w:spacing w:before="78"/>
                  <w:ind w:left="20" w:right="0" w:firstLine="0"/>
                  <w:jc w:val="left"/>
                  <w:rPr>
                    <w:rFonts w:ascii="Georgia"/>
                    <w:sz w:val="66"/>
                  </w:rPr>
                </w:pPr>
                <w:r>
                  <w:rPr>
                    <w:rFonts w:ascii="Georgia"/>
                    <w:w w:val="105"/>
                    <w:sz w:val="66"/>
                  </w:rPr>
                  <w:t>Staying Invested</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00001pt;margin-top:30.941999pt;width:548.65pt;height:44.25pt;mso-position-horizontal-relative:page;mso-position-vertical-relative:page;z-index:-266925056" type="#_x0000_t202" filled="false" stroked="false">
          <v:textbox inset="0,0,0,0">
            <w:txbxContent>
              <w:p>
                <w:pPr>
                  <w:spacing w:before="78"/>
                  <w:ind w:left="20" w:right="0" w:firstLine="0"/>
                  <w:jc w:val="left"/>
                  <w:rPr>
                    <w:rFonts w:ascii="Georgia"/>
                    <w:sz w:val="66"/>
                  </w:rPr>
                </w:pPr>
                <w:r>
                  <w:rPr>
                    <w:rFonts w:ascii="Georgia"/>
                    <w:spacing w:val="-4"/>
                    <w:w w:val="105"/>
                    <w:sz w:val="66"/>
                  </w:rPr>
                  <w:t>U.S.</w:t>
                </w:r>
                <w:r>
                  <w:rPr>
                    <w:rFonts w:ascii="Georgia"/>
                    <w:spacing w:val="-35"/>
                    <w:w w:val="105"/>
                    <w:sz w:val="66"/>
                  </w:rPr>
                  <w:t> </w:t>
                </w:r>
                <w:r>
                  <w:rPr>
                    <w:rFonts w:ascii="Georgia"/>
                    <w:spacing w:val="-3"/>
                    <w:w w:val="105"/>
                    <w:sz w:val="66"/>
                  </w:rPr>
                  <w:t>Dollar</w:t>
                </w:r>
                <w:r>
                  <w:rPr>
                    <w:rFonts w:ascii="Georgia"/>
                    <w:spacing w:val="-40"/>
                    <w:w w:val="105"/>
                    <w:sz w:val="66"/>
                  </w:rPr>
                  <w:t> </w:t>
                </w:r>
                <w:r>
                  <w:rPr>
                    <w:rFonts w:ascii="Georgia"/>
                    <w:w w:val="105"/>
                    <w:sz w:val="66"/>
                  </w:rPr>
                  <w:t>&amp;</w:t>
                </w:r>
                <w:r>
                  <w:rPr>
                    <w:rFonts w:ascii="Georgia"/>
                    <w:spacing w:val="-33"/>
                    <w:w w:val="105"/>
                    <w:sz w:val="66"/>
                  </w:rPr>
                  <w:t> </w:t>
                </w:r>
                <w:r>
                  <w:rPr>
                    <w:rFonts w:ascii="Georgia"/>
                    <w:spacing w:val="-4"/>
                    <w:w w:val="105"/>
                    <w:sz w:val="66"/>
                  </w:rPr>
                  <w:t>Equity</w:t>
                </w:r>
                <w:r>
                  <w:rPr>
                    <w:rFonts w:ascii="Georgia"/>
                    <w:spacing w:val="-39"/>
                    <w:w w:val="105"/>
                    <w:sz w:val="66"/>
                  </w:rPr>
                  <w:t> </w:t>
                </w:r>
                <w:r>
                  <w:rPr>
                    <w:rFonts w:ascii="Georgia"/>
                    <w:spacing w:val="-5"/>
                    <w:w w:val="105"/>
                    <w:sz w:val="66"/>
                  </w:rPr>
                  <w:t>Market</w:t>
                </w:r>
                <w:r>
                  <w:rPr>
                    <w:rFonts w:ascii="Georgia"/>
                    <w:spacing w:val="-36"/>
                    <w:w w:val="105"/>
                    <w:sz w:val="66"/>
                  </w:rPr>
                  <w:t> </w:t>
                </w:r>
                <w:r>
                  <w:rPr>
                    <w:rFonts w:ascii="Georgia"/>
                    <w:spacing w:val="-5"/>
                    <w:w w:val="105"/>
                    <w:sz w:val="66"/>
                  </w:rPr>
                  <w:t>Returns</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00001pt;margin-top:30.941999pt;width:346.15pt;height:44.25pt;mso-position-horizontal-relative:page;mso-position-vertical-relative:page;z-index:-266920960" type="#_x0000_t202" filled="false" stroked="false">
          <v:textbox inset="0,0,0,0">
            <w:txbxContent>
              <w:p>
                <w:pPr>
                  <w:spacing w:before="78"/>
                  <w:ind w:left="20" w:right="0" w:firstLine="0"/>
                  <w:jc w:val="left"/>
                  <w:rPr>
                    <w:rFonts w:ascii="Georgia"/>
                    <w:sz w:val="66"/>
                  </w:rPr>
                </w:pPr>
                <w:r>
                  <w:rPr>
                    <w:rFonts w:ascii="Georgia"/>
                    <w:spacing w:val="-4"/>
                    <w:w w:val="105"/>
                    <w:sz w:val="66"/>
                  </w:rPr>
                  <w:t>U.S. </w:t>
                </w:r>
                <w:r>
                  <w:rPr>
                    <w:rFonts w:ascii="Georgia"/>
                    <w:spacing w:val="-6"/>
                    <w:w w:val="105"/>
                    <w:sz w:val="66"/>
                  </w:rPr>
                  <w:t>Economic </w:t>
                </w:r>
                <w:r>
                  <w:rPr>
                    <w:rFonts w:ascii="Georgia"/>
                    <w:spacing w:val="-5"/>
                    <w:w w:val="105"/>
                    <w:sz w:val="66"/>
                  </w:rPr>
                  <w:t>Growth</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00001pt;margin-top:34.417854pt;width:506.1pt;height:44.3pt;mso-position-horizontal-relative:page;mso-position-vertical-relative:page;z-index:-266914816" type="#_x0000_t202" filled="false" stroked="false">
          <v:textbox inset="0,0,0,0">
            <w:txbxContent>
              <w:p>
                <w:pPr>
                  <w:spacing w:before="79"/>
                  <w:ind w:left="20" w:right="0" w:firstLine="0"/>
                  <w:jc w:val="left"/>
                  <w:rPr>
                    <w:rFonts w:ascii="Georgia"/>
                    <w:sz w:val="66"/>
                  </w:rPr>
                </w:pPr>
                <w:r>
                  <w:rPr>
                    <w:rFonts w:ascii="Georgia"/>
                    <w:spacing w:val="-5"/>
                    <w:w w:val="105"/>
                    <w:sz w:val="66"/>
                  </w:rPr>
                  <w:t>Inflation </w:t>
                </w:r>
                <w:r>
                  <w:rPr>
                    <w:rFonts w:ascii="Georgia"/>
                    <w:spacing w:val="-4"/>
                    <w:w w:val="105"/>
                    <w:sz w:val="66"/>
                  </w:rPr>
                  <w:t>and </w:t>
                </w:r>
                <w:r>
                  <w:rPr>
                    <w:rFonts w:ascii="Georgia"/>
                    <w:spacing w:val="-3"/>
                    <w:w w:val="105"/>
                    <w:sz w:val="66"/>
                  </w:rPr>
                  <w:t>the </w:t>
                </w:r>
                <w:r>
                  <w:rPr>
                    <w:rFonts w:ascii="Georgia"/>
                    <w:spacing w:val="-5"/>
                    <w:w w:val="105"/>
                    <w:sz w:val="66"/>
                  </w:rPr>
                  <w:t>Federal Reserve</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00001pt;margin-top:34.417854pt;width:518.4500pt;height:44.3pt;mso-position-horizontal-relative:page;mso-position-vertical-relative:page;z-index:-266910720" type="#_x0000_t202" filled="false" stroked="false">
          <v:textbox inset="0,0,0,0">
            <w:txbxContent>
              <w:p>
                <w:pPr>
                  <w:spacing w:before="79"/>
                  <w:ind w:left="20" w:right="0" w:firstLine="0"/>
                  <w:jc w:val="left"/>
                  <w:rPr>
                    <w:rFonts w:ascii="Georgia"/>
                    <w:sz w:val="66"/>
                  </w:rPr>
                </w:pPr>
                <w:r>
                  <w:rPr>
                    <w:rFonts w:ascii="Georgia"/>
                    <w:spacing w:val="-4"/>
                    <w:w w:val="105"/>
                    <w:sz w:val="66"/>
                  </w:rPr>
                  <w:t>Fiscal Policy and </w:t>
                </w:r>
                <w:r>
                  <w:rPr>
                    <w:rFonts w:ascii="Georgia"/>
                    <w:spacing w:val="-3"/>
                    <w:w w:val="105"/>
                    <w:sz w:val="66"/>
                  </w:rPr>
                  <w:t>the </w:t>
                </w:r>
                <w:r>
                  <w:rPr>
                    <w:rFonts w:ascii="Georgia"/>
                    <w:spacing w:val="-5"/>
                    <w:w w:val="105"/>
                    <w:sz w:val="66"/>
                  </w:rPr>
                  <w:t>Bond Market</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12002pt;margin-top:31.492001pt;width:376.45pt;height:44.25pt;mso-position-horizontal-relative:page;mso-position-vertical-relative:page;z-index:-266906624" type="#_x0000_t202" filled="false" stroked="false">
          <v:textbox inset="0,0,0,0">
            <w:txbxContent>
              <w:p>
                <w:pPr>
                  <w:spacing w:before="78"/>
                  <w:ind w:left="20" w:right="0" w:firstLine="0"/>
                  <w:jc w:val="left"/>
                  <w:rPr>
                    <w:rFonts w:ascii="Georgia"/>
                    <w:sz w:val="66"/>
                  </w:rPr>
                </w:pPr>
                <w:r>
                  <w:rPr>
                    <w:rFonts w:ascii="Georgia"/>
                    <w:spacing w:val="-5"/>
                    <w:w w:val="105"/>
                    <w:sz w:val="66"/>
                  </w:rPr>
                  <w:t>Global </w:t>
                </w:r>
                <w:r>
                  <w:rPr>
                    <w:rFonts w:ascii="Georgia"/>
                    <w:spacing w:val="-4"/>
                    <w:w w:val="105"/>
                    <w:sz w:val="66"/>
                  </w:rPr>
                  <w:t>Equity</w:t>
                </w:r>
                <w:r>
                  <w:rPr>
                    <w:rFonts w:ascii="Georgia"/>
                    <w:spacing w:val="-55"/>
                    <w:w w:val="105"/>
                    <w:sz w:val="66"/>
                  </w:rPr>
                  <w:t> </w:t>
                </w:r>
                <w:r>
                  <w:rPr>
                    <w:rFonts w:ascii="Georgia"/>
                    <w:spacing w:val="-5"/>
                    <w:w w:val="105"/>
                    <w:sz w:val="66"/>
                  </w:rPr>
                  <w:t>Valuations</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00001pt;margin-top:30.941999pt;width:359.6pt;height:44.25pt;mso-position-horizontal-relative:page;mso-position-vertical-relative:page;z-index:-266902528" type="#_x0000_t202" filled="false" stroked="false">
          <v:textbox inset="0,0,0,0">
            <w:txbxContent>
              <w:p>
                <w:pPr>
                  <w:spacing w:before="78"/>
                  <w:ind w:left="20" w:right="0" w:firstLine="0"/>
                  <w:jc w:val="left"/>
                  <w:rPr>
                    <w:rFonts w:ascii="Georgia"/>
                    <w:sz w:val="66"/>
                  </w:rPr>
                </w:pPr>
                <w:r>
                  <w:rPr>
                    <w:rFonts w:ascii="Georgia"/>
                    <w:spacing w:val="-5"/>
                    <w:w w:val="105"/>
                    <w:sz w:val="66"/>
                  </w:rPr>
                  <w:t>Diversification</w:t>
                </w:r>
                <w:r>
                  <w:rPr>
                    <w:rFonts w:ascii="Georgia"/>
                    <w:spacing w:val="65"/>
                    <w:w w:val="105"/>
                    <w:sz w:val="66"/>
                  </w:rPr>
                  <w:t> </w:t>
                </w:r>
                <w:r>
                  <w:rPr>
                    <w:rFonts w:ascii="Georgia"/>
                    <w:spacing w:val="-4"/>
                    <w:w w:val="105"/>
                    <w:sz w:val="66"/>
                  </w:rPr>
                  <w:t>Benefits</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00001pt;margin-top:29.521999pt;width:258.3500pt;height:44.25pt;mso-position-horizontal-relative:page;mso-position-vertical-relative:page;z-index:-266898432" type="#_x0000_t202" filled="false" stroked="false">
          <v:textbox inset="0,0,0,0">
            <w:txbxContent>
              <w:p>
                <w:pPr>
                  <w:spacing w:before="78"/>
                  <w:ind w:left="20" w:right="0" w:firstLine="0"/>
                  <w:jc w:val="left"/>
                  <w:rPr>
                    <w:rFonts w:ascii="Georgia"/>
                    <w:sz w:val="66"/>
                  </w:rPr>
                </w:pPr>
                <w:r>
                  <w:rPr>
                    <w:rFonts w:ascii="Georgia"/>
                    <w:spacing w:val="-4"/>
                    <w:w w:val="105"/>
                    <w:sz w:val="66"/>
                  </w:rPr>
                  <w:t>SPIVA</w:t>
                </w:r>
                <w:r>
                  <w:rPr>
                    <w:rFonts w:ascii="Georgia"/>
                    <w:spacing w:val="-28"/>
                    <w:w w:val="105"/>
                    <w:sz w:val="66"/>
                  </w:rPr>
                  <w:t> </w:t>
                </w:r>
                <w:r>
                  <w:rPr>
                    <w:rFonts w:ascii="Georgia"/>
                    <w:spacing w:val="-5"/>
                    <w:w w:val="105"/>
                    <w:sz w:val="66"/>
                  </w:rPr>
                  <w:t>Scorecard</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72001pt;margin-top:29.021999pt;width:281.05pt;height:44.25pt;mso-position-horizontal-relative:page;mso-position-vertical-relative:page;z-index:-266894336" type="#_x0000_t202" filled="false" stroked="false">
          <v:textbox inset="0,0,0,0">
            <w:txbxContent>
              <w:p>
                <w:pPr>
                  <w:spacing w:before="78"/>
                  <w:ind w:left="20" w:right="0" w:firstLine="0"/>
                  <w:jc w:val="left"/>
                  <w:rPr>
                    <w:rFonts w:ascii="Georgia"/>
                    <w:sz w:val="66"/>
                  </w:rPr>
                </w:pPr>
                <w:r>
                  <w:rPr>
                    <w:rFonts w:ascii="Georgia"/>
                    <w:spacing w:val="-4"/>
                    <w:w w:val="105"/>
                    <w:sz w:val="66"/>
                  </w:rPr>
                  <w:t>SPIVA </w:t>
                </w:r>
                <w:r>
                  <w:rPr>
                    <w:rFonts w:ascii="Georgia"/>
                    <w:spacing w:val="-5"/>
                    <w:w w:val="105"/>
                    <w:sz w:val="66"/>
                  </w:rPr>
                  <w:t>Persistence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887168" from="36pt,61.9501pt" to="576pt,61.9501pt" stroked="true" strokeweight=".75pt" strokecolor="#0075bd">
          <v:stroke dashstyle="solid"/>
          <w10:wrap type="none"/>
        </v:line>
      </w:pict>
    </w:r>
    <w:r>
      <w:rPr/>
      <w:pict>
        <v:shape style="position:absolute;margin-left:405.679993pt;margin-top:38.480pt;width:209.35pt;height:14.25pt;mso-position-horizontal-relative:page;mso-position-vertical-relative:page;z-index:-266886144" type="#_x0000_t202" filled="false" stroked="false">
          <v:textbox inset="0,0,0,0">
            <w:txbxContent>
              <w:p>
                <w:pPr>
                  <w:tabs>
                    <w:tab w:pos="4126" w:val="left" w:leader="none"/>
                  </w:tabs>
                  <w:spacing w:line="269" w:lineRule="exact" w:before="0"/>
                  <w:ind w:left="20" w:right="0" w:firstLine="0"/>
                  <w:jc w:val="left"/>
                  <w:rPr>
                    <w:sz w:val="22"/>
                  </w:rPr>
                </w:pPr>
                <w:r>
                  <w:rPr>
                    <w:sz w:val="22"/>
                  </w:rPr>
                  <w:t>Audit and Finance Committee Report</w:t>
                </w:r>
                <w:r>
                  <w:rPr>
                    <w:color w:val="FFFFFF"/>
                    <w:position w:val="2"/>
                    <w:sz w:val="22"/>
                    <w:shd w:fill="0075BD" w:color="auto" w:val="clear"/>
                  </w:rPr>
                  <w:t>  </w:t>
                </w:r>
                <w:r>
                  <w:rPr>
                    <w:color w:val="FFFFFF"/>
                    <w:spacing w:val="46"/>
                    <w:position w:val="2"/>
                    <w:sz w:val="22"/>
                    <w:shd w:fill="0075BD" w:color="auto" w:val="clear"/>
                  </w:rPr>
                  <w:t> </w:t>
                </w:r>
                <w:r>
                  <w:rPr/>
                  <w:fldChar w:fldCharType="begin"/>
                </w:r>
                <w:r>
                  <w:rPr>
                    <w:color w:val="FFFFFF"/>
                    <w:position w:val="2"/>
                    <w:sz w:val="22"/>
                    <w:shd w:fill="0075BD" w:color="auto" w:val="clear"/>
                  </w:rPr>
                  <w:instrText> PAGE </w:instrText>
                </w:r>
                <w:r>
                  <w:rPr/>
                  <w:fldChar w:fldCharType="separate"/>
                </w:r>
                <w:r>
                  <w:rPr/>
                  <w:t>1</w:t>
                </w:r>
                <w:r>
                  <w:rPr/>
                  <w:fldChar w:fldCharType="end"/>
                </w:r>
                <w:r>
                  <w:rPr>
                    <w:color w:val="FFFFFF"/>
                    <w:position w:val="2"/>
                    <w:sz w:val="22"/>
                    <w:shd w:fill="0075BD" w:color="auto" w:val="clear"/>
                  </w:rPr>
                  <w:tab/>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884096" from="36pt,61.9501pt" to="576pt,61.9501pt" stroked="true" strokeweight=".75pt" strokecolor="#0075bd">
          <v:stroke dashstyle="solid"/>
          <w10:wrap type="none"/>
        </v:line>
      </w:pict>
    </w:r>
    <w:r>
      <w:rPr/>
      <w:pict>
        <v:shape style="position:absolute;margin-left:405.679993pt;margin-top:38.480pt;width:209.35pt;height:14.25pt;mso-position-horizontal-relative:page;mso-position-vertical-relative:page;z-index:-266883072" type="#_x0000_t202" filled="false" stroked="false">
          <v:textbox inset="0,0,0,0">
            <w:txbxContent>
              <w:p>
                <w:pPr>
                  <w:tabs>
                    <w:tab w:pos="4126" w:val="left" w:leader="none"/>
                  </w:tabs>
                  <w:spacing w:line="269" w:lineRule="exact" w:before="0"/>
                  <w:ind w:left="20" w:right="0" w:firstLine="0"/>
                  <w:jc w:val="left"/>
                  <w:rPr>
                    <w:sz w:val="22"/>
                  </w:rPr>
                </w:pPr>
                <w:r>
                  <w:rPr>
                    <w:sz w:val="22"/>
                  </w:rPr>
                  <w:t>Audit and Finance Committee Report</w:t>
                </w:r>
                <w:r>
                  <w:rPr>
                    <w:color w:val="FFFFFF"/>
                    <w:position w:val="2"/>
                    <w:sz w:val="22"/>
                    <w:shd w:fill="0075BD" w:color="auto" w:val="clear"/>
                  </w:rPr>
                  <w:t>  </w:t>
                </w:r>
                <w:r>
                  <w:rPr>
                    <w:color w:val="FFFFFF"/>
                    <w:spacing w:val="46"/>
                    <w:position w:val="2"/>
                    <w:sz w:val="22"/>
                    <w:shd w:fill="0075BD" w:color="auto" w:val="clear"/>
                  </w:rPr>
                  <w:t> </w:t>
                </w:r>
                <w:r>
                  <w:rPr/>
                  <w:fldChar w:fldCharType="begin"/>
                </w:r>
                <w:r>
                  <w:rPr>
                    <w:color w:val="FFFFFF"/>
                    <w:position w:val="2"/>
                    <w:sz w:val="22"/>
                    <w:shd w:fill="0075BD" w:color="auto" w:val="clear"/>
                  </w:rPr>
                  <w:instrText> PAGE </w:instrText>
                </w:r>
                <w:r>
                  <w:rPr/>
                  <w:fldChar w:fldCharType="separate"/>
                </w:r>
                <w:r>
                  <w:rPr/>
                  <w:t>3</w:t>
                </w:r>
                <w:r>
                  <w:rPr/>
                  <w:fldChar w:fldCharType="end"/>
                </w:r>
                <w:r>
                  <w:rPr>
                    <w:color w:val="FFFFFF"/>
                    <w:position w:val="2"/>
                    <w:sz w:val="22"/>
                    <w:shd w:fill="0075BD" w:color="auto" w:val="clear"/>
                  </w:rPr>
                  <w:tab/>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882048" from="36pt,61.9501pt" to="576pt,61.9501pt" stroked="true" strokeweight=".75pt" strokecolor="#0075bd">
          <v:stroke dashstyle="solid"/>
          <w10:wrap type="none"/>
        </v:line>
      </w:pict>
    </w:r>
    <w:r>
      <w:rPr/>
      <w:pict>
        <v:shape style="position:absolute;margin-left:405.679993pt;margin-top:38.480pt;width:209.35pt;height:14.25pt;mso-position-horizontal-relative:page;mso-position-vertical-relative:page;z-index:-266881024" type="#_x0000_t202" filled="false" stroked="false">
          <v:textbox inset="0,0,0,0">
            <w:txbxContent>
              <w:p>
                <w:pPr>
                  <w:tabs>
                    <w:tab w:pos="4126" w:val="left" w:leader="none"/>
                  </w:tabs>
                  <w:spacing w:line="269" w:lineRule="exact" w:before="0"/>
                  <w:ind w:left="20" w:right="0" w:firstLine="0"/>
                  <w:jc w:val="left"/>
                  <w:rPr>
                    <w:sz w:val="22"/>
                  </w:rPr>
                </w:pPr>
                <w:r>
                  <w:rPr>
                    <w:sz w:val="22"/>
                  </w:rPr>
                  <w:t>Audit and Finance Committee Report</w:t>
                </w:r>
                <w:r>
                  <w:rPr>
                    <w:color w:val="FFFFFF"/>
                    <w:position w:val="2"/>
                    <w:sz w:val="22"/>
                    <w:shd w:fill="0075BD" w:color="auto" w:val="clear"/>
                  </w:rPr>
                  <w:t>  </w:t>
                </w:r>
                <w:r>
                  <w:rPr>
                    <w:color w:val="FFFFFF"/>
                    <w:spacing w:val="46"/>
                    <w:position w:val="2"/>
                    <w:sz w:val="22"/>
                    <w:shd w:fill="0075BD" w:color="auto" w:val="clear"/>
                  </w:rPr>
                  <w:t> </w:t>
                </w:r>
                <w:r>
                  <w:rPr/>
                  <w:fldChar w:fldCharType="begin"/>
                </w:r>
                <w:r>
                  <w:rPr>
                    <w:color w:val="FFFFFF"/>
                    <w:position w:val="2"/>
                    <w:sz w:val="22"/>
                    <w:shd w:fill="0075BD" w:color="auto" w:val="clear"/>
                  </w:rPr>
                  <w:instrText> PAGE </w:instrText>
                </w:r>
                <w:r>
                  <w:rPr/>
                  <w:fldChar w:fldCharType="separate"/>
                </w:r>
                <w:r>
                  <w:rPr/>
                  <w:t>4</w:t>
                </w:r>
                <w:r>
                  <w:rPr/>
                  <w:fldChar w:fldCharType="end"/>
                </w:r>
                <w:r>
                  <w:rPr>
                    <w:color w:val="FFFFFF"/>
                    <w:position w:val="2"/>
                    <w:sz w:val="22"/>
                    <w:shd w:fill="0075BD" w:color="auto" w:val="clear"/>
                  </w:rPr>
                  <w:tab/>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878976" from="36pt,61.9501pt" to="576pt,61.9501pt" stroked="true" strokeweight=".75pt" strokecolor="#0075bd">
          <v:stroke dashstyle="solid"/>
          <w10:wrap type="none"/>
        </v:line>
      </w:pict>
    </w:r>
    <w:r>
      <w:rPr/>
      <w:pict>
        <v:shape style="position:absolute;margin-left:405.679993pt;margin-top:38.480pt;width:209.35pt;height:14.25pt;mso-position-horizontal-relative:page;mso-position-vertical-relative:page;z-index:-266877952" type="#_x0000_t202" filled="false" stroked="false">
          <v:textbox inset="0,0,0,0">
            <w:txbxContent>
              <w:p>
                <w:pPr>
                  <w:tabs>
                    <w:tab w:pos="4126" w:val="left" w:leader="none"/>
                  </w:tabs>
                  <w:spacing w:line="269" w:lineRule="exact" w:before="0"/>
                  <w:ind w:left="20" w:right="0" w:firstLine="0"/>
                  <w:jc w:val="left"/>
                  <w:rPr>
                    <w:sz w:val="22"/>
                  </w:rPr>
                </w:pPr>
                <w:r>
                  <w:rPr>
                    <w:sz w:val="22"/>
                  </w:rPr>
                  <w:t>Audit and Finance Committee Report</w:t>
                </w:r>
                <w:r>
                  <w:rPr>
                    <w:color w:val="FFFFFF"/>
                    <w:position w:val="2"/>
                    <w:sz w:val="22"/>
                    <w:shd w:fill="0075BD" w:color="auto" w:val="clear"/>
                  </w:rPr>
                  <w:t>  </w:t>
                </w:r>
                <w:r>
                  <w:rPr>
                    <w:color w:val="FFFFFF"/>
                    <w:spacing w:val="46"/>
                    <w:position w:val="2"/>
                    <w:sz w:val="22"/>
                    <w:shd w:fill="0075BD" w:color="auto" w:val="clear"/>
                  </w:rPr>
                  <w:t> </w:t>
                </w:r>
                <w:r>
                  <w:rPr/>
                  <w:fldChar w:fldCharType="begin"/>
                </w:r>
                <w:r>
                  <w:rPr>
                    <w:color w:val="FFFFFF"/>
                    <w:position w:val="2"/>
                    <w:sz w:val="22"/>
                    <w:shd w:fill="0075BD" w:color="auto" w:val="clear"/>
                  </w:rPr>
                  <w:instrText> PAGE </w:instrText>
                </w:r>
                <w:r>
                  <w:rPr/>
                  <w:fldChar w:fldCharType="separate"/>
                </w:r>
                <w:r>
                  <w:rPr/>
                  <w:t>6</w:t>
                </w:r>
                <w:r>
                  <w:rPr/>
                  <w:fldChar w:fldCharType="end"/>
                </w:r>
                <w:r>
                  <w:rPr>
                    <w:color w:val="FFFFFF"/>
                    <w:position w:val="2"/>
                    <w:sz w:val="22"/>
                    <w:shd w:fill="0075BD" w:color="auto" w:val="clear"/>
                  </w:rPr>
                  <w:tab/>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876928" from="36pt,61.9501pt" to="576pt,61.9501pt" stroked="true" strokeweight=".75pt" strokecolor="#0075bd">
          <v:stroke dashstyle="solid"/>
          <w10:wrap type="none"/>
        </v:line>
      </w:pict>
    </w:r>
    <w:r>
      <w:rPr/>
      <w:pict>
        <v:shape style="position:absolute;margin-left:405.679993pt;margin-top:38.480pt;width:209.35pt;height:14.25pt;mso-position-horizontal-relative:page;mso-position-vertical-relative:page;z-index:-266875904" type="#_x0000_t202" filled="false" stroked="false">
          <v:textbox inset="0,0,0,0">
            <w:txbxContent>
              <w:p>
                <w:pPr>
                  <w:tabs>
                    <w:tab w:pos="4126" w:val="left" w:leader="none"/>
                  </w:tabs>
                  <w:spacing w:line="269" w:lineRule="exact" w:before="0"/>
                  <w:ind w:left="20" w:right="0" w:firstLine="0"/>
                  <w:jc w:val="left"/>
                  <w:rPr>
                    <w:sz w:val="22"/>
                  </w:rPr>
                </w:pPr>
                <w:r>
                  <w:rPr>
                    <w:sz w:val="22"/>
                  </w:rPr>
                  <w:t>Audit and Finance Committee Report</w:t>
                </w:r>
                <w:r>
                  <w:rPr>
                    <w:color w:val="FFFFFF"/>
                    <w:position w:val="2"/>
                    <w:sz w:val="22"/>
                    <w:shd w:fill="0075BD" w:color="auto" w:val="clear"/>
                  </w:rPr>
                  <w:t>  </w:t>
                </w:r>
                <w:r>
                  <w:rPr>
                    <w:color w:val="FFFFFF"/>
                    <w:spacing w:val="46"/>
                    <w:position w:val="2"/>
                    <w:sz w:val="22"/>
                    <w:shd w:fill="0075BD" w:color="auto" w:val="clear"/>
                  </w:rPr>
                  <w:t> </w:t>
                </w:r>
                <w:r>
                  <w:rPr/>
                  <w:fldChar w:fldCharType="begin"/>
                </w:r>
                <w:r>
                  <w:rPr>
                    <w:color w:val="FFFFFF"/>
                    <w:position w:val="2"/>
                    <w:sz w:val="22"/>
                    <w:shd w:fill="0075BD" w:color="auto" w:val="clear"/>
                  </w:rPr>
                  <w:instrText> PAGE </w:instrText>
                </w:r>
                <w:r>
                  <w:rPr/>
                  <w:fldChar w:fldCharType="separate"/>
                </w:r>
                <w:r>
                  <w:rPr/>
                  <w:t>7</w:t>
                </w:r>
                <w:r>
                  <w:rPr/>
                  <w:fldChar w:fldCharType="end"/>
                </w:r>
                <w:r>
                  <w:rPr>
                    <w:color w:val="FFFFFF"/>
                    <w:position w:val="2"/>
                    <w:sz w:val="22"/>
                    <w:shd w:fill="0075BD" w:color="auto" w:val="clear"/>
                  </w:rPr>
                  <w:tab/>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873856" from="36pt,61.9501pt" to="576pt,61.9501pt" stroked="true" strokeweight=".75pt" strokecolor="#0075bd">
          <v:stroke dashstyle="solid"/>
          <w10:wrap type="none"/>
        </v:line>
      </w:pict>
    </w:r>
    <w:r>
      <w:rPr/>
      <w:pict>
        <v:shape style="position:absolute;margin-left:405.679993pt;margin-top:38.480pt;width:209.35pt;height:14.25pt;mso-position-horizontal-relative:page;mso-position-vertical-relative:page;z-index:-266872832" type="#_x0000_t202" filled="false" stroked="false">
          <v:textbox inset="0,0,0,0">
            <w:txbxContent>
              <w:p>
                <w:pPr>
                  <w:tabs>
                    <w:tab w:pos="4126" w:val="left" w:leader="none"/>
                  </w:tabs>
                  <w:spacing w:line="269" w:lineRule="exact" w:before="0"/>
                  <w:ind w:left="20" w:right="0" w:firstLine="0"/>
                  <w:jc w:val="left"/>
                  <w:rPr>
                    <w:sz w:val="22"/>
                  </w:rPr>
                </w:pPr>
                <w:r>
                  <w:rPr>
                    <w:sz w:val="22"/>
                  </w:rPr>
                  <w:t>Audit and Finance Committee Report</w:t>
                </w:r>
                <w:r>
                  <w:rPr>
                    <w:color w:val="FFFFFF"/>
                    <w:position w:val="2"/>
                    <w:sz w:val="22"/>
                    <w:shd w:fill="0075BD" w:color="auto" w:val="clear"/>
                  </w:rPr>
                  <w:t>  </w:t>
                </w:r>
                <w:r>
                  <w:rPr>
                    <w:color w:val="FFFFFF"/>
                    <w:spacing w:val="46"/>
                    <w:position w:val="2"/>
                    <w:sz w:val="22"/>
                    <w:shd w:fill="0075BD" w:color="auto" w:val="clear"/>
                  </w:rPr>
                  <w:t> </w:t>
                </w:r>
                <w:r>
                  <w:rPr/>
                  <w:fldChar w:fldCharType="begin"/>
                </w:r>
                <w:r>
                  <w:rPr>
                    <w:color w:val="FFFFFF"/>
                    <w:position w:val="2"/>
                    <w:sz w:val="22"/>
                    <w:shd w:fill="0075BD" w:color="auto" w:val="clear"/>
                  </w:rPr>
                  <w:instrText> PAGE </w:instrText>
                </w:r>
                <w:r>
                  <w:rPr/>
                  <w:fldChar w:fldCharType="separate"/>
                </w:r>
                <w:r>
                  <w:rPr/>
                  <w:t>8</w:t>
                </w:r>
                <w:r>
                  <w:rPr/>
                  <w:fldChar w:fldCharType="end"/>
                </w:r>
                <w:r>
                  <w:rPr>
                    <w:color w:val="FFFFFF"/>
                    <w:position w:val="2"/>
                    <w:sz w:val="22"/>
                    <w:shd w:fill="0075BD" w:color="auto" w:val="clear"/>
                  </w:rPr>
                  <w:tab/>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870784" from="36pt,61.9501pt" to="576pt,61.9501pt" stroked="true" strokeweight=".75pt" strokecolor="#0075bd">
          <v:stroke dashstyle="solid"/>
          <w10:wrap type="none"/>
        </v:line>
      </w:pict>
    </w:r>
    <w:r>
      <w:rPr/>
      <w:pict>
        <v:shape style="position:absolute;margin-left:405.679993pt;margin-top:38.480pt;width:209.35pt;height:14.25pt;mso-position-horizontal-relative:page;mso-position-vertical-relative:page;z-index:-266869760" type="#_x0000_t202" filled="false" stroked="false">
          <v:textbox inset="0,0,0,0">
            <w:txbxContent>
              <w:p>
                <w:pPr>
                  <w:tabs>
                    <w:tab w:pos="4126" w:val="left" w:leader="none"/>
                  </w:tabs>
                  <w:spacing w:line="269" w:lineRule="exact" w:before="0"/>
                  <w:ind w:left="20" w:right="0" w:firstLine="0"/>
                  <w:jc w:val="left"/>
                  <w:rPr>
                    <w:sz w:val="22"/>
                  </w:rPr>
                </w:pPr>
                <w:r>
                  <w:rPr>
                    <w:sz w:val="22"/>
                  </w:rPr>
                  <w:t>Audit and Finance Committee Report</w:t>
                </w:r>
                <w:r>
                  <w:rPr>
                    <w:color w:val="FFFFFF"/>
                    <w:position w:val="2"/>
                    <w:sz w:val="22"/>
                    <w:shd w:fill="0075BD" w:color="auto" w:val="clear"/>
                  </w:rPr>
                  <w:t>  </w:t>
                </w:r>
                <w:r>
                  <w:rPr>
                    <w:color w:val="FFFFFF"/>
                    <w:spacing w:val="46"/>
                    <w:position w:val="2"/>
                    <w:sz w:val="22"/>
                    <w:shd w:fill="0075BD" w:color="auto" w:val="clear"/>
                  </w:rPr>
                  <w:t> </w:t>
                </w:r>
                <w:r>
                  <w:rPr/>
                  <w:fldChar w:fldCharType="begin"/>
                </w:r>
                <w:r>
                  <w:rPr>
                    <w:color w:val="FFFFFF"/>
                    <w:position w:val="2"/>
                    <w:sz w:val="22"/>
                    <w:shd w:fill="0075BD" w:color="auto" w:val="clear"/>
                  </w:rPr>
                  <w:instrText> PAGE </w:instrText>
                </w:r>
                <w:r>
                  <w:rPr/>
                  <w:fldChar w:fldCharType="separate"/>
                </w:r>
                <w:r>
                  <w:rPr/>
                  <w:t>9</w:t>
                </w:r>
                <w:r>
                  <w:rPr/>
                  <w:fldChar w:fldCharType="end"/>
                </w:r>
                <w:r>
                  <w:rPr>
                    <w:color w:val="FFFFFF"/>
                    <w:position w:val="2"/>
                    <w:sz w:val="22"/>
                    <w:shd w:fill="0075BD" w:color="auto" w:val="clear"/>
                  </w:rPr>
                  <w:tab/>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867712" from="36pt,61.9501pt" to="576pt,61.9501pt" stroked="true" strokeweight=".75pt" strokecolor="#0075bd">
          <v:stroke dashstyle="solid"/>
          <w10:wrap type="none"/>
        </v:line>
      </w:pict>
    </w:r>
    <w:r>
      <w:rPr/>
      <w:pict>
        <v:shape style="position:absolute;margin-left:405.679993pt;margin-top:38.480pt;width:209.35pt;height:14.25pt;mso-position-horizontal-relative:page;mso-position-vertical-relative:page;z-index:-266866688" type="#_x0000_t202" filled="false" stroked="false">
          <v:textbox inset="0,0,0,0">
            <w:txbxContent>
              <w:p>
                <w:pPr>
                  <w:tabs>
                    <w:tab w:pos="4126" w:val="left" w:leader="none"/>
                  </w:tabs>
                  <w:spacing w:line="269" w:lineRule="exact" w:before="0"/>
                  <w:ind w:left="20" w:right="0" w:firstLine="0"/>
                  <w:jc w:val="left"/>
                  <w:rPr>
                    <w:sz w:val="22"/>
                  </w:rPr>
                </w:pPr>
                <w:r>
                  <w:rPr>
                    <w:sz w:val="22"/>
                  </w:rPr>
                  <w:t>Audit and Finance Committee Report</w:t>
                </w:r>
                <w:r>
                  <w:rPr>
                    <w:color w:val="FFFFFF"/>
                    <w:position w:val="2"/>
                    <w:sz w:val="22"/>
                    <w:shd w:fill="0075BD" w:color="auto" w:val="clear"/>
                  </w:rPr>
                  <w:t>  </w:t>
                </w:r>
                <w:r>
                  <w:rPr>
                    <w:color w:val="FFFFFF"/>
                    <w:spacing w:val="47"/>
                    <w:position w:val="2"/>
                    <w:sz w:val="22"/>
                    <w:shd w:fill="0075BD" w:color="auto" w:val="clear"/>
                  </w:rPr>
                  <w:t> </w:t>
                </w:r>
                <w:r>
                  <w:rPr/>
                  <w:fldChar w:fldCharType="begin"/>
                </w:r>
                <w:r>
                  <w:rPr>
                    <w:color w:val="FFFFFF"/>
                    <w:position w:val="2"/>
                    <w:sz w:val="22"/>
                    <w:shd w:fill="0075BD" w:color="auto" w:val="clear"/>
                  </w:rPr>
                  <w:instrText> PAGE </w:instrText>
                </w:r>
                <w:r>
                  <w:rPr/>
                  <w:fldChar w:fldCharType="separate"/>
                </w:r>
                <w:r>
                  <w:rPr/>
                  <w:t>13</w:t>
                </w:r>
                <w:r>
                  <w:rPr/>
                  <w:fldChar w:fldCharType="end"/>
                </w:r>
                <w:r>
                  <w:rPr>
                    <w:color w:val="FFFFFF"/>
                    <w:position w:val="2"/>
                    <w:sz w:val="22"/>
                    <w:shd w:fill="0075BD" w:color="auto" w:val="clear"/>
                  </w:rPr>
                  <w:tab/>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865664" from="36pt,61.9501pt" to="576pt,61.9501pt" stroked="true" strokeweight=".75pt" strokecolor="#0075bd">
          <v:stroke dashstyle="solid"/>
          <w10:wrap type="none"/>
        </v:line>
      </w:pict>
    </w:r>
    <w:r>
      <w:rPr/>
      <w:pict>
        <v:shape style="position:absolute;margin-left:405.679993pt;margin-top:38.480pt;width:209.35pt;height:14.25pt;mso-position-horizontal-relative:page;mso-position-vertical-relative:page;z-index:-266864640" type="#_x0000_t202" filled="false" stroked="false">
          <v:textbox inset="0,0,0,0">
            <w:txbxContent>
              <w:p>
                <w:pPr>
                  <w:tabs>
                    <w:tab w:pos="4126" w:val="left" w:leader="none"/>
                  </w:tabs>
                  <w:spacing w:line="269" w:lineRule="exact" w:before="0"/>
                  <w:ind w:left="20" w:right="0" w:firstLine="0"/>
                  <w:jc w:val="left"/>
                  <w:rPr>
                    <w:sz w:val="22"/>
                  </w:rPr>
                </w:pPr>
                <w:r>
                  <w:rPr>
                    <w:sz w:val="22"/>
                  </w:rPr>
                  <w:t>Audit and Finance Committee Report</w:t>
                </w:r>
                <w:r>
                  <w:rPr>
                    <w:color w:val="FFFFFF"/>
                    <w:position w:val="2"/>
                    <w:sz w:val="22"/>
                    <w:shd w:fill="0075BD" w:color="auto" w:val="clear"/>
                  </w:rPr>
                  <w:t>  </w:t>
                </w:r>
                <w:r>
                  <w:rPr>
                    <w:color w:val="FFFFFF"/>
                    <w:spacing w:val="47"/>
                    <w:position w:val="2"/>
                    <w:sz w:val="22"/>
                    <w:shd w:fill="0075BD" w:color="auto" w:val="clear"/>
                  </w:rPr>
                  <w:t> </w:t>
                </w:r>
                <w:r>
                  <w:rPr/>
                  <w:fldChar w:fldCharType="begin"/>
                </w:r>
                <w:r>
                  <w:rPr>
                    <w:color w:val="FFFFFF"/>
                    <w:position w:val="2"/>
                    <w:sz w:val="22"/>
                    <w:shd w:fill="0075BD" w:color="auto" w:val="clear"/>
                  </w:rPr>
                  <w:instrText> PAGE </w:instrText>
                </w:r>
                <w:r>
                  <w:rPr/>
                  <w:fldChar w:fldCharType="separate"/>
                </w:r>
                <w:r>
                  <w:rPr/>
                  <w:t>14</w:t>
                </w:r>
                <w:r>
                  <w:rPr/>
                  <w:fldChar w:fldCharType="end"/>
                </w:r>
                <w:r>
                  <w:rPr>
                    <w:color w:val="FFFFFF"/>
                    <w:position w:val="2"/>
                    <w:sz w:val="22"/>
                    <w:shd w:fill="0075BD" w:color="auto" w:val="clear"/>
                  </w:rPr>
                  <w:tab/>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863616" from="36pt,61.9501pt" to="576pt,61.9501pt" stroked="true" strokeweight=".75pt" strokecolor="#0075bd">
          <v:stroke dashstyle="solid"/>
          <w10:wrap type="none"/>
        </v:line>
      </w:pict>
    </w:r>
    <w:r>
      <w:rPr/>
      <w:pict>
        <v:shape style="position:absolute;margin-left:405.679993pt;margin-top:38.480pt;width:209.35pt;height:14.25pt;mso-position-horizontal-relative:page;mso-position-vertical-relative:page;z-index:-266862592" type="#_x0000_t202" filled="false" stroked="false">
          <v:textbox inset="0,0,0,0">
            <w:txbxContent>
              <w:p>
                <w:pPr>
                  <w:tabs>
                    <w:tab w:pos="4126" w:val="left" w:leader="none"/>
                  </w:tabs>
                  <w:spacing w:line="269" w:lineRule="exact" w:before="0"/>
                  <w:ind w:left="20" w:right="0" w:firstLine="0"/>
                  <w:jc w:val="left"/>
                  <w:rPr>
                    <w:sz w:val="22"/>
                  </w:rPr>
                </w:pPr>
                <w:r>
                  <w:rPr>
                    <w:sz w:val="22"/>
                  </w:rPr>
                  <w:t>Audit and Finance Committee Report</w:t>
                </w:r>
                <w:r>
                  <w:rPr>
                    <w:color w:val="FFFFFF"/>
                    <w:position w:val="2"/>
                    <w:sz w:val="22"/>
                    <w:shd w:fill="0075BD" w:color="auto" w:val="clear"/>
                  </w:rPr>
                  <w:t>  </w:t>
                </w:r>
                <w:r>
                  <w:rPr>
                    <w:color w:val="FFFFFF"/>
                    <w:spacing w:val="47"/>
                    <w:position w:val="2"/>
                    <w:sz w:val="22"/>
                    <w:shd w:fill="0075BD" w:color="auto" w:val="clear"/>
                  </w:rPr>
                  <w:t> </w:t>
                </w:r>
                <w:r>
                  <w:rPr/>
                  <w:fldChar w:fldCharType="begin"/>
                </w:r>
                <w:r>
                  <w:rPr>
                    <w:color w:val="FFFFFF"/>
                    <w:position w:val="2"/>
                    <w:sz w:val="22"/>
                    <w:shd w:fill="0075BD" w:color="auto" w:val="clear"/>
                  </w:rPr>
                  <w:instrText> PAGE </w:instrText>
                </w:r>
                <w:r>
                  <w:rPr/>
                  <w:fldChar w:fldCharType="separate"/>
                </w:r>
                <w:r>
                  <w:rPr/>
                  <w:t>15</w:t>
                </w:r>
                <w:r>
                  <w:rPr/>
                  <w:fldChar w:fldCharType="end"/>
                </w:r>
                <w:r>
                  <w:rPr>
                    <w:color w:val="FFFFFF"/>
                    <w:position w:val="2"/>
                    <w:sz w:val="22"/>
                    <w:shd w:fill="0075BD" w:color="auto" w:val="clear"/>
                  </w:rPr>
                  <w:tab/>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240005pt;margin-top:80.388245pt;width:169.15pt;height:26.3pt;mso-position-horizontal-relative:page;mso-position-vertical-relative:page;z-index:-266861568" type="#_x0000_t202" filled="false" stroked="false">
          <v:textbox inset="0,0,0,0">
            <w:txbxContent>
              <w:p>
                <w:pPr>
                  <w:spacing w:before="0"/>
                  <w:ind w:left="20" w:right="0" w:firstLine="0"/>
                  <w:jc w:val="left"/>
                  <w:rPr>
                    <w:rFonts w:ascii="Times New Roman"/>
                    <w:b/>
                    <w:sz w:val="44"/>
                  </w:rPr>
                </w:pPr>
                <w:r>
                  <w:rPr>
                    <w:rFonts w:ascii="Times New Roman"/>
                    <w:b/>
                    <w:color w:val="FF6600"/>
                    <w:sz w:val="44"/>
                  </w:rPr>
                  <w:t>Table of Contents</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7.839996pt;margin-top:80.86824pt;width:156.1pt;height:26.3pt;mso-position-horizontal-relative:page;mso-position-vertical-relative:page;z-index:-266860544" type="#_x0000_t202" filled="false" stroked="false">
          <v:textbox inset="0,0,0,0">
            <w:txbxContent>
              <w:p>
                <w:pPr>
                  <w:spacing w:before="0"/>
                  <w:ind w:left="20" w:right="0" w:firstLine="0"/>
                  <w:jc w:val="left"/>
                  <w:rPr>
                    <w:rFonts w:ascii="Times New Roman"/>
                    <w:b/>
                    <w:sz w:val="44"/>
                  </w:rPr>
                </w:pPr>
                <w:r>
                  <w:rPr>
                    <w:rFonts w:ascii="Times New Roman"/>
                    <w:b/>
                    <w:color w:val="FF6600"/>
                    <w:sz w:val="44"/>
                  </w:rPr>
                  <w:t>Named Insureds</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80014pt;margin-top:81.108246pt;width:183.2pt;height:26.3pt;mso-position-horizontal-relative:page;mso-position-vertical-relative:page;z-index:-266859520" type="#_x0000_t202" filled="false" stroked="false">
          <v:textbox inset="0,0,0,0">
            <w:txbxContent>
              <w:p>
                <w:pPr>
                  <w:spacing w:before="0"/>
                  <w:ind w:left="20" w:right="0" w:firstLine="0"/>
                  <w:jc w:val="left"/>
                  <w:rPr>
                    <w:rFonts w:ascii="Times New Roman"/>
                    <w:b/>
                    <w:sz w:val="44"/>
                  </w:rPr>
                </w:pPr>
                <w:r>
                  <w:rPr>
                    <w:rFonts w:ascii="Times New Roman"/>
                    <w:b/>
                    <w:color w:val="FF6600"/>
                    <w:sz w:val="44"/>
                  </w:rPr>
                  <w:t>Markets Contacted</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101" w:hanging="272"/>
      </w:pPr>
      <w:rPr>
        <w:rFonts w:hint="default" w:ascii="Arial" w:hAnsi="Arial" w:eastAsia="Arial" w:cs="Arial"/>
        <w:w w:val="100"/>
        <w:sz w:val="28"/>
        <w:szCs w:val="28"/>
      </w:rPr>
    </w:lvl>
    <w:lvl w:ilvl="1">
      <w:start w:val="0"/>
      <w:numFmt w:val="bullet"/>
      <w:lvlText w:val="•"/>
      <w:lvlJc w:val="left"/>
      <w:pPr>
        <w:ind w:left="1719" w:hanging="272"/>
      </w:pPr>
      <w:rPr>
        <w:rFonts w:hint="default"/>
      </w:rPr>
    </w:lvl>
    <w:lvl w:ilvl="2">
      <w:start w:val="0"/>
      <w:numFmt w:val="bullet"/>
      <w:lvlText w:val="•"/>
      <w:lvlJc w:val="left"/>
      <w:pPr>
        <w:ind w:left="2339" w:hanging="272"/>
      </w:pPr>
      <w:rPr>
        <w:rFonts w:hint="default"/>
      </w:rPr>
    </w:lvl>
    <w:lvl w:ilvl="3">
      <w:start w:val="0"/>
      <w:numFmt w:val="bullet"/>
      <w:lvlText w:val="•"/>
      <w:lvlJc w:val="left"/>
      <w:pPr>
        <w:ind w:left="2959" w:hanging="272"/>
      </w:pPr>
      <w:rPr>
        <w:rFonts w:hint="default"/>
      </w:rPr>
    </w:lvl>
    <w:lvl w:ilvl="4">
      <w:start w:val="0"/>
      <w:numFmt w:val="bullet"/>
      <w:lvlText w:val="•"/>
      <w:lvlJc w:val="left"/>
      <w:pPr>
        <w:ind w:left="3579" w:hanging="272"/>
      </w:pPr>
      <w:rPr>
        <w:rFonts w:hint="default"/>
      </w:rPr>
    </w:lvl>
    <w:lvl w:ilvl="5">
      <w:start w:val="0"/>
      <w:numFmt w:val="bullet"/>
      <w:lvlText w:val="•"/>
      <w:lvlJc w:val="left"/>
      <w:pPr>
        <w:ind w:left="4199" w:hanging="272"/>
      </w:pPr>
      <w:rPr>
        <w:rFonts w:hint="default"/>
      </w:rPr>
    </w:lvl>
    <w:lvl w:ilvl="6">
      <w:start w:val="0"/>
      <w:numFmt w:val="bullet"/>
      <w:lvlText w:val="•"/>
      <w:lvlJc w:val="left"/>
      <w:pPr>
        <w:ind w:left="4819" w:hanging="272"/>
      </w:pPr>
      <w:rPr>
        <w:rFonts w:hint="default"/>
      </w:rPr>
    </w:lvl>
    <w:lvl w:ilvl="7">
      <w:start w:val="0"/>
      <w:numFmt w:val="bullet"/>
      <w:lvlText w:val="•"/>
      <w:lvlJc w:val="left"/>
      <w:pPr>
        <w:ind w:left="5439" w:hanging="272"/>
      </w:pPr>
      <w:rPr>
        <w:rFonts w:hint="default"/>
      </w:rPr>
    </w:lvl>
    <w:lvl w:ilvl="8">
      <w:start w:val="0"/>
      <w:numFmt w:val="bullet"/>
      <w:lvlText w:val="•"/>
      <w:lvlJc w:val="left"/>
      <w:pPr>
        <w:ind w:left="6059" w:hanging="272"/>
      </w:pPr>
      <w:rPr>
        <w:rFonts w:hint="default"/>
      </w:rPr>
    </w:lvl>
  </w:abstractNum>
  <w:abstractNum w:abstractNumId="14">
    <w:multiLevelType w:val="hybridMultilevel"/>
    <w:lvl w:ilvl="0">
      <w:start w:val="1"/>
      <w:numFmt w:val="decimal"/>
      <w:lvlText w:val="%1)"/>
      <w:lvlJc w:val="left"/>
      <w:pPr>
        <w:ind w:left="1060" w:hanging="360"/>
        <w:jc w:val="left"/>
      </w:pPr>
      <w:rPr>
        <w:rFonts w:hint="default" w:ascii="Calibri" w:hAnsi="Calibri" w:eastAsia="Calibri" w:cs="Calibri"/>
        <w:spacing w:val="-2"/>
        <w:w w:val="100"/>
        <w:sz w:val="22"/>
        <w:szCs w:val="22"/>
      </w:rPr>
    </w:lvl>
    <w:lvl w:ilvl="1">
      <w:start w:val="0"/>
      <w:numFmt w:val="bullet"/>
      <w:lvlText w:val="•"/>
      <w:lvlJc w:val="left"/>
      <w:pPr>
        <w:ind w:left="2048" w:hanging="360"/>
      </w:pPr>
      <w:rPr>
        <w:rFonts w:hint="default"/>
      </w:rPr>
    </w:lvl>
    <w:lvl w:ilvl="2">
      <w:start w:val="0"/>
      <w:numFmt w:val="bullet"/>
      <w:lvlText w:val="•"/>
      <w:lvlJc w:val="left"/>
      <w:pPr>
        <w:ind w:left="3036" w:hanging="360"/>
      </w:pPr>
      <w:rPr>
        <w:rFonts w:hint="default"/>
      </w:rPr>
    </w:lvl>
    <w:lvl w:ilvl="3">
      <w:start w:val="0"/>
      <w:numFmt w:val="bullet"/>
      <w:lvlText w:val="•"/>
      <w:lvlJc w:val="left"/>
      <w:pPr>
        <w:ind w:left="4024" w:hanging="360"/>
      </w:pPr>
      <w:rPr>
        <w:rFonts w:hint="default"/>
      </w:rPr>
    </w:lvl>
    <w:lvl w:ilvl="4">
      <w:start w:val="0"/>
      <w:numFmt w:val="bullet"/>
      <w:lvlText w:val="•"/>
      <w:lvlJc w:val="left"/>
      <w:pPr>
        <w:ind w:left="5012" w:hanging="360"/>
      </w:pPr>
      <w:rPr>
        <w:rFonts w:hint="default"/>
      </w:rPr>
    </w:lvl>
    <w:lvl w:ilvl="5">
      <w:start w:val="0"/>
      <w:numFmt w:val="bullet"/>
      <w:lvlText w:val="•"/>
      <w:lvlJc w:val="left"/>
      <w:pPr>
        <w:ind w:left="6000" w:hanging="360"/>
      </w:pPr>
      <w:rPr>
        <w:rFonts w:hint="default"/>
      </w:rPr>
    </w:lvl>
    <w:lvl w:ilvl="6">
      <w:start w:val="0"/>
      <w:numFmt w:val="bullet"/>
      <w:lvlText w:val="•"/>
      <w:lvlJc w:val="left"/>
      <w:pPr>
        <w:ind w:left="6988" w:hanging="360"/>
      </w:pPr>
      <w:rPr>
        <w:rFonts w:hint="default"/>
      </w:rPr>
    </w:lvl>
    <w:lvl w:ilvl="7">
      <w:start w:val="0"/>
      <w:numFmt w:val="bullet"/>
      <w:lvlText w:val="•"/>
      <w:lvlJc w:val="left"/>
      <w:pPr>
        <w:ind w:left="7976" w:hanging="360"/>
      </w:pPr>
      <w:rPr>
        <w:rFonts w:hint="default"/>
      </w:rPr>
    </w:lvl>
    <w:lvl w:ilvl="8">
      <w:start w:val="0"/>
      <w:numFmt w:val="bullet"/>
      <w:lvlText w:val="•"/>
      <w:lvlJc w:val="left"/>
      <w:pPr>
        <w:ind w:left="8964" w:hanging="360"/>
      </w:pPr>
      <w:rPr>
        <w:rFonts w:hint="default"/>
      </w:rPr>
    </w:lvl>
  </w:abstractNum>
  <w:abstractNum w:abstractNumId="13">
    <w:multiLevelType w:val="hybridMultilevel"/>
    <w:lvl w:ilvl="0">
      <w:start w:val="1"/>
      <w:numFmt w:val="decimal"/>
      <w:lvlText w:val="%1)"/>
      <w:lvlJc w:val="left"/>
      <w:pPr>
        <w:ind w:left="971" w:hanging="272"/>
        <w:jc w:val="left"/>
      </w:pPr>
      <w:rPr>
        <w:rFonts w:hint="default" w:ascii="Calibri Light" w:hAnsi="Calibri Light" w:eastAsia="Calibri Light" w:cs="Calibri Light"/>
        <w:spacing w:val="0"/>
        <w:w w:val="100"/>
        <w:sz w:val="22"/>
        <w:szCs w:val="22"/>
      </w:rPr>
    </w:lvl>
    <w:lvl w:ilvl="1">
      <w:start w:val="1"/>
      <w:numFmt w:val="lowerLetter"/>
      <w:lvlText w:val="%2."/>
      <w:lvlJc w:val="left"/>
      <w:pPr>
        <w:ind w:left="1420" w:hanging="360"/>
        <w:jc w:val="left"/>
      </w:pPr>
      <w:rPr>
        <w:rFonts w:hint="default" w:ascii="Calibri" w:hAnsi="Calibri" w:eastAsia="Calibri" w:cs="Calibri"/>
        <w:w w:val="100"/>
        <w:sz w:val="22"/>
        <w:szCs w:val="22"/>
      </w:rPr>
    </w:lvl>
    <w:lvl w:ilvl="2">
      <w:start w:val="0"/>
      <w:numFmt w:val="bullet"/>
      <w:lvlText w:val=""/>
      <w:lvlJc w:val="left"/>
      <w:pPr>
        <w:ind w:left="1780" w:hanging="360"/>
      </w:pPr>
      <w:rPr>
        <w:rFonts w:hint="default" w:ascii="Symbol" w:hAnsi="Symbol" w:eastAsia="Symbol" w:cs="Symbol"/>
        <w:w w:val="100"/>
        <w:sz w:val="22"/>
        <w:szCs w:val="22"/>
      </w:rPr>
    </w:lvl>
    <w:lvl w:ilvl="3">
      <w:start w:val="0"/>
      <w:numFmt w:val="bullet"/>
      <w:lvlText w:val="•"/>
      <w:lvlJc w:val="left"/>
      <w:pPr>
        <w:ind w:left="2925" w:hanging="360"/>
      </w:pPr>
      <w:rPr>
        <w:rFonts w:hint="default"/>
      </w:rPr>
    </w:lvl>
    <w:lvl w:ilvl="4">
      <w:start w:val="0"/>
      <w:numFmt w:val="bullet"/>
      <w:lvlText w:val="•"/>
      <w:lvlJc w:val="left"/>
      <w:pPr>
        <w:ind w:left="4070" w:hanging="360"/>
      </w:pPr>
      <w:rPr>
        <w:rFonts w:hint="default"/>
      </w:rPr>
    </w:lvl>
    <w:lvl w:ilvl="5">
      <w:start w:val="0"/>
      <w:numFmt w:val="bullet"/>
      <w:lvlText w:val="•"/>
      <w:lvlJc w:val="left"/>
      <w:pPr>
        <w:ind w:left="5215" w:hanging="360"/>
      </w:pPr>
      <w:rPr>
        <w:rFonts w:hint="default"/>
      </w:rPr>
    </w:lvl>
    <w:lvl w:ilvl="6">
      <w:start w:val="0"/>
      <w:numFmt w:val="bullet"/>
      <w:lvlText w:val="•"/>
      <w:lvlJc w:val="left"/>
      <w:pPr>
        <w:ind w:left="6360" w:hanging="360"/>
      </w:pPr>
      <w:rPr>
        <w:rFonts w:hint="default"/>
      </w:rPr>
    </w:lvl>
    <w:lvl w:ilvl="7">
      <w:start w:val="0"/>
      <w:numFmt w:val="bullet"/>
      <w:lvlText w:val="•"/>
      <w:lvlJc w:val="left"/>
      <w:pPr>
        <w:ind w:left="7505" w:hanging="360"/>
      </w:pPr>
      <w:rPr>
        <w:rFonts w:hint="default"/>
      </w:rPr>
    </w:lvl>
    <w:lvl w:ilvl="8">
      <w:start w:val="0"/>
      <w:numFmt w:val="bullet"/>
      <w:lvlText w:val="•"/>
      <w:lvlJc w:val="left"/>
      <w:pPr>
        <w:ind w:left="8650" w:hanging="360"/>
      </w:pPr>
      <w:rPr>
        <w:rFonts w:hint="default"/>
      </w:rPr>
    </w:lvl>
  </w:abstractNum>
  <w:abstractNum w:abstractNumId="12">
    <w:multiLevelType w:val="hybridMultilevel"/>
    <w:lvl w:ilvl="0">
      <w:start w:val="1"/>
      <w:numFmt w:val="decimal"/>
      <w:lvlText w:val="%1)"/>
      <w:lvlJc w:val="left"/>
      <w:pPr>
        <w:ind w:left="1060" w:hanging="269"/>
        <w:jc w:val="left"/>
      </w:pPr>
      <w:rPr>
        <w:rFonts w:hint="default" w:ascii="Calibri" w:hAnsi="Calibri" w:eastAsia="Calibri" w:cs="Calibri"/>
        <w:spacing w:val="0"/>
        <w:w w:val="100"/>
        <w:sz w:val="22"/>
        <w:szCs w:val="22"/>
      </w:rPr>
    </w:lvl>
    <w:lvl w:ilvl="1">
      <w:start w:val="0"/>
      <w:numFmt w:val="bullet"/>
      <w:lvlText w:val="•"/>
      <w:lvlJc w:val="left"/>
      <w:pPr>
        <w:ind w:left="2048" w:hanging="269"/>
      </w:pPr>
      <w:rPr>
        <w:rFonts w:hint="default"/>
      </w:rPr>
    </w:lvl>
    <w:lvl w:ilvl="2">
      <w:start w:val="0"/>
      <w:numFmt w:val="bullet"/>
      <w:lvlText w:val="•"/>
      <w:lvlJc w:val="left"/>
      <w:pPr>
        <w:ind w:left="3036" w:hanging="269"/>
      </w:pPr>
      <w:rPr>
        <w:rFonts w:hint="default"/>
      </w:rPr>
    </w:lvl>
    <w:lvl w:ilvl="3">
      <w:start w:val="0"/>
      <w:numFmt w:val="bullet"/>
      <w:lvlText w:val="•"/>
      <w:lvlJc w:val="left"/>
      <w:pPr>
        <w:ind w:left="4024" w:hanging="269"/>
      </w:pPr>
      <w:rPr>
        <w:rFonts w:hint="default"/>
      </w:rPr>
    </w:lvl>
    <w:lvl w:ilvl="4">
      <w:start w:val="0"/>
      <w:numFmt w:val="bullet"/>
      <w:lvlText w:val="•"/>
      <w:lvlJc w:val="left"/>
      <w:pPr>
        <w:ind w:left="5012" w:hanging="269"/>
      </w:pPr>
      <w:rPr>
        <w:rFonts w:hint="default"/>
      </w:rPr>
    </w:lvl>
    <w:lvl w:ilvl="5">
      <w:start w:val="0"/>
      <w:numFmt w:val="bullet"/>
      <w:lvlText w:val="•"/>
      <w:lvlJc w:val="left"/>
      <w:pPr>
        <w:ind w:left="6000" w:hanging="269"/>
      </w:pPr>
      <w:rPr>
        <w:rFonts w:hint="default"/>
      </w:rPr>
    </w:lvl>
    <w:lvl w:ilvl="6">
      <w:start w:val="0"/>
      <w:numFmt w:val="bullet"/>
      <w:lvlText w:val="•"/>
      <w:lvlJc w:val="left"/>
      <w:pPr>
        <w:ind w:left="6988" w:hanging="269"/>
      </w:pPr>
      <w:rPr>
        <w:rFonts w:hint="default"/>
      </w:rPr>
    </w:lvl>
    <w:lvl w:ilvl="7">
      <w:start w:val="0"/>
      <w:numFmt w:val="bullet"/>
      <w:lvlText w:val="•"/>
      <w:lvlJc w:val="left"/>
      <w:pPr>
        <w:ind w:left="7976" w:hanging="269"/>
      </w:pPr>
      <w:rPr>
        <w:rFonts w:hint="default"/>
      </w:rPr>
    </w:lvl>
    <w:lvl w:ilvl="8">
      <w:start w:val="0"/>
      <w:numFmt w:val="bullet"/>
      <w:lvlText w:val="•"/>
      <w:lvlJc w:val="left"/>
      <w:pPr>
        <w:ind w:left="8964" w:hanging="269"/>
      </w:pPr>
      <w:rPr>
        <w:rFonts w:hint="default"/>
      </w:rPr>
    </w:lvl>
  </w:abstractNum>
  <w:abstractNum w:abstractNumId="11">
    <w:multiLevelType w:val="hybridMultilevel"/>
    <w:lvl w:ilvl="0">
      <w:start w:val="1"/>
      <w:numFmt w:val="lowerLetter"/>
      <w:lvlText w:val="%1."/>
      <w:lvlJc w:val="left"/>
      <w:pPr>
        <w:ind w:left="1060" w:hanging="269"/>
        <w:jc w:val="right"/>
      </w:pPr>
      <w:rPr>
        <w:rFonts w:hint="default" w:ascii="Calibri Light" w:hAnsi="Calibri Light" w:eastAsia="Calibri Light" w:cs="Calibri Light"/>
        <w:w w:val="99"/>
        <w:sz w:val="24"/>
        <w:szCs w:val="24"/>
      </w:rPr>
    </w:lvl>
    <w:lvl w:ilvl="1">
      <w:start w:val="0"/>
      <w:numFmt w:val="bullet"/>
      <w:lvlText w:val=""/>
      <w:lvlJc w:val="left"/>
      <w:pPr>
        <w:ind w:left="1691" w:hanging="360"/>
      </w:pPr>
      <w:rPr>
        <w:rFonts w:hint="default" w:ascii="Symbol" w:hAnsi="Symbol" w:eastAsia="Symbol" w:cs="Symbol"/>
        <w:w w:val="100"/>
        <w:sz w:val="22"/>
        <w:szCs w:val="22"/>
      </w:rPr>
    </w:lvl>
    <w:lvl w:ilvl="2">
      <w:start w:val="0"/>
      <w:numFmt w:val="bullet"/>
      <w:lvlText w:val="•"/>
      <w:lvlJc w:val="left"/>
      <w:pPr>
        <w:ind w:left="1700" w:hanging="360"/>
      </w:pPr>
      <w:rPr>
        <w:rFonts w:hint="default"/>
      </w:rPr>
    </w:lvl>
    <w:lvl w:ilvl="3">
      <w:start w:val="0"/>
      <w:numFmt w:val="bullet"/>
      <w:lvlText w:val="•"/>
      <w:lvlJc w:val="left"/>
      <w:pPr>
        <w:ind w:left="2855" w:hanging="360"/>
      </w:pPr>
      <w:rPr>
        <w:rFonts w:hint="default"/>
      </w:rPr>
    </w:lvl>
    <w:lvl w:ilvl="4">
      <w:start w:val="0"/>
      <w:numFmt w:val="bullet"/>
      <w:lvlText w:val="•"/>
      <w:lvlJc w:val="left"/>
      <w:pPr>
        <w:ind w:left="4010" w:hanging="360"/>
      </w:pPr>
      <w:rPr>
        <w:rFonts w:hint="default"/>
      </w:rPr>
    </w:lvl>
    <w:lvl w:ilvl="5">
      <w:start w:val="0"/>
      <w:numFmt w:val="bullet"/>
      <w:lvlText w:val="•"/>
      <w:lvlJc w:val="left"/>
      <w:pPr>
        <w:ind w:left="5165" w:hanging="360"/>
      </w:pPr>
      <w:rPr>
        <w:rFonts w:hint="default"/>
      </w:rPr>
    </w:lvl>
    <w:lvl w:ilvl="6">
      <w:start w:val="0"/>
      <w:numFmt w:val="bullet"/>
      <w:lvlText w:val="•"/>
      <w:lvlJc w:val="left"/>
      <w:pPr>
        <w:ind w:left="6320" w:hanging="360"/>
      </w:pPr>
      <w:rPr>
        <w:rFonts w:hint="default"/>
      </w:rPr>
    </w:lvl>
    <w:lvl w:ilvl="7">
      <w:start w:val="0"/>
      <w:numFmt w:val="bullet"/>
      <w:lvlText w:val="•"/>
      <w:lvlJc w:val="left"/>
      <w:pPr>
        <w:ind w:left="7475" w:hanging="360"/>
      </w:pPr>
      <w:rPr>
        <w:rFonts w:hint="default"/>
      </w:rPr>
    </w:lvl>
    <w:lvl w:ilvl="8">
      <w:start w:val="0"/>
      <w:numFmt w:val="bullet"/>
      <w:lvlText w:val="•"/>
      <w:lvlJc w:val="left"/>
      <w:pPr>
        <w:ind w:left="8630" w:hanging="360"/>
      </w:pPr>
      <w:rPr>
        <w:rFonts w:hint="default"/>
      </w:rPr>
    </w:lvl>
  </w:abstractNum>
  <w:abstractNum w:abstractNumId="10">
    <w:multiLevelType w:val="hybridMultilevel"/>
    <w:lvl w:ilvl="0">
      <w:start w:val="1"/>
      <w:numFmt w:val="upperRoman"/>
      <w:lvlText w:val="%1."/>
      <w:lvlJc w:val="left"/>
      <w:pPr>
        <w:ind w:left="1060" w:hanging="478"/>
        <w:jc w:val="right"/>
      </w:pPr>
      <w:rPr>
        <w:rFonts w:hint="default"/>
        <w:spacing w:val="-1"/>
        <w:w w:val="99"/>
      </w:rPr>
    </w:lvl>
    <w:lvl w:ilvl="1">
      <w:start w:val="0"/>
      <w:numFmt w:val="bullet"/>
      <w:lvlText w:val=""/>
      <w:lvlJc w:val="left"/>
      <w:pPr>
        <w:ind w:left="1420" w:hanging="360"/>
      </w:pPr>
      <w:rPr>
        <w:rFonts w:hint="default" w:ascii="Symbol" w:hAnsi="Symbol" w:eastAsia="Symbol" w:cs="Symbol"/>
        <w:w w:val="100"/>
        <w:sz w:val="22"/>
        <w:szCs w:val="22"/>
      </w:rPr>
    </w:lvl>
    <w:lvl w:ilvl="2">
      <w:start w:val="0"/>
      <w:numFmt w:val="bullet"/>
      <w:lvlText w:val="•"/>
      <w:lvlJc w:val="left"/>
      <w:pPr>
        <w:ind w:left="2477" w:hanging="360"/>
      </w:pPr>
      <w:rPr>
        <w:rFonts w:hint="default"/>
      </w:rPr>
    </w:lvl>
    <w:lvl w:ilvl="3">
      <w:start w:val="0"/>
      <w:numFmt w:val="bullet"/>
      <w:lvlText w:val="•"/>
      <w:lvlJc w:val="left"/>
      <w:pPr>
        <w:ind w:left="3535" w:hanging="360"/>
      </w:pPr>
      <w:rPr>
        <w:rFonts w:hint="default"/>
      </w:rPr>
    </w:lvl>
    <w:lvl w:ilvl="4">
      <w:start w:val="0"/>
      <w:numFmt w:val="bullet"/>
      <w:lvlText w:val="•"/>
      <w:lvlJc w:val="left"/>
      <w:pPr>
        <w:ind w:left="4593" w:hanging="360"/>
      </w:pPr>
      <w:rPr>
        <w:rFonts w:hint="default"/>
      </w:rPr>
    </w:lvl>
    <w:lvl w:ilvl="5">
      <w:start w:val="0"/>
      <w:numFmt w:val="bullet"/>
      <w:lvlText w:val="•"/>
      <w:lvlJc w:val="left"/>
      <w:pPr>
        <w:ind w:left="5651" w:hanging="360"/>
      </w:pPr>
      <w:rPr>
        <w:rFonts w:hint="default"/>
      </w:rPr>
    </w:lvl>
    <w:lvl w:ilvl="6">
      <w:start w:val="0"/>
      <w:numFmt w:val="bullet"/>
      <w:lvlText w:val="•"/>
      <w:lvlJc w:val="left"/>
      <w:pPr>
        <w:ind w:left="6708"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824" w:hanging="360"/>
      </w:pPr>
      <w:rPr>
        <w:rFonts w:hint="default"/>
      </w:rPr>
    </w:lvl>
  </w:abstractNum>
  <w:abstractNum w:abstractNumId="8">
    <w:multiLevelType w:val="hybridMultilevel"/>
    <w:lvl w:ilvl="0">
      <w:start w:val="0"/>
      <w:numFmt w:val="bullet"/>
      <w:lvlText w:val=""/>
      <w:lvlJc w:val="left"/>
      <w:pPr>
        <w:ind w:left="1151" w:hanging="361"/>
      </w:pPr>
      <w:rPr>
        <w:rFonts w:hint="default" w:ascii="Symbol" w:hAnsi="Symbol" w:eastAsia="Symbol" w:cs="Symbol"/>
        <w:w w:val="100"/>
        <w:sz w:val="22"/>
        <w:szCs w:val="22"/>
      </w:rPr>
    </w:lvl>
    <w:lvl w:ilvl="1">
      <w:start w:val="0"/>
      <w:numFmt w:val="bullet"/>
      <w:lvlText w:val="•"/>
      <w:lvlJc w:val="left"/>
      <w:pPr>
        <w:ind w:left="2156" w:hanging="361"/>
      </w:pPr>
      <w:rPr>
        <w:rFonts w:hint="default"/>
      </w:rPr>
    </w:lvl>
    <w:lvl w:ilvl="2">
      <w:start w:val="0"/>
      <w:numFmt w:val="bullet"/>
      <w:lvlText w:val="•"/>
      <w:lvlJc w:val="left"/>
      <w:pPr>
        <w:ind w:left="3152" w:hanging="361"/>
      </w:pPr>
      <w:rPr>
        <w:rFonts w:hint="default"/>
      </w:rPr>
    </w:lvl>
    <w:lvl w:ilvl="3">
      <w:start w:val="0"/>
      <w:numFmt w:val="bullet"/>
      <w:lvlText w:val="•"/>
      <w:lvlJc w:val="left"/>
      <w:pPr>
        <w:ind w:left="4148" w:hanging="361"/>
      </w:pPr>
      <w:rPr>
        <w:rFonts w:hint="default"/>
      </w:rPr>
    </w:lvl>
    <w:lvl w:ilvl="4">
      <w:start w:val="0"/>
      <w:numFmt w:val="bullet"/>
      <w:lvlText w:val="•"/>
      <w:lvlJc w:val="left"/>
      <w:pPr>
        <w:ind w:left="5144" w:hanging="361"/>
      </w:pPr>
      <w:rPr>
        <w:rFonts w:hint="default"/>
      </w:rPr>
    </w:lvl>
    <w:lvl w:ilvl="5">
      <w:start w:val="0"/>
      <w:numFmt w:val="bullet"/>
      <w:lvlText w:val="•"/>
      <w:lvlJc w:val="left"/>
      <w:pPr>
        <w:ind w:left="6140" w:hanging="361"/>
      </w:pPr>
      <w:rPr>
        <w:rFonts w:hint="default"/>
      </w:rPr>
    </w:lvl>
    <w:lvl w:ilvl="6">
      <w:start w:val="0"/>
      <w:numFmt w:val="bullet"/>
      <w:lvlText w:val="•"/>
      <w:lvlJc w:val="left"/>
      <w:pPr>
        <w:ind w:left="7136" w:hanging="361"/>
      </w:pPr>
      <w:rPr>
        <w:rFonts w:hint="default"/>
      </w:rPr>
    </w:lvl>
    <w:lvl w:ilvl="7">
      <w:start w:val="0"/>
      <w:numFmt w:val="bullet"/>
      <w:lvlText w:val="•"/>
      <w:lvlJc w:val="left"/>
      <w:pPr>
        <w:ind w:left="8132" w:hanging="361"/>
      </w:pPr>
      <w:rPr>
        <w:rFonts w:hint="default"/>
      </w:rPr>
    </w:lvl>
    <w:lvl w:ilvl="8">
      <w:start w:val="0"/>
      <w:numFmt w:val="bullet"/>
      <w:lvlText w:val="•"/>
      <w:lvlJc w:val="left"/>
      <w:pPr>
        <w:ind w:left="9128" w:hanging="361"/>
      </w:pPr>
      <w:rPr>
        <w:rFonts w:hint="default"/>
      </w:rPr>
    </w:lvl>
  </w:abstractNum>
  <w:abstractNum w:abstractNumId="7">
    <w:multiLevelType w:val="hybridMultilevel"/>
    <w:lvl w:ilvl="0">
      <w:start w:val="0"/>
      <w:numFmt w:val="bullet"/>
      <w:lvlText w:val="•"/>
      <w:lvlJc w:val="left"/>
      <w:pPr>
        <w:ind w:left="875" w:hanging="272"/>
      </w:pPr>
      <w:rPr>
        <w:rFonts w:hint="default" w:ascii="Arial" w:hAnsi="Arial" w:eastAsia="Arial" w:cs="Arial"/>
        <w:w w:val="100"/>
        <w:sz w:val="28"/>
        <w:szCs w:val="28"/>
      </w:rPr>
    </w:lvl>
    <w:lvl w:ilvl="1">
      <w:start w:val="0"/>
      <w:numFmt w:val="bullet"/>
      <w:lvlText w:val="•"/>
      <w:lvlJc w:val="left"/>
      <w:pPr>
        <w:ind w:left="1115" w:hanging="272"/>
      </w:pPr>
      <w:rPr>
        <w:rFonts w:hint="default" w:ascii="Arial" w:hAnsi="Arial" w:eastAsia="Arial" w:cs="Arial"/>
        <w:w w:val="100"/>
        <w:sz w:val="28"/>
        <w:szCs w:val="28"/>
      </w:rPr>
    </w:lvl>
    <w:lvl w:ilvl="2">
      <w:start w:val="0"/>
      <w:numFmt w:val="bullet"/>
      <w:lvlText w:val="•"/>
      <w:lvlJc w:val="left"/>
      <w:pPr>
        <w:ind w:left="2588" w:hanging="272"/>
      </w:pPr>
      <w:rPr>
        <w:rFonts w:hint="default"/>
      </w:rPr>
    </w:lvl>
    <w:lvl w:ilvl="3">
      <w:start w:val="0"/>
      <w:numFmt w:val="bullet"/>
      <w:lvlText w:val="•"/>
      <w:lvlJc w:val="left"/>
      <w:pPr>
        <w:ind w:left="4057" w:hanging="272"/>
      </w:pPr>
      <w:rPr>
        <w:rFonts w:hint="default"/>
      </w:rPr>
    </w:lvl>
    <w:lvl w:ilvl="4">
      <w:start w:val="0"/>
      <w:numFmt w:val="bullet"/>
      <w:lvlText w:val="•"/>
      <w:lvlJc w:val="left"/>
      <w:pPr>
        <w:ind w:left="5526" w:hanging="272"/>
      </w:pPr>
      <w:rPr>
        <w:rFonts w:hint="default"/>
      </w:rPr>
    </w:lvl>
    <w:lvl w:ilvl="5">
      <w:start w:val="0"/>
      <w:numFmt w:val="bullet"/>
      <w:lvlText w:val="•"/>
      <w:lvlJc w:val="left"/>
      <w:pPr>
        <w:ind w:left="6995" w:hanging="272"/>
      </w:pPr>
      <w:rPr>
        <w:rFonts w:hint="default"/>
      </w:rPr>
    </w:lvl>
    <w:lvl w:ilvl="6">
      <w:start w:val="0"/>
      <w:numFmt w:val="bullet"/>
      <w:lvlText w:val="•"/>
      <w:lvlJc w:val="left"/>
      <w:pPr>
        <w:ind w:left="8464" w:hanging="272"/>
      </w:pPr>
      <w:rPr>
        <w:rFonts w:hint="default"/>
      </w:rPr>
    </w:lvl>
    <w:lvl w:ilvl="7">
      <w:start w:val="0"/>
      <w:numFmt w:val="bullet"/>
      <w:lvlText w:val="•"/>
      <w:lvlJc w:val="left"/>
      <w:pPr>
        <w:ind w:left="9933" w:hanging="272"/>
      </w:pPr>
      <w:rPr>
        <w:rFonts w:hint="default"/>
      </w:rPr>
    </w:lvl>
    <w:lvl w:ilvl="8">
      <w:start w:val="0"/>
      <w:numFmt w:val="bullet"/>
      <w:lvlText w:val="•"/>
      <w:lvlJc w:val="left"/>
      <w:pPr>
        <w:ind w:left="11402" w:hanging="272"/>
      </w:pPr>
      <w:rPr>
        <w:rFonts w:hint="default"/>
      </w:rPr>
    </w:lvl>
  </w:abstractNum>
  <w:abstractNum w:abstractNumId="6">
    <w:multiLevelType w:val="hybridMultilevel"/>
    <w:lvl w:ilvl="0">
      <w:start w:val="0"/>
      <w:numFmt w:val="bullet"/>
      <w:lvlText w:val=""/>
      <w:lvlJc w:val="left"/>
      <w:pPr>
        <w:ind w:left="2629" w:hanging="252"/>
      </w:pPr>
      <w:rPr>
        <w:rFonts w:hint="default"/>
        <w:w w:val="102"/>
      </w:rPr>
    </w:lvl>
    <w:lvl w:ilvl="1">
      <w:start w:val="0"/>
      <w:numFmt w:val="bullet"/>
      <w:lvlText w:val="•"/>
      <w:lvlJc w:val="left"/>
      <w:pPr>
        <w:ind w:left="2884" w:hanging="252"/>
      </w:pPr>
      <w:rPr>
        <w:rFonts w:hint="default"/>
      </w:rPr>
    </w:lvl>
    <w:lvl w:ilvl="2">
      <w:start w:val="0"/>
      <w:numFmt w:val="bullet"/>
      <w:lvlText w:val="•"/>
      <w:lvlJc w:val="left"/>
      <w:pPr>
        <w:ind w:left="3149" w:hanging="252"/>
      </w:pPr>
      <w:rPr>
        <w:rFonts w:hint="default"/>
      </w:rPr>
    </w:lvl>
    <w:lvl w:ilvl="3">
      <w:start w:val="0"/>
      <w:numFmt w:val="bullet"/>
      <w:lvlText w:val="•"/>
      <w:lvlJc w:val="left"/>
      <w:pPr>
        <w:ind w:left="3413" w:hanging="252"/>
      </w:pPr>
      <w:rPr>
        <w:rFonts w:hint="default"/>
      </w:rPr>
    </w:lvl>
    <w:lvl w:ilvl="4">
      <w:start w:val="0"/>
      <w:numFmt w:val="bullet"/>
      <w:lvlText w:val="•"/>
      <w:lvlJc w:val="left"/>
      <w:pPr>
        <w:ind w:left="3678" w:hanging="252"/>
      </w:pPr>
      <w:rPr>
        <w:rFonts w:hint="default"/>
      </w:rPr>
    </w:lvl>
    <w:lvl w:ilvl="5">
      <w:start w:val="0"/>
      <w:numFmt w:val="bullet"/>
      <w:lvlText w:val="•"/>
      <w:lvlJc w:val="left"/>
      <w:pPr>
        <w:ind w:left="3942" w:hanging="252"/>
      </w:pPr>
      <w:rPr>
        <w:rFonts w:hint="default"/>
      </w:rPr>
    </w:lvl>
    <w:lvl w:ilvl="6">
      <w:start w:val="0"/>
      <w:numFmt w:val="bullet"/>
      <w:lvlText w:val="•"/>
      <w:lvlJc w:val="left"/>
      <w:pPr>
        <w:ind w:left="4207" w:hanging="252"/>
      </w:pPr>
      <w:rPr>
        <w:rFonts w:hint="default"/>
      </w:rPr>
    </w:lvl>
    <w:lvl w:ilvl="7">
      <w:start w:val="0"/>
      <w:numFmt w:val="bullet"/>
      <w:lvlText w:val="•"/>
      <w:lvlJc w:val="left"/>
      <w:pPr>
        <w:ind w:left="4471" w:hanging="252"/>
      </w:pPr>
      <w:rPr>
        <w:rFonts w:hint="default"/>
      </w:rPr>
    </w:lvl>
    <w:lvl w:ilvl="8">
      <w:start w:val="0"/>
      <w:numFmt w:val="bullet"/>
      <w:lvlText w:val="•"/>
      <w:lvlJc w:val="left"/>
      <w:pPr>
        <w:ind w:left="4736" w:hanging="252"/>
      </w:pPr>
      <w:rPr>
        <w:rFonts w:hint="default"/>
      </w:rPr>
    </w:lvl>
  </w:abstractNum>
  <w:abstractNum w:abstractNumId="5">
    <w:multiLevelType w:val="hybridMultilevel"/>
    <w:lvl w:ilvl="0">
      <w:start w:val="0"/>
      <w:numFmt w:val="bullet"/>
      <w:lvlText w:val="•"/>
      <w:lvlJc w:val="left"/>
      <w:pPr>
        <w:ind w:left="1115" w:hanging="272"/>
      </w:pPr>
      <w:rPr>
        <w:rFonts w:hint="default"/>
        <w:w w:val="100"/>
      </w:rPr>
    </w:lvl>
    <w:lvl w:ilvl="1">
      <w:start w:val="0"/>
      <w:numFmt w:val="bullet"/>
      <w:lvlText w:val="•"/>
      <w:lvlJc w:val="left"/>
      <w:pPr>
        <w:ind w:left="1727" w:hanging="272"/>
      </w:pPr>
      <w:rPr>
        <w:rFonts w:hint="default"/>
      </w:rPr>
    </w:lvl>
    <w:lvl w:ilvl="2">
      <w:start w:val="0"/>
      <w:numFmt w:val="bullet"/>
      <w:lvlText w:val="•"/>
      <w:lvlJc w:val="left"/>
      <w:pPr>
        <w:ind w:left="2335" w:hanging="272"/>
      </w:pPr>
      <w:rPr>
        <w:rFonts w:hint="default"/>
      </w:rPr>
    </w:lvl>
    <w:lvl w:ilvl="3">
      <w:start w:val="0"/>
      <w:numFmt w:val="bullet"/>
      <w:lvlText w:val="•"/>
      <w:lvlJc w:val="left"/>
      <w:pPr>
        <w:ind w:left="2942" w:hanging="272"/>
      </w:pPr>
      <w:rPr>
        <w:rFonts w:hint="default"/>
      </w:rPr>
    </w:lvl>
    <w:lvl w:ilvl="4">
      <w:start w:val="0"/>
      <w:numFmt w:val="bullet"/>
      <w:lvlText w:val="•"/>
      <w:lvlJc w:val="left"/>
      <w:pPr>
        <w:ind w:left="3550" w:hanging="272"/>
      </w:pPr>
      <w:rPr>
        <w:rFonts w:hint="default"/>
      </w:rPr>
    </w:lvl>
    <w:lvl w:ilvl="5">
      <w:start w:val="0"/>
      <w:numFmt w:val="bullet"/>
      <w:lvlText w:val="•"/>
      <w:lvlJc w:val="left"/>
      <w:pPr>
        <w:ind w:left="4157" w:hanging="272"/>
      </w:pPr>
      <w:rPr>
        <w:rFonts w:hint="default"/>
      </w:rPr>
    </w:lvl>
    <w:lvl w:ilvl="6">
      <w:start w:val="0"/>
      <w:numFmt w:val="bullet"/>
      <w:lvlText w:val="•"/>
      <w:lvlJc w:val="left"/>
      <w:pPr>
        <w:ind w:left="4765" w:hanging="272"/>
      </w:pPr>
      <w:rPr>
        <w:rFonts w:hint="default"/>
      </w:rPr>
    </w:lvl>
    <w:lvl w:ilvl="7">
      <w:start w:val="0"/>
      <w:numFmt w:val="bullet"/>
      <w:lvlText w:val="•"/>
      <w:lvlJc w:val="left"/>
      <w:pPr>
        <w:ind w:left="5372" w:hanging="272"/>
      </w:pPr>
      <w:rPr>
        <w:rFonts w:hint="default"/>
      </w:rPr>
    </w:lvl>
    <w:lvl w:ilvl="8">
      <w:start w:val="0"/>
      <w:numFmt w:val="bullet"/>
      <w:lvlText w:val="•"/>
      <w:lvlJc w:val="left"/>
      <w:pPr>
        <w:ind w:left="5980" w:hanging="272"/>
      </w:pPr>
      <w:rPr>
        <w:rFonts w:hint="default"/>
      </w:rPr>
    </w:lvl>
  </w:abstractNum>
  <w:abstractNum w:abstractNumId="4">
    <w:multiLevelType w:val="hybridMultilevel"/>
    <w:lvl w:ilvl="0">
      <w:start w:val="21"/>
      <w:numFmt w:val="upperLetter"/>
      <w:lvlText w:val="%1"/>
      <w:lvlJc w:val="left"/>
      <w:pPr>
        <w:ind w:left="863" w:hanging="345"/>
        <w:jc w:val="left"/>
      </w:pPr>
      <w:rPr>
        <w:rFonts w:hint="default"/>
      </w:rPr>
    </w:lvl>
    <w:lvl w:ilvl="1">
      <w:start w:val="0"/>
      <w:numFmt w:val="bullet"/>
      <w:lvlText w:val="•"/>
      <w:lvlJc w:val="left"/>
      <w:pPr>
        <w:ind w:left="1115" w:hanging="272"/>
      </w:pPr>
      <w:rPr>
        <w:rFonts w:hint="default" w:ascii="Arial" w:hAnsi="Arial" w:eastAsia="Arial" w:cs="Arial"/>
        <w:w w:val="100"/>
        <w:sz w:val="28"/>
        <w:szCs w:val="28"/>
      </w:rPr>
    </w:lvl>
    <w:lvl w:ilvl="2">
      <w:start w:val="0"/>
      <w:numFmt w:val="bullet"/>
      <w:lvlText w:val="•"/>
      <w:lvlJc w:val="left"/>
      <w:pPr>
        <w:ind w:left="1195" w:hanging="272"/>
      </w:pPr>
      <w:rPr>
        <w:rFonts w:hint="default"/>
      </w:rPr>
    </w:lvl>
    <w:lvl w:ilvl="3">
      <w:start w:val="0"/>
      <w:numFmt w:val="bullet"/>
      <w:lvlText w:val="•"/>
      <w:lvlJc w:val="left"/>
      <w:pPr>
        <w:ind w:left="1271" w:hanging="272"/>
      </w:pPr>
      <w:rPr>
        <w:rFonts w:hint="default"/>
      </w:rPr>
    </w:lvl>
    <w:lvl w:ilvl="4">
      <w:start w:val="0"/>
      <w:numFmt w:val="bullet"/>
      <w:lvlText w:val="•"/>
      <w:lvlJc w:val="left"/>
      <w:pPr>
        <w:ind w:left="1346" w:hanging="272"/>
      </w:pPr>
      <w:rPr>
        <w:rFonts w:hint="default"/>
      </w:rPr>
    </w:lvl>
    <w:lvl w:ilvl="5">
      <w:start w:val="0"/>
      <w:numFmt w:val="bullet"/>
      <w:lvlText w:val="•"/>
      <w:lvlJc w:val="left"/>
      <w:pPr>
        <w:ind w:left="1422" w:hanging="272"/>
      </w:pPr>
      <w:rPr>
        <w:rFonts w:hint="default"/>
      </w:rPr>
    </w:lvl>
    <w:lvl w:ilvl="6">
      <w:start w:val="0"/>
      <w:numFmt w:val="bullet"/>
      <w:lvlText w:val="•"/>
      <w:lvlJc w:val="left"/>
      <w:pPr>
        <w:ind w:left="1497" w:hanging="272"/>
      </w:pPr>
      <w:rPr>
        <w:rFonts w:hint="default"/>
      </w:rPr>
    </w:lvl>
    <w:lvl w:ilvl="7">
      <w:start w:val="0"/>
      <w:numFmt w:val="bullet"/>
      <w:lvlText w:val="•"/>
      <w:lvlJc w:val="left"/>
      <w:pPr>
        <w:ind w:left="1573" w:hanging="272"/>
      </w:pPr>
      <w:rPr>
        <w:rFonts w:hint="default"/>
      </w:rPr>
    </w:lvl>
    <w:lvl w:ilvl="8">
      <w:start w:val="0"/>
      <w:numFmt w:val="bullet"/>
      <w:lvlText w:val="•"/>
      <w:lvlJc w:val="left"/>
      <w:pPr>
        <w:ind w:left="1648" w:hanging="272"/>
      </w:pPr>
      <w:rPr>
        <w:rFonts w:hint="default"/>
      </w:rPr>
    </w:lvl>
  </w:abstractNum>
  <w:abstractNum w:abstractNumId="9">
    <w:multiLevelType w:val="hybridMultilevel"/>
    <w:lvl w:ilvl="0">
      <w:start w:val="21"/>
      <w:numFmt w:val="upperLetter"/>
      <w:lvlText w:val="%1"/>
      <w:lvlJc w:val="left"/>
      <w:pPr>
        <w:ind w:left="776" w:hanging="614"/>
        <w:jc w:val="left"/>
      </w:pPr>
      <w:rPr>
        <w:rFonts w:hint="default"/>
      </w:rPr>
    </w:lvl>
    <w:lvl w:ilvl="1">
      <w:start w:val="0"/>
      <w:numFmt w:val="bullet"/>
      <w:lvlText w:val=""/>
      <w:lvlJc w:val="left"/>
      <w:pPr>
        <w:ind w:left="836" w:hanging="360"/>
      </w:pPr>
      <w:rPr>
        <w:rFonts w:hint="default" w:ascii="Symbol" w:hAnsi="Symbol" w:eastAsia="Symbol" w:cs="Symbol"/>
        <w:w w:val="99"/>
        <w:sz w:val="24"/>
        <w:szCs w:val="24"/>
      </w:rPr>
    </w:lvl>
    <w:lvl w:ilvl="2">
      <w:start w:val="0"/>
      <w:numFmt w:val="bullet"/>
      <w:lvlText w:val="o"/>
      <w:lvlJc w:val="left"/>
      <w:pPr>
        <w:ind w:left="1556" w:hanging="360"/>
      </w:pPr>
      <w:rPr>
        <w:rFonts w:hint="default" w:ascii="Courier New" w:hAnsi="Courier New" w:eastAsia="Courier New" w:cs="Courier New"/>
        <w:w w:val="99"/>
        <w:sz w:val="24"/>
        <w:szCs w:val="24"/>
      </w:rPr>
    </w:lvl>
    <w:lvl w:ilvl="3">
      <w:start w:val="0"/>
      <w:numFmt w:val="bullet"/>
      <w:lvlText w:val="•"/>
      <w:lvlJc w:val="left"/>
      <w:pPr>
        <w:ind w:left="1922" w:hanging="360"/>
      </w:pPr>
      <w:rPr>
        <w:rFonts w:hint="default"/>
      </w:rPr>
    </w:lvl>
    <w:lvl w:ilvl="4">
      <w:start w:val="0"/>
      <w:numFmt w:val="bullet"/>
      <w:lvlText w:val="•"/>
      <w:lvlJc w:val="left"/>
      <w:pPr>
        <w:ind w:left="2284" w:hanging="360"/>
      </w:pPr>
      <w:rPr>
        <w:rFonts w:hint="default"/>
      </w:rPr>
    </w:lvl>
    <w:lvl w:ilvl="5">
      <w:start w:val="0"/>
      <w:numFmt w:val="bullet"/>
      <w:lvlText w:val="•"/>
      <w:lvlJc w:val="left"/>
      <w:pPr>
        <w:ind w:left="2646" w:hanging="360"/>
      </w:pPr>
      <w:rPr>
        <w:rFonts w:hint="default"/>
      </w:rPr>
    </w:lvl>
    <w:lvl w:ilvl="6">
      <w:start w:val="0"/>
      <w:numFmt w:val="bullet"/>
      <w:lvlText w:val="•"/>
      <w:lvlJc w:val="left"/>
      <w:pPr>
        <w:ind w:left="3008" w:hanging="360"/>
      </w:pPr>
      <w:rPr>
        <w:rFonts w:hint="default"/>
      </w:rPr>
    </w:lvl>
    <w:lvl w:ilvl="7">
      <w:start w:val="0"/>
      <w:numFmt w:val="bullet"/>
      <w:lvlText w:val="•"/>
      <w:lvlJc w:val="left"/>
      <w:pPr>
        <w:ind w:left="3371" w:hanging="360"/>
      </w:pPr>
      <w:rPr>
        <w:rFonts w:hint="default"/>
      </w:rPr>
    </w:lvl>
    <w:lvl w:ilvl="8">
      <w:start w:val="0"/>
      <w:numFmt w:val="bullet"/>
      <w:lvlText w:val="•"/>
      <w:lvlJc w:val="left"/>
      <w:pPr>
        <w:ind w:left="3733" w:hanging="360"/>
      </w:pPr>
      <w:rPr>
        <w:rFonts w:hint="default"/>
      </w:rPr>
    </w:lvl>
  </w:abstractNum>
  <w:abstractNum w:abstractNumId="2">
    <w:multiLevelType w:val="hybridMultilevel"/>
    <w:lvl w:ilvl="0">
      <w:start w:val="0"/>
      <w:numFmt w:val="bullet"/>
      <w:lvlText w:val=""/>
      <w:lvlJc w:val="left"/>
      <w:pPr>
        <w:ind w:left="1388" w:hanging="360"/>
      </w:pPr>
      <w:rPr>
        <w:rFonts w:hint="default"/>
        <w:w w:val="99"/>
      </w:rPr>
    </w:lvl>
    <w:lvl w:ilvl="1">
      <w:start w:val="0"/>
      <w:numFmt w:val="bullet"/>
      <w:lvlText w:val="o"/>
      <w:lvlJc w:val="left"/>
      <w:pPr>
        <w:ind w:left="2108" w:hanging="360"/>
      </w:pPr>
      <w:rPr>
        <w:rFonts w:hint="default" w:ascii="Courier New" w:hAnsi="Courier New" w:eastAsia="Courier New" w:cs="Courier New"/>
        <w:color w:val="232323"/>
        <w:w w:val="99"/>
        <w:sz w:val="20"/>
        <w:szCs w:val="20"/>
      </w:rPr>
    </w:lvl>
    <w:lvl w:ilvl="2">
      <w:start w:val="0"/>
      <w:numFmt w:val="bullet"/>
      <w:lvlText w:val="•"/>
      <w:lvlJc w:val="left"/>
      <w:pPr>
        <w:ind w:left="3166" w:hanging="360"/>
      </w:pPr>
      <w:rPr>
        <w:rFonts w:hint="default"/>
      </w:rPr>
    </w:lvl>
    <w:lvl w:ilvl="3">
      <w:start w:val="0"/>
      <w:numFmt w:val="bullet"/>
      <w:lvlText w:val="•"/>
      <w:lvlJc w:val="left"/>
      <w:pPr>
        <w:ind w:left="4233" w:hanging="360"/>
      </w:pPr>
      <w:rPr>
        <w:rFonts w:hint="default"/>
      </w:rPr>
    </w:lvl>
    <w:lvl w:ilvl="4">
      <w:start w:val="0"/>
      <w:numFmt w:val="bullet"/>
      <w:lvlText w:val="•"/>
      <w:lvlJc w:val="left"/>
      <w:pPr>
        <w:ind w:left="5300" w:hanging="360"/>
      </w:pPr>
      <w:rPr>
        <w:rFonts w:hint="default"/>
      </w:rPr>
    </w:lvl>
    <w:lvl w:ilvl="5">
      <w:start w:val="0"/>
      <w:numFmt w:val="bullet"/>
      <w:lvlText w:val="•"/>
      <w:lvlJc w:val="left"/>
      <w:pPr>
        <w:ind w:left="6366" w:hanging="360"/>
      </w:pPr>
      <w:rPr>
        <w:rFonts w:hint="default"/>
      </w:rPr>
    </w:lvl>
    <w:lvl w:ilvl="6">
      <w:start w:val="0"/>
      <w:numFmt w:val="bullet"/>
      <w:lvlText w:val="•"/>
      <w:lvlJc w:val="left"/>
      <w:pPr>
        <w:ind w:left="7433" w:hanging="360"/>
      </w:pPr>
      <w:rPr>
        <w:rFonts w:hint="default"/>
      </w:rPr>
    </w:lvl>
    <w:lvl w:ilvl="7">
      <w:start w:val="0"/>
      <w:numFmt w:val="bullet"/>
      <w:lvlText w:val="•"/>
      <w:lvlJc w:val="left"/>
      <w:pPr>
        <w:ind w:left="8500" w:hanging="360"/>
      </w:pPr>
      <w:rPr>
        <w:rFonts w:hint="default"/>
      </w:rPr>
    </w:lvl>
    <w:lvl w:ilvl="8">
      <w:start w:val="0"/>
      <w:numFmt w:val="bullet"/>
      <w:lvlText w:val="•"/>
      <w:lvlJc w:val="left"/>
      <w:pPr>
        <w:ind w:left="9566" w:hanging="360"/>
      </w:pPr>
      <w:rPr>
        <w:rFonts w:hint="default"/>
      </w:rPr>
    </w:lvl>
  </w:abstractNum>
  <w:abstractNum w:abstractNumId="1">
    <w:multiLevelType w:val="hybridMultilevel"/>
    <w:lvl w:ilvl="0">
      <w:start w:val="0"/>
      <w:numFmt w:val="bullet"/>
      <w:lvlText w:val=""/>
      <w:lvlJc w:val="left"/>
      <w:pPr>
        <w:ind w:left="1748" w:hanging="360"/>
      </w:pPr>
      <w:rPr>
        <w:rFonts w:hint="default" w:ascii="Symbol" w:hAnsi="Symbol" w:eastAsia="Symbol" w:cs="Symbol"/>
        <w:w w:val="100"/>
        <w:sz w:val="24"/>
        <w:szCs w:val="24"/>
      </w:rPr>
    </w:lvl>
    <w:lvl w:ilvl="1">
      <w:start w:val="0"/>
      <w:numFmt w:val="bullet"/>
      <w:lvlText w:val=""/>
      <w:lvlJc w:val="left"/>
      <w:pPr>
        <w:ind w:left="2112" w:hanging="360"/>
      </w:pPr>
      <w:rPr>
        <w:rFonts w:hint="default" w:ascii="Symbol" w:hAnsi="Symbol" w:eastAsia="Symbol" w:cs="Symbol"/>
        <w:w w:val="100"/>
        <w:sz w:val="24"/>
        <w:szCs w:val="24"/>
      </w:rPr>
    </w:lvl>
    <w:lvl w:ilvl="2">
      <w:start w:val="0"/>
      <w:numFmt w:val="bullet"/>
      <w:lvlText w:val="o"/>
      <w:lvlJc w:val="left"/>
      <w:pPr>
        <w:ind w:left="2919" w:hanging="360"/>
      </w:pPr>
      <w:rPr>
        <w:rFonts w:hint="default" w:ascii="Courier New" w:hAnsi="Courier New" w:eastAsia="Courier New" w:cs="Courier New"/>
        <w:w w:val="100"/>
        <w:sz w:val="24"/>
        <w:szCs w:val="24"/>
      </w:rPr>
    </w:lvl>
    <w:lvl w:ilvl="3">
      <w:start w:val="0"/>
      <w:numFmt w:val="bullet"/>
      <w:lvlText w:val="•"/>
      <w:lvlJc w:val="left"/>
      <w:pPr>
        <w:ind w:left="4017" w:hanging="360"/>
      </w:pPr>
      <w:rPr>
        <w:rFonts w:hint="default"/>
      </w:rPr>
    </w:lvl>
    <w:lvl w:ilvl="4">
      <w:start w:val="0"/>
      <w:numFmt w:val="bullet"/>
      <w:lvlText w:val="•"/>
      <w:lvlJc w:val="left"/>
      <w:pPr>
        <w:ind w:left="5115" w:hanging="360"/>
      </w:pPr>
      <w:rPr>
        <w:rFonts w:hint="default"/>
      </w:rPr>
    </w:lvl>
    <w:lvl w:ilvl="5">
      <w:start w:val="0"/>
      <w:numFmt w:val="bullet"/>
      <w:lvlText w:val="•"/>
      <w:lvlJc w:val="left"/>
      <w:pPr>
        <w:ind w:left="6212" w:hanging="360"/>
      </w:pPr>
      <w:rPr>
        <w:rFonts w:hint="default"/>
      </w:rPr>
    </w:lvl>
    <w:lvl w:ilvl="6">
      <w:start w:val="0"/>
      <w:numFmt w:val="bullet"/>
      <w:lvlText w:val="•"/>
      <w:lvlJc w:val="left"/>
      <w:pPr>
        <w:ind w:left="7310" w:hanging="360"/>
      </w:pPr>
      <w:rPr>
        <w:rFonts w:hint="default"/>
      </w:rPr>
    </w:lvl>
    <w:lvl w:ilvl="7">
      <w:start w:val="0"/>
      <w:numFmt w:val="bullet"/>
      <w:lvlText w:val="•"/>
      <w:lvlJc w:val="left"/>
      <w:pPr>
        <w:ind w:left="8407" w:hanging="360"/>
      </w:pPr>
      <w:rPr>
        <w:rFonts w:hint="default"/>
      </w:rPr>
    </w:lvl>
    <w:lvl w:ilvl="8">
      <w:start w:val="0"/>
      <w:numFmt w:val="bullet"/>
      <w:lvlText w:val="•"/>
      <w:lvlJc w:val="left"/>
      <w:pPr>
        <w:ind w:left="9505" w:hanging="360"/>
      </w:pPr>
      <w:rPr>
        <w:rFonts w:hint="default"/>
      </w:rPr>
    </w:lvl>
  </w:abstractNum>
  <w:abstractNum w:abstractNumId="0">
    <w:multiLevelType w:val="hybridMultilevel"/>
    <w:lvl w:ilvl="0">
      <w:start w:val="1"/>
      <w:numFmt w:val="decimal"/>
      <w:lvlText w:val="%1-"/>
      <w:lvlJc w:val="left"/>
      <w:pPr>
        <w:ind w:left="651" w:hanging="360"/>
        <w:jc w:val="left"/>
      </w:pPr>
      <w:rPr>
        <w:rFonts w:hint="default" w:ascii="Arial" w:hAnsi="Arial" w:eastAsia="Arial" w:cs="Arial"/>
        <w:spacing w:val="-6"/>
        <w:w w:val="100"/>
        <w:sz w:val="22"/>
        <w:szCs w:val="22"/>
      </w:rPr>
    </w:lvl>
    <w:lvl w:ilvl="1">
      <w:start w:val="1"/>
      <w:numFmt w:val="lowerLetter"/>
      <w:lvlText w:val="%2."/>
      <w:lvlJc w:val="left"/>
      <w:pPr>
        <w:ind w:left="1625" w:hanging="360"/>
        <w:jc w:val="left"/>
      </w:pPr>
      <w:rPr>
        <w:rFonts w:hint="default"/>
        <w:spacing w:val="-5"/>
        <w:w w:val="100"/>
      </w:rPr>
    </w:lvl>
    <w:lvl w:ilvl="2">
      <w:start w:val="0"/>
      <w:numFmt w:val="bullet"/>
      <w:lvlText w:val="•"/>
      <w:lvlJc w:val="left"/>
      <w:pPr>
        <w:ind w:left="2409" w:hanging="360"/>
      </w:pPr>
      <w:rPr>
        <w:rFonts w:hint="default"/>
      </w:rPr>
    </w:lvl>
    <w:lvl w:ilvl="3">
      <w:start w:val="0"/>
      <w:numFmt w:val="bullet"/>
      <w:lvlText w:val="•"/>
      <w:lvlJc w:val="left"/>
      <w:pPr>
        <w:ind w:left="3198" w:hanging="360"/>
      </w:pPr>
      <w:rPr>
        <w:rFonts w:hint="default"/>
      </w:rPr>
    </w:lvl>
    <w:lvl w:ilvl="4">
      <w:start w:val="0"/>
      <w:numFmt w:val="bullet"/>
      <w:lvlText w:val="•"/>
      <w:lvlJc w:val="left"/>
      <w:pPr>
        <w:ind w:left="3987" w:hanging="360"/>
      </w:pPr>
      <w:rPr>
        <w:rFonts w:hint="default"/>
      </w:rPr>
    </w:lvl>
    <w:lvl w:ilvl="5">
      <w:start w:val="0"/>
      <w:numFmt w:val="bullet"/>
      <w:lvlText w:val="•"/>
      <w:lvlJc w:val="left"/>
      <w:pPr>
        <w:ind w:left="4776" w:hanging="360"/>
      </w:pPr>
      <w:rPr>
        <w:rFonts w:hint="default"/>
      </w:rPr>
    </w:lvl>
    <w:lvl w:ilvl="6">
      <w:start w:val="0"/>
      <w:numFmt w:val="bullet"/>
      <w:lvlText w:val="•"/>
      <w:lvlJc w:val="left"/>
      <w:pPr>
        <w:ind w:left="5565" w:hanging="360"/>
      </w:pPr>
      <w:rPr>
        <w:rFonts w:hint="default"/>
      </w:rPr>
    </w:lvl>
    <w:lvl w:ilvl="7">
      <w:start w:val="0"/>
      <w:numFmt w:val="bullet"/>
      <w:lvlText w:val="•"/>
      <w:lvlJc w:val="left"/>
      <w:pPr>
        <w:ind w:left="6354" w:hanging="360"/>
      </w:pPr>
      <w:rPr>
        <w:rFonts w:hint="default"/>
      </w:rPr>
    </w:lvl>
    <w:lvl w:ilvl="8">
      <w:start w:val="0"/>
      <w:numFmt w:val="bullet"/>
      <w:lvlText w:val="•"/>
      <w:lvlJc w:val="left"/>
      <w:pPr>
        <w:ind w:left="7143" w:hanging="360"/>
      </w:pPr>
      <w:rPr>
        <w:rFonts w:hint="default"/>
      </w:rPr>
    </w:lvl>
  </w:abstractNum>
  <w:num w:numId="4">
    <w:abstractNumId w:val="3"/>
  </w:num>
  <w:num w:numId="15">
    <w:abstractNumId w:val="14"/>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10">
    <w:abstractNumId w:val="9"/>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78"/>
      <w:ind w:left="20"/>
      <w:outlineLvl w:val="1"/>
    </w:pPr>
    <w:rPr>
      <w:rFonts w:ascii="Georgia" w:hAnsi="Georgia" w:eastAsia="Georgia" w:cs="Georgia"/>
      <w:sz w:val="66"/>
      <w:szCs w:val="66"/>
    </w:rPr>
  </w:style>
  <w:style w:styleId="Heading2" w:type="paragraph">
    <w:name w:val="Heading 2"/>
    <w:basedOn w:val="Normal"/>
    <w:uiPriority w:val="1"/>
    <w:qFormat/>
    <w:pPr>
      <w:ind w:left="160"/>
      <w:outlineLvl w:val="2"/>
    </w:pPr>
    <w:rPr>
      <w:rFonts w:ascii="Georgia" w:hAnsi="Georgia" w:eastAsia="Georgia" w:cs="Georgia"/>
      <w:sz w:val="36"/>
      <w:szCs w:val="36"/>
    </w:rPr>
  </w:style>
  <w:style w:styleId="Heading3" w:type="paragraph">
    <w:name w:val="Heading 3"/>
    <w:basedOn w:val="Normal"/>
    <w:uiPriority w:val="1"/>
    <w:qFormat/>
    <w:pPr>
      <w:ind w:left="830"/>
      <w:outlineLvl w:val="3"/>
    </w:pPr>
    <w:rPr>
      <w:rFonts w:ascii="Gill Sans MT" w:hAnsi="Gill Sans MT" w:eastAsia="Gill Sans MT" w:cs="Gill Sans MT"/>
      <w:sz w:val="32"/>
      <w:szCs w:val="32"/>
    </w:rPr>
  </w:style>
  <w:style w:styleId="Heading4" w:type="paragraph">
    <w:name w:val="Heading 4"/>
    <w:basedOn w:val="Normal"/>
    <w:uiPriority w:val="1"/>
    <w:qFormat/>
    <w:pPr>
      <w:ind w:right="18"/>
      <w:jc w:val="right"/>
      <w:outlineLvl w:val="4"/>
    </w:pPr>
    <w:rPr>
      <w:rFonts w:ascii="Gill Sans MT" w:hAnsi="Gill Sans MT" w:eastAsia="Gill Sans MT" w:cs="Gill Sans MT"/>
      <w:sz w:val="30"/>
      <w:szCs w:val="30"/>
    </w:rPr>
  </w:style>
  <w:style w:styleId="Heading5" w:type="paragraph">
    <w:name w:val="Heading 5"/>
    <w:basedOn w:val="Normal"/>
    <w:uiPriority w:val="1"/>
    <w:qFormat/>
    <w:pPr>
      <w:ind w:left="1101" w:hanging="272"/>
      <w:outlineLvl w:val="5"/>
    </w:pPr>
    <w:rPr>
      <w:rFonts w:ascii="Gill Sans MT" w:hAnsi="Gill Sans MT" w:eastAsia="Gill Sans MT" w:cs="Gill Sans MT"/>
      <w:sz w:val="28"/>
      <w:szCs w:val="28"/>
    </w:rPr>
  </w:style>
  <w:style w:styleId="Heading6" w:type="paragraph">
    <w:name w:val="Heading 6"/>
    <w:basedOn w:val="Normal"/>
    <w:uiPriority w:val="1"/>
    <w:qFormat/>
    <w:pPr>
      <w:ind w:left="620"/>
      <w:outlineLvl w:val="6"/>
    </w:pPr>
    <w:rPr>
      <w:rFonts w:ascii="Gill Sans MT" w:hAnsi="Gill Sans MT" w:eastAsia="Gill Sans MT" w:cs="Gill Sans MT"/>
      <w:sz w:val="26"/>
      <w:szCs w:val="26"/>
    </w:rPr>
  </w:style>
  <w:style w:styleId="Heading7" w:type="paragraph">
    <w:name w:val="Heading 7"/>
    <w:basedOn w:val="Normal"/>
    <w:uiPriority w:val="1"/>
    <w:qFormat/>
    <w:pPr>
      <w:jc w:val="center"/>
      <w:outlineLvl w:val="7"/>
    </w:pPr>
    <w:rPr>
      <w:rFonts w:ascii="Times New Roman" w:hAnsi="Times New Roman" w:eastAsia="Times New Roman" w:cs="Times New Roman"/>
      <w:b/>
      <w:bCs/>
      <w:sz w:val="24"/>
      <w:szCs w:val="24"/>
    </w:rPr>
  </w:style>
  <w:style w:styleId="Heading8" w:type="paragraph">
    <w:name w:val="Heading 8"/>
    <w:basedOn w:val="Normal"/>
    <w:uiPriority w:val="1"/>
    <w:qFormat/>
    <w:pPr>
      <w:ind w:left="836" w:hanging="361"/>
      <w:outlineLvl w:val="8"/>
    </w:pPr>
    <w:rPr>
      <w:rFonts w:ascii="Calibri" w:hAnsi="Calibri" w:eastAsia="Calibri" w:cs="Calibri"/>
      <w:b/>
      <w:bCs/>
      <w:i/>
      <w:sz w:val="24"/>
      <w:szCs w:val="24"/>
    </w:rPr>
  </w:style>
  <w:style w:styleId="ListParagraph" w:type="paragraph">
    <w:name w:val="List Paragraph"/>
    <w:basedOn w:val="Normal"/>
    <w:uiPriority w:val="1"/>
    <w:qFormat/>
    <w:pPr>
      <w:ind w:left="1060" w:hanging="360"/>
    </w:pPr>
    <w:rPr>
      <w:rFonts w:ascii="Calibri" w:hAnsi="Calibri" w:eastAsia="Calibri" w:cs="Calibri"/>
    </w:rPr>
  </w:style>
  <w:style w:styleId="TableParagraph" w:type="paragraph">
    <w:name w:val="Table Paragraph"/>
    <w:basedOn w:val="Normal"/>
    <w:uiPriority w:val="1"/>
    <w:qFormat/>
    <w:pPr/>
    <w:rPr>
      <w:rFonts w:ascii="Gill Sans MT" w:hAnsi="Gill Sans MT" w:eastAsia="Gill Sans MT" w:cs="Gill Sans M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centro.org/"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header" Target="header9.xml"/><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header" Target="header12.xml"/><Relationship Id="rId19" Type="http://schemas.openxmlformats.org/officeDocument/2006/relationships/header" Target="header13.xml"/><Relationship Id="rId20" Type="http://schemas.openxmlformats.org/officeDocument/2006/relationships/header" Target="header14.xml"/><Relationship Id="rId21" Type="http://schemas.openxmlformats.org/officeDocument/2006/relationships/header" Target="header15.xml"/><Relationship Id="rId22" Type="http://schemas.openxmlformats.org/officeDocument/2006/relationships/header" Target="header16.xml"/><Relationship Id="rId23" Type="http://schemas.openxmlformats.org/officeDocument/2006/relationships/footer" Target="footer1.xml"/><Relationship Id="rId24" Type="http://schemas.openxmlformats.org/officeDocument/2006/relationships/header" Target="header17.xml"/><Relationship Id="rId25" Type="http://schemas.openxmlformats.org/officeDocument/2006/relationships/footer" Target="footer2.xml"/><Relationship Id="rId26" Type="http://schemas.openxmlformats.org/officeDocument/2006/relationships/header" Target="header18.xml"/><Relationship Id="rId27" Type="http://schemas.openxmlformats.org/officeDocument/2006/relationships/footer" Target="footer3.xml"/><Relationship Id="rId28" Type="http://schemas.openxmlformats.org/officeDocument/2006/relationships/header" Target="header19.xml"/><Relationship Id="rId29" Type="http://schemas.openxmlformats.org/officeDocument/2006/relationships/footer" Target="footer4.xml"/><Relationship Id="rId30" Type="http://schemas.openxmlformats.org/officeDocument/2006/relationships/header" Target="header20.xml"/><Relationship Id="rId31" Type="http://schemas.openxmlformats.org/officeDocument/2006/relationships/footer" Target="footer5.xml"/><Relationship Id="rId32" Type="http://schemas.openxmlformats.org/officeDocument/2006/relationships/header" Target="header21.xml"/><Relationship Id="rId33" Type="http://schemas.openxmlformats.org/officeDocument/2006/relationships/footer" Target="footer6.xml"/><Relationship Id="rId34" Type="http://schemas.openxmlformats.org/officeDocument/2006/relationships/header" Target="header22.xml"/><Relationship Id="rId35" Type="http://schemas.openxmlformats.org/officeDocument/2006/relationships/footer" Target="footer7.xml"/><Relationship Id="rId36" Type="http://schemas.openxmlformats.org/officeDocument/2006/relationships/header" Target="header23.xml"/><Relationship Id="rId37" Type="http://schemas.openxmlformats.org/officeDocument/2006/relationships/footer" Target="footer8.xml"/><Relationship Id="rId38" Type="http://schemas.openxmlformats.org/officeDocument/2006/relationships/header" Target="header24.xml"/><Relationship Id="rId39" Type="http://schemas.openxmlformats.org/officeDocument/2006/relationships/footer" Target="footer9.xml"/><Relationship Id="rId40" Type="http://schemas.openxmlformats.org/officeDocument/2006/relationships/header" Target="header25.xml"/><Relationship Id="rId41" Type="http://schemas.openxmlformats.org/officeDocument/2006/relationships/footer" Target="footer10.xml"/><Relationship Id="rId42" Type="http://schemas.openxmlformats.org/officeDocument/2006/relationships/header" Target="header26.xml"/><Relationship Id="rId43" Type="http://schemas.openxmlformats.org/officeDocument/2006/relationships/footer" Target="footer11.xml"/><Relationship Id="rId44" Type="http://schemas.openxmlformats.org/officeDocument/2006/relationships/header" Target="header27.xml"/><Relationship Id="rId45" Type="http://schemas.openxmlformats.org/officeDocument/2006/relationships/footer" Target="footer12.xml"/><Relationship Id="rId46" Type="http://schemas.openxmlformats.org/officeDocument/2006/relationships/header" Target="header28.xml"/><Relationship Id="rId47" Type="http://schemas.openxmlformats.org/officeDocument/2006/relationships/footer" Target="footer13.xml"/><Relationship Id="rId48" Type="http://schemas.openxmlformats.org/officeDocument/2006/relationships/header" Target="header29.xml"/><Relationship Id="rId49" Type="http://schemas.openxmlformats.org/officeDocument/2006/relationships/footer" Target="footer14.xml"/><Relationship Id="rId50" Type="http://schemas.openxmlformats.org/officeDocument/2006/relationships/header" Target="header30.xml"/><Relationship Id="rId51" Type="http://schemas.openxmlformats.org/officeDocument/2006/relationships/footer" Target="footer15.xml"/><Relationship Id="rId52" Type="http://schemas.openxmlformats.org/officeDocument/2006/relationships/header" Target="header31.xml"/><Relationship Id="rId53" Type="http://schemas.openxmlformats.org/officeDocument/2006/relationships/footer" Target="footer16.xml"/><Relationship Id="rId54" Type="http://schemas.openxmlformats.org/officeDocument/2006/relationships/header" Target="header32.xml"/><Relationship Id="rId55" Type="http://schemas.openxmlformats.org/officeDocument/2006/relationships/footer" Target="footer17.xml"/><Relationship Id="rId56" Type="http://schemas.openxmlformats.org/officeDocument/2006/relationships/header" Target="header33.xml"/><Relationship Id="rId57" Type="http://schemas.openxmlformats.org/officeDocument/2006/relationships/footer" Target="footer18.xml"/><Relationship Id="rId58" Type="http://schemas.openxmlformats.org/officeDocument/2006/relationships/header" Target="header34.xml"/><Relationship Id="rId59" Type="http://schemas.openxmlformats.org/officeDocument/2006/relationships/footer" Target="footer19.xml"/><Relationship Id="rId60" Type="http://schemas.openxmlformats.org/officeDocument/2006/relationships/header" Target="header35.xml"/><Relationship Id="rId61" Type="http://schemas.openxmlformats.org/officeDocument/2006/relationships/footer" Target="footer20.xml"/><Relationship Id="rId62" Type="http://schemas.openxmlformats.org/officeDocument/2006/relationships/header" Target="header36.xml"/><Relationship Id="rId63" Type="http://schemas.openxmlformats.org/officeDocument/2006/relationships/footer" Target="footer21.xml"/><Relationship Id="rId64" Type="http://schemas.openxmlformats.org/officeDocument/2006/relationships/header" Target="header37.xml"/><Relationship Id="rId65" Type="http://schemas.openxmlformats.org/officeDocument/2006/relationships/footer" Target="footer22.xml"/><Relationship Id="rId66" Type="http://schemas.openxmlformats.org/officeDocument/2006/relationships/image" Target="media/image3.png"/><Relationship Id="rId67" Type="http://schemas.openxmlformats.org/officeDocument/2006/relationships/header" Target="header38.xml"/><Relationship Id="rId68" Type="http://schemas.openxmlformats.org/officeDocument/2006/relationships/footer" Target="footer23.xml"/><Relationship Id="rId69" Type="http://schemas.openxmlformats.org/officeDocument/2006/relationships/header" Target="header39.xml"/><Relationship Id="rId70" Type="http://schemas.openxmlformats.org/officeDocument/2006/relationships/footer" Target="footer24.xml"/><Relationship Id="rId71" Type="http://schemas.openxmlformats.org/officeDocument/2006/relationships/header" Target="header40.xml"/><Relationship Id="rId72" Type="http://schemas.openxmlformats.org/officeDocument/2006/relationships/footer" Target="footer25.xml"/><Relationship Id="rId73" Type="http://schemas.openxmlformats.org/officeDocument/2006/relationships/image" Target="media/image4.png"/><Relationship Id="rId74" Type="http://schemas.openxmlformats.org/officeDocument/2006/relationships/header" Target="header41.xml"/><Relationship Id="rId75" Type="http://schemas.openxmlformats.org/officeDocument/2006/relationships/footer" Target="footer26.xml"/><Relationship Id="rId76" Type="http://schemas.openxmlformats.org/officeDocument/2006/relationships/header" Target="header42.xml"/><Relationship Id="rId77" Type="http://schemas.openxmlformats.org/officeDocument/2006/relationships/footer" Target="footer27.xml"/><Relationship Id="rId78" Type="http://schemas.openxmlformats.org/officeDocument/2006/relationships/image" Target="media/image5.png"/><Relationship Id="rId79" Type="http://schemas.openxmlformats.org/officeDocument/2006/relationships/image" Target="media/image6.png"/><Relationship Id="rId80" Type="http://schemas.openxmlformats.org/officeDocument/2006/relationships/image" Target="media/image7.png"/><Relationship Id="rId81" Type="http://schemas.openxmlformats.org/officeDocument/2006/relationships/image" Target="media/image8.png"/><Relationship Id="rId82" Type="http://schemas.openxmlformats.org/officeDocument/2006/relationships/image" Target="media/image9.png"/><Relationship Id="rId83" Type="http://schemas.openxmlformats.org/officeDocument/2006/relationships/image" Target="media/image10.png"/><Relationship Id="rId84" Type="http://schemas.openxmlformats.org/officeDocument/2006/relationships/image" Target="media/image11.png"/><Relationship Id="rId85" Type="http://schemas.openxmlformats.org/officeDocument/2006/relationships/image" Target="media/image12.png"/><Relationship Id="rId86" Type="http://schemas.openxmlformats.org/officeDocument/2006/relationships/image" Target="media/image13.png"/><Relationship Id="rId87" Type="http://schemas.openxmlformats.org/officeDocument/2006/relationships/image" Target="media/image14.png"/><Relationship Id="rId88" Type="http://schemas.openxmlformats.org/officeDocument/2006/relationships/image" Target="media/image15.png"/><Relationship Id="rId89" Type="http://schemas.openxmlformats.org/officeDocument/2006/relationships/image" Target="media/image16.png"/><Relationship Id="rId90" Type="http://schemas.openxmlformats.org/officeDocument/2006/relationships/image" Target="media/image17.png"/><Relationship Id="rId91" Type="http://schemas.openxmlformats.org/officeDocument/2006/relationships/image" Target="media/image18.png"/><Relationship Id="rId92" Type="http://schemas.openxmlformats.org/officeDocument/2006/relationships/image" Target="media/image19.png"/><Relationship Id="rId93" Type="http://schemas.openxmlformats.org/officeDocument/2006/relationships/image" Target="media/image20.png"/><Relationship Id="rId94" Type="http://schemas.openxmlformats.org/officeDocument/2006/relationships/image" Target="media/image21.png"/><Relationship Id="rId95" Type="http://schemas.openxmlformats.org/officeDocument/2006/relationships/image" Target="media/image22.png"/><Relationship Id="rId96" Type="http://schemas.openxmlformats.org/officeDocument/2006/relationships/image" Target="media/image23.png"/><Relationship Id="rId97" Type="http://schemas.openxmlformats.org/officeDocument/2006/relationships/image" Target="media/image24.png"/><Relationship Id="rId98" Type="http://schemas.openxmlformats.org/officeDocument/2006/relationships/image" Target="media/image25.png"/><Relationship Id="rId99" Type="http://schemas.openxmlformats.org/officeDocument/2006/relationships/image" Target="media/image26.png"/><Relationship Id="rId100" Type="http://schemas.openxmlformats.org/officeDocument/2006/relationships/image" Target="media/image27.png"/><Relationship Id="rId101" Type="http://schemas.openxmlformats.org/officeDocument/2006/relationships/image" Target="media/image28.png"/><Relationship Id="rId102" Type="http://schemas.openxmlformats.org/officeDocument/2006/relationships/image" Target="media/image29.png"/><Relationship Id="rId103" Type="http://schemas.openxmlformats.org/officeDocument/2006/relationships/image" Target="media/image30.png"/><Relationship Id="rId104" Type="http://schemas.openxmlformats.org/officeDocument/2006/relationships/image" Target="media/image31.png"/><Relationship Id="rId105" Type="http://schemas.openxmlformats.org/officeDocument/2006/relationships/image" Target="media/image32.png"/><Relationship Id="rId106" Type="http://schemas.openxmlformats.org/officeDocument/2006/relationships/image" Target="media/image33.png"/><Relationship Id="rId107" Type="http://schemas.openxmlformats.org/officeDocument/2006/relationships/image" Target="media/image34.png"/><Relationship Id="rId108" Type="http://schemas.openxmlformats.org/officeDocument/2006/relationships/image" Target="media/image35.png"/><Relationship Id="rId109" Type="http://schemas.openxmlformats.org/officeDocument/2006/relationships/image" Target="media/image36.png"/><Relationship Id="rId110" Type="http://schemas.openxmlformats.org/officeDocument/2006/relationships/image" Target="media/image2.png"/><Relationship Id="rId111" Type="http://schemas.openxmlformats.org/officeDocument/2006/relationships/image" Target="media/image37.png"/><Relationship Id="rId112" Type="http://schemas.openxmlformats.org/officeDocument/2006/relationships/image" Target="media/image38.png"/><Relationship Id="rId113" Type="http://schemas.openxmlformats.org/officeDocument/2006/relationships/image" Target="media/image39.png"/><Relationship Id="rId114" Type="http://schemas.openxmlformats.org/officeDocument/2006/relationships/image" Target="media/image40.png"/><Relationship Id="rId115" Type="http://schemas.openxmlformats.org/officeDocument/2006/relationships/image" Target="media/image41.png"/><Relationship Id="rId116" Type="http://schemas.openxmlformats.org/officeDocument/2006/relationships/header" Target="header43.xml"/><Relationship Id="rId117" Type="http://schemas.openxmlformats.org/officeDocument/2006/relationships/footer" Target="footer28.xml"/><Relationship Id="rId118" Type="http://schemas.openxmlformats.org/officeDocument/2006/relationships/header" Target="header44.xml"/><Relationship Id="rId119" Type="http://schemas.openxmlformats.org/officeDocument/2006/relationships/footer" Target="footer29.xml"/><Relationship Id="rId120" Type="http://schemas.openxmlformats.org/officeDocument/2006/relationships/header" Target="header45.xml"/><Relationship Id="rId121" Type="http://schemas.openxmlformats.org/officeDocument/2006/relationships/footer" Target="footer30.xml"/><Relationship Id="rId122" Type="http://schemas.openxmlformats.org/officeDocument/2006/relationships/image" Target="media/image42.jpeg"/><Relationship Id="rId123" Type="http://schemas.openxmlformats.org/officeDocument/2006/relationships/image" Target="media/image43.png"/><Relationship Id="rId124" Type="http://schemas.openxmlformats.org/officeDocument/2006/relationships/header" Target="header46.xml"/><Relationship Id="rId125" Type="http://schemas.openxmlformats.org/officeDocument/2006/relationships/footer" Target="footer31.xml"/><Relationship Id="rId126" Type="http://schemas.openxmlformats.org/officeDocument/2006/relationships/image" Target="media/image44.png"/><Relationship Id="rId127" Type="http://schemas.openxmlformats.org/officeDocument/2006/relationships/image" Target="media/image45.png"/><Relationship Id="rId128" Type="http://schemas.openxmlformats.org/officeDocument/2006/relationships/image" Target="media/image46.png"/><Relationship Id="rId129" Type="http://schemas.openxmlformats.org/officeDocument/2006/relationships/image" Target="media/image47.png"/><Relationship Id="rId130" Type="http://schemas.openxmlformats.org/officeDocument/2006/relationships/image" Target="media/image48.png"/><Relationship Id="rId131" Type="http://schemas.openxmlformats.org/officeDocument/2006/relationships/image" Target="media/image49.png"/><Relationship Id="rId132" Type="http://schemas.openxmlformats.org/officeDocument/2006/relationships/header" Target="header47.xml"/><Relationship Id="rId133" Type="http://schemas.openxmlformats.org/officeDocument/2006/relationships/footer" Target="footer32.xml"/><Relationship Id="rId134" Type="http://schemas.openxmlformats.org/officeDocument/2006/relationships/header" Target="header48.xml"/><Relationship Id="rId135" Type="http://schemas.openxmlformats.org/officeDocument/2006/relationships/footer" Target="footer33.xml"/><Relationship Id="rId136" Type="http://schemas.openxmlformats.org/officeDocument/2006/relationships/header" Target="header49.xml"/><Relationship Id="rId137" Type="http://schemas.openxmlformats.org/officeDocument/2006/relationships/footer" Target="footer34.xml"/><Relationship Id="rId138" Type="http://schemas.openxmlformats.org/officeDocument/2006/relationships/header" Target="header50.xml"/><Relationship Id="rId139" Type="http://schemas.openxmlformats.org/officeDocument/2006/relationships/footer" Target="footer35.xml"/><Relationship Id="rId140" Type="http://schemas.openxmlformats.org/officeDocument/2006/relationships/header" Target="header51.xml"/><Relationship Id="rId141" Type="http://schemas.openxmlformats.org/officeDocument/2006/relationships/footer" Target="footer36.xml"/><Relationship Id="rId142" Type="http://schemas.openxmlformats.org/officeDocument/2006/relationships/header" Target="header52.xml"/><Relationship Id="rId143" Type="http://schemas.openxmlformats.org/officeDocument/2006/relationships/footer" Target="footer37.xml"/><Relationship Id="rId144" Type="http://schemas.openxmlformats.org/officeDocument/2006/relationships/image" Target="media/image51.jpeg"/><Relationship Id="rId145" Type="http://schemas.openxmlformats.org/officeDocument/2006/relationships/image" Target="media/image50.png"/><Relationship Id="rId146" Type="http://schemas.openxmlformats.org/officeDocument/2006/relationships/header" Target="header53.xml"/><Relationship Id="rId147" Type="http://schemas.openxmlformats.org/officeDocument/2006/relationships/footer" Target="footer38.xml"/><Relationship Id="rId148" Type="http://schemas.openxmlformats.org/officeDocument/2006/relationships/image" Target="media/image52.jpeg"/><Relationship Id="rId149" Type="http://schemas.openxmlformats.org/officeDocument/2006/relationships/header" Target="header54.xml"/><Relationship Id="rId150" Type="http://schemas.openxmlformats.org/officeDocument/2006/relationships/footer" Target="footer39.xml"/><Relationship Id="rId151" Type="http://schemas.openxmlformats.org/officeDocument/2006/relationships/image" Target="media/image53.png"/><Relationship Id="rId152" Type="http://schemas.openxmlformats.org/officeDocument/2006/relationships/header" Target="header55.xml"/><Relationship Id="rId153" Type="http://schemas.openxmlformats.org/officeDocument/2006/relationships/footer" Target="footer40.xml"/><Relationship Id="rId154" Type="http://schemas.openxmlformats.org/officeDocument/2006/relationships/image" Target="media/image54.png"/><Relationship Id="rId155" Type="http://schemas.openxmlformats.org/officeDocument/2006/relationships/header" Target="header56.xml"/><Relationship Id="rId156" Type="http://schemas.openxmlformats.org/officeDocument/2006/relationships/footer" Target="footer41.xml"/><Relationship Id="rId157" Type="http://schemas.openxmlformats.org/officeDocument/2006/relationships/image" Target="media/image55.png"/><Relationship Id="rId158" Type="http://schemas.openxmlformats.org/officeDocument/2006/relationships/header" Target="header57.xml"/><Relationship Id="rId159" Type="http://schemas.openxmlformats.org/officeDocument/2006/relationships/footer" Target="footer42.xml"/><Relationship Id="rId160" Type="http://schemas.openxmlformats.org/officeDocument/2006/relationships/header" Target="header58.xml"/><Relationship Id="rId161" Type="http://schemas.openxmlformats.org/officeDocument/2006/relationships/footer" Target="footer43.xml"/><Relationship Id="rId162" Type="http://schemas.openxmlformats.org/officeDocument/2006/relationships/header" Target="header59.xml"/><Relationship Id="rId163" Type="http://schemas.openxmlformats.org/officeDocument/2006/relationships/footer" Target="footer44.xml"/><Relationship Id="rId164" Type="http://schemas.openxmlformats.org/officeDocument/2006/relationships/header" Target="header60.xml"/><Relationship Id="rId165" Type="http://schemas.openxmlformats.org/officeDocument/2006/relationships/footer" Target="footer45.xml"/><Relationship Id="rId166" Type="http://schemas.openxmlformats.org/officeDocument/2006/relationships/header" Target="header61.xml"/><Relationship Id="rId167" Type="http://schemas.openxmlformats.org/officeDocument/2006/relationships/footer" Target="footer46.xml"/><Relationship Id="rId168" Type="http://schemas.openxmlformats.org/officeDocument/2006/relationships/image" Target="media/image56.jpeg"/><Relationship Id="rId169" Type="http://schemas.openxmlformats.org/officeDocument/2006/relationships/image" Target="media/image57.png"/><Relationship Id="rId170" Type="http://schemas.openxmlformats.org/officeDocument/2006/relationships/header" Target="header62.xml"/><Relationship Id="rId171" Type="http://schemas.openxmlformats.org/officeDocument/2006/relationships/footer" Target="footer47.xml"/><Relationship Id="rId172" Type="http://schemas.openxmlformats.org/officeDocument/2006/relationships/header" Target="header63.xml"/><Relationship Id="rId173" Type="http://schemas.openxmlformats.org/officeDocument/2006/relationships/footer" Target="footer48.xml"/><Relationship Id="rId174" Type="http://schemas.openxmlformats.org/officeDocument/2006/relationships/header" Target="header64.xml"/><Relationship Id="rId175" Type="http://schemas.openxmlformats.org/officeDocument/2006/relationships/footer" Target="footer49.xml"/><Relationship Id="rId176" Type="http://schemas.openxmlformats.org/officeDocument/2006/relationships/header" Target="header65.xml"/><Relationship Id="rId177" Type="http://schemas.openxmlformats.org/officeDocument/2006/relationships/footer" Target="footer50.xml"/><Relationship Id="rId178" Type="http://schemas.openxmlformats.org/officeDocument/2006/relationships/header" Target="header66.xml"/><Relationship Id="rId179" Type="http://schemas.openxmlformats.org/officeDocument/2006/relationships/footer" Target="footer51.xml"/><Relationship Id="rId180" Type="http://schemas.openxmlformats.org/officeDocument/2006/relationships/header" Target="header67.xml"/><Relationship Id="rId181" Type="http://schemas.openxmlformats.org/officeDocument/2006/relationships/footer" Target="footer52.xml"/><Relationship Id="rId182" Type="http://schemas.openxmlformats.org/officeDocument/2006/relationships/image" Target="media/image58.png"/><Relationship Id="rId183" Type="http://schemas.openxmlformats.org/officeDocument/2006/relationships/header" Target="header68.xml"/><Relationship Id="rId184" Type="http://schemas.openxmlformats.org/officeDocument/2006/relationships/footer" Target="footer53.xml"/><Relationship Id="rId185" Type="http://schemas.openxmlformats.org/officeDocument/2006/relationships/header" Target="header69.xml"/><Relationship Id="rId186" Type="http://schemas.openxmlformats.org/officeDocument/2006/relationships/footer" Target="footer54.xml"/><Relationship Id="rId187" Type="http://schemas.openxmlformats.org/officeDocument/2006/relationships/header" Target="header70.xml"/><Relationship Id="rId188" Type="http://schemas.openxmlformats.org/officeDocument/2006/relationships/footer" Target="footer55.xml"/><Relationship Id="rId189" Type="http://schemas.openxmlformats.org/officeDocument/2006/relationships/header" Target="header71.xml"/><Relationship Id="rId190" Type="http://schemas.openxmlformats.org/officeDocument/2006/relationships/footer" Target="footer56.xml"/><Relationship Id="rId191" Type="http://schemas.openxmlformats.org/officeDocument/2006/relationships/header" Target="header72.xml"/><Relationship Id="rId192" Type="http://schemas.openxmlformats.org/officeDocument/2006/relationships/footer" Target="footer57.xml"/><Relationship Id="rId193" Type="http://schemas.openxmlformats.org/officeDocument/2006/relationships/image" Target="media/image59.jpeg"/><Relationship Id="rId194" Type="http://schemas.openxmlformats.org/officeDocument/2006/relationships/header" Target="header73.xml"/><Relationship Id="rId195" Type="http://schemas.openxmlformats.org/officeDocument/2006/relationships/footer" Target="footer58.xml"/><Relationship Id="rId196" Type="http://schemas.openxmlformats.org/officeDocument/2006/relationships/image" Target="media/image60.jpeg"/><Relationship Id="rId197" Type="http://schemas.openxmlformats.org/officeDocument/2006/relationships/header" Target="header74.xml"/><Relationship Id="rId198" Type="http://schemas.openxmlformats.org/officeDocument/2006/relationships/footer" Target="footer59.xml"/><Relationship Id="rId199" Type="http://schemas.openxmlformats.org/officeDocument/2006/relationships/header" Target="header75.xml"/><Relationship Id="rId200" Type="http://schemas.openxmlformats.org/officeDocument/2006/relationships/footer" Target="footer60.xml"/><Relationship Id="rId201" Type="http://schemas.openxmlformats.org/officeDocument/2006/relationships/image" Target="media/image61.png"/><Relationship Id="rId202" Type="http://schemas.openxmlformats.org/officeDocument/2006/relationships/header" Target="header76.xml"/><Relationship Id="rId203" Type="http://schemas.openxmlformats.org/officeDocument/2006/relationships/footer" Target="footer61.xml"/><Relationship Id="rId204" Type="http://schemas.openxmlformats.org/officeDocument/2006/relationships/image" Target="media/image62.png"/><Relationship Id="rId205" Type="http://schemas.openxmlformats.org/officeDocument/2006/relationships/header" Target="header77.xml"/><Relationship Id="rId206" Type="http://schemas.openxmlformats.org/officeDocument/2006/relationships/footer" Target="footer62.xml"/><Relationship Id="rId207" Type="http://schemas.openxmlformats.org/officeDocument/2006/relationships/header" Target="header78.xml"/><Relationship Id="rId208" Type="http://schemas.openxmlformats.org/officeDocument/2006/relationships/footer" Target="footer63.xml"/><Relationship Id="rId209" Type="http://schemas.openxmlformats.org/officeDocument/2006/relationships/image" Target="media/image63.png"/><Relationship Id="rId210" Type="http://schemas.openxmlformats.org/officeDocument/2006/relationships/header" Target="header79.xml"/><Relationship Id="rId211" Type="http://schemas.openxmlformats.org/officeDocument/2006/relationships/footer" Target="footer64.xml"/><Relationship Id="rId212" Type="http://schemas.openxmlformats.org/officeDocument/2006/relationships/header" Target="header80.xml"/><Relationship Id="rId213" Type="http://schemas.openxmlformats.org/officeDocument/2006/relationships/footer" Target="footer65.xml"/><Relationship Id="rId214" Type="http://schemas.openxmlformats.org/officeDocument/2006/relationships/header" Target="header81.xml"/><Relationship Id="rId215" Type="http://schemas.openxmlformats.org/officeDocument/2006/relationships/footer" Target="footer66.xml"/><Relationship Id="rId21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50.png"/></Relationships>

</file>

<file path=word/_rels/footer38.xml.rels><?xml version="1.0" encoding="UTF-8" standalone="yes"?>
<Relationships xmlns="http://schemas.openxmlformats.org/package/2006/relationships"><Relationship Id="rId1" Type="http://schemas.openxmlformats.org/officeDocument/2006/relationships/image" Target="media/image50.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0.xml.rels><?xml version="1.0" encoding="UTF-8" standalone="yes"?>
<Relationships xmlns="http://schemas.openxmlformats.org/package/2006/relationships"><Relationship Id="rId1" Type="http://schemas.openxmlformats.org/officeDocument/2006/relationships/image" Target="media/image50.png"/></Relationships>

</file>

<file path=word/_rels/footer41.xml.rels><?xml version="1.0" encoding="UTF-8" standalone="yes"?>
<Relationships xmlns="http://schemas.openxmlformats.org/package/2006/relationships"><Relationship Id="rId1" Type="http://schemas.openxmlformats.org/officeDocument/2006/relationships/image" Target="media/image50.png"/></Relationships>

</file>

<file path=word/_rels/footer42.xml.rels><?xml version="1.0" encoding="UTF-8" standalone="yes"?>
<Relationships xmlns="http://schemas.openxmlformats.org/package/2006/relationships"><Relationship Id="rId1" Type="http://schemas.openxmlformats.org/officeDocument/2006/relationships/image" Target="media/image50.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Paduano, Lynette</dc:creator>
  <dcterms:created xsi:type="dcterms:W3CDTF">2025-07-22T18:48:00Z</dcterms:created>
  <dcterms:modified xsi:type="dcterms:W3CDTF">2025-07-22T18:48:00Z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Creator">
    <vt:lpwstr>Adobe Acrobat Pro 2020 20.5.30774</vt:lpwstr>
  </property>
  <property fmtid="{D5CDD505-2E9C-101B-9397-08002B2CF9AE}" pid="4" name="LastSaved">
    <vt:filetime>2025-07-22T00:00:00Z</vt:filetime>
  </property>
</Properties>
</file>